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32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800"/>
        <w:spacing w:after="0"/>
        <w:rPr>
          <w:sz w:val="20"/>
          <w:szCs w:val="20"/>
          <w:color w:val="auto"/>
        </w:rPr>
      </w:pPr>
      <w:r>
        <w:rPr>
          <w:rFonts w:ascii="Arial" w:cs="Arial" w:eastAsia="Arial" w:hAnsi="Arial"/>
          <w:sz w:val="18"/>
          <w:szCs w:val="18"/>
          <w:b w:val="1"/>
          <w:bCs w:val="1"/>
          <w:color w:val="auto"/>
        </w:rPr>
        <w:t>Washington, D.C. 20549</w:t>
      </w:r>
    </w:p>
    <w:p>
      <w:pPr>
        <w:spacing w:after="0" w:line="107" w:lineRule="exact"/>
        <w:rPr>
          <w:sz w:val="24"/>
          <w:szCs w:val="24"/>
          <w:color w:val="auto"/>
        </w:rPr>
      </w:pPr>
    </w:p>
    <w:p>
      <w:pPr>
        <w:jc w:val="center"/>
        <w:ind w:right="-800"/>
        <w:spacing w:after="0"/>
        <w:rPr>
          <w:sz w:val="20"/>
          <w:szCs w:val="20"/>
          <w:color w:val="auto"/>
        </w:rPr>
      </w:pPr>
      <w:r>
        <w:rPr>
          <w:rFonts w:ascii="Arial" w:cs="Arial" w:eastAsia="Arial" w:hAnsi="Arial"/>
          <w:sz w:val="25"/>
          <w:szCs w:val="25"/>
          <w:b w:val="1"/>
          <w:bCs w:val="1"/>
          <w:color w:val="auto"/>
        </w:rPr>
        <w:t>SCHEDULE 14A</w:t>
      </w:r>
    </w:p>
    <w:p>
      <w:pPr>
        <w:spacing w:after="0" w:line="164"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14" w:lineRule="exact"/>
        <w:rPr>
          <w:sz w:val="24"/>
          <w:szCs w:val="24"/>
          <w:color w:val="auto"/>
        </w:rPr>
      </w:pPr>
    </w:p>
    <w:p>
      <w:pPr>
        <w:ind w:left="2700"/>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86" w:lineRule="exact"/>
        <w:rPr>
          <w:sz w:val="24"/>
          <w:szCs w:val="24"/>
          <w:color w:val="auto"/>
        </w:rPr>
      </w:pPr>
    </w:p>
    <w:p>
      <w:pPr>
        <w:ind w:left="920"/>
        <w:spacing w:after="0" w:line="207" w:lineRule="exact"/>
        <w:tabs>
          <w:tab w:leader="none" w:pos="294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ind w:left="920"/>
        <w:spacing w:after="0" w:line="207" w:lineRule="exact"/>
        <w:tabs>
          <w:tab w:leader="none" w:pos="448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84" w:lineRule="exact"/>
        <w:rPr>
          <w:sz w:val="24"/>
          <w:szCs w:val="24"/>
          <w:color w:val="auto"/>
        </w:rPr>
      </w:pPr>
    </w:p>
    <w:p>
      <w:pPr>
        <w:ind w:left="920"/>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1280" w:hanging="356"/>
        <w:spacing w:after="0"/>
        <w:tabs>
          <w:tab w:leader="none" w:pos="1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44" w:lineRule="exact"/>
        <w:rPr>
          <w:rFonts w:ascii="MS PGothic" w:cs="MS PGothic" w:eastAsia="MS PGothic" w:hAnsi="MS PGothic"/>
          <w:sz w:val="18"/>
          <w:szCs w:val="18"/>
          <w:color w:val="auto"/>
        </w:rPr>
      </w:pPr>
    </w:p>
    <w:p>
      <w:pPr>
        <w:ind w:left="1280" w:hanging="356"/>
        <w:spacing w:after="0"/>
        <w:tabs>
          <w:tab w:leader="none" w:pos="12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44" w:lineRule="exact"/>
        <w:rPr>
          <w:sz w:val="24"/>
          <w:szCs w:val="24"/>
          <w:color w:val="auto"/>
        </w:rPr>
      </w:pPr>
    </w:p>
    <w:p>
      <w:pPr>
        <w:ind w:left="1280" w:hanging="356"/>
        <w:spacing w:after="0"/>
        <w:tabs>
          <w:tab w:leader="none" w:pos="12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color w:val="auto"/>
        </w:rPr>
        <w:t>Definitive Proxy Statement</w:t>
      </w:r>
    </w:p>
    <w:p>
      <w:pPr>
        <w:spacing w:after="0" w:line="144" w:lineRule="exact"/>
        <w:rPr>
          <w:sz w:val="24"/>
          <w:szCs w:val="24"/>
          <w:color w:val="auto"/>
        </w:rPr>
      </w:pPr>
    </w:p>
    <w:p>
      <w:pPr>
        <w:ind w:left="1280" w:hanging="356"/>
        <w:spacing w:after="0"/>
        <w:tabs>
          <w:tab w:leader="none" w:pos="1280" w:val="left"/>
        </w:tabs>
        <w:numPr>
          <w:ilvl w:val="0"/>
          <w:numId w:val="3"/>
        </w:numPr>
        <w:rPr>
          <w:rFonts w:ascii="MS PGothic" w:cs="MS PGothic" w:eastAsia="MS PGothic" w:hAnsi="MS PGothic"/>
          <w:sz w:val="18"/>
          <w:szCs w:val="18"/>
          <w:color w:val="auto"/>
          <w:highlight w:val="black"/>
        </w:rPr>
      </w:pPr>
      <w:r>
        <w:rPr>
          <w:rFonts w:ascii="Arial" w:cs="Arial" w:eastAsia="Arial" w:hAnsi="Arial"/>
          <w:sz w:val="18"/>
          <w:szCs w:val="18"/>
          <w:color w:val="auto"/>
        </w:rPr>
        <w:t>Definitive Additional Materials</w:t>
      </w:r>
    </w:p>
    <w:p>
      <w:pPr>
        <w:spacing w:after="0" w:line="144" w:lineRule="exact"/>
        <w:rPr>
          <w:rFonts w:ascii="MS PGothic" w:cs="MS PGothic" w:eastAsia="MS PGothic" w:hAnsi="MS PGothic"/>
          <w:sz w:val="18"/>
          <w:szCs w:val="18"/>
          <w:color w:val="auto"/>
          <w:highlight w:val="black"/>
        </w:rPr>
      </w:pPr>
    </w:p>
    <w:p>
      <w:pPr>
        <w:ind w:left="1280" w:hanging="356"/>
        <w:spacing w:after="0"/>
        <w:tabs>
          <w:tab w:leader="none" w:pos="1280" w:val="left"/>
        </w:tabs>
        <w:numPr>
          <w:ilvl w:val="0"/>
          <w:numId w:val="3"/>
        </w:numPr>
        <w:rPr>
          <w:rFonts w:ascii="MS PGothic" w:cs="MS PGothic" w:eastAsia="MS PGothic" w:hAnsi="MS PGothic"/>
          <w:sz w:val="18"/>
          <w:szCs w:val="18"/>
          <w:color w:val="auto"/>
          <w:highlight w:val="black"/>
        </w:rPr>
      </w:pPr>
      <w:r>
        <w:rPr>
          <w:rFonts w:ascii="Arial" w:cs="Arial" w:eastAsia="Arial" w:hAnsi="Arial"/>
          <w:sz w:val="18"/>
          <w:szCs w:val="18"/>
          <w:color w:val="auto"/>
        </w:rPr>
        <w:t>Soliciting Material under §240.14a-12</w:t>
      </w:r>
    </w:p>
    <w:p>
      <w:pPr>
        <w:spacing w:after="0" w:line="115" w:lineRule="exact"/>
        <w:rPr>
          <w:sz w:val="24"/>
          <w:szCs w:val="24"/>
          <w:color w:val="auto"/>
        </w:rPr>
      </w:pPr>
    </w:p>
    <w:p>
      <w:pPr>
        <w:jc w:val="center"/>
        <w:ind w:right="-800"/>
        <w:spacing w:after="0"/>
        <w:rPr>
          <w:sz w:val="20"/>
          <w:szCs w:val="20"/>
          <w:color w:val="auto"/>
        </w:rPr>
      </w:pPr>
      <w:r>
        <w:rPr>
          <w:rFonts w:ascii="Arial" w:cs="Arial" w:eastAsia="Arial" w:hAnsi="Arial"/>
          <w:sz w:val="29"/>
          <w:szCs w:val="29"/>
          <w:b w:val="1"/>
          <w:bCs w:val="1"/>
          <w:color w:val="auto"/>
        </w:rPr>
        <w:t>Ribbon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585470</wp:posOffset>
            </wp:positionH>
            <wp:positionV relativeFrom="paragraph">
              <wp:posOffset>24130</wp:posOffset>
            </wp:positionV>
            <wp:extent cx="56235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80"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585470</wp:posOffset>
            </wp:positionH>
            <wp:positionV relativeFrom="paragraph">
              <wp:posOffset>128905</wp:posOffset>
            </wp:positionV>
            <wp:extent cx="56235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5" w:lineRule="exact"/>
        <w:rPr>
          <w:sz w:val="24"/>
          <w:szCs w:val="24"/>
          <w:color w:val="auto"/>
        </w:rPr>
      </w:pPr>
    </w:p>
    <w:p>
      <w:pPr>
        <w:ind w:left="23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44" w:lineRule="exact"/>
        <w:rPr>
          <w:sz w:val="24"/>
          <w:szCs w:val="24"/>
          <w:color w:val="auto"/>
        </w:rPr>
      </w:pPr>
    </w:p>
    <w:p>
      <w:pPr>
        <w:ind w:left="920"/>
        <w:spacing w:after="0"/>
        <w:rPr>
          <w:sz w:val="20"/>
          <w:szCs w:val="20"/>
          <w:color w:val="auto"/>
        </w:rPr>
      </w:pPr>
      <w:r>
        <w:rPr>
          <w:rFonts w:ascii="Arial" w:cs="Arial" w:eastAsia="Arial" w:hAnsi="Arial"/>
          <w:sz w:val="18"/>
          <w:szCs w:val="18"/>
          <w:color w:val="auto"/>
        </w:rPr>
        <w:t>Payment of Filing Fee (Check all boxes that apply):</w:t>
      </w:r>
    </w:p>
    <w:p>
      <w:pPr>
        <w:spacing w:after="0" w:line="144" w:lineRule="exact"/>
        <w:rPr>
          <w:sz w:val="24"/>
          <w:szCs w:val="24"/>
          <w:color w:val="auto"/>
        </w:rPr>
      </w:pPr>
    </w:p>
    <w:p>
      <w:pPr>
        <w:ind w:left="1280" w:hanging="356"/>
        <w:spacing w:after="0"/>
        <w:tabs>
          <w:tab w:leader="none" w:pos="12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4" w:lineRule="exact"/>
        <w:rPr>
          <w:sz w:val="24"/>
          <w:szCs w:val="24"/>
          <w:color w:val="auto"/>
        </w:rPr>
      </w:pPr>
    </w:p>
    <w:p>
      <w:pPr>
        <w:ind w:left="1280" w:hanging="356"/>
        <w:spacing w:after="0"/>
        <w:tabs>
          <w:tab w:leader="none" w:pos="12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280" w:hanging="356"/>
        <w:spacing w:after="0"/>
        <w:tabs>
          <w:tab w:leader="none" w:pos="12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3973830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-81280</wp:posOffset>
            </wp:positionV>
            <wp:extent cx="7025005" cy="9150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5005" cy="915098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-80645</wp:posOffset>
            </wp:positionV>
            <wp:extent cx="6669405" cy="1268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9405"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Dear Fellow Stockholders,</w:t>
      </w:r>
    </w:p>
    <w:p>
      <w:pPr>
        <w:spacing w:after="0" w:line="199" w:lineRule="exact"/>
        <w:rPr>
          <w:sz w:val="20"/>
          <w:szCs w:val="20"/>
          <w:color w:val="auto"/>
        </w:rPr>
      </w:pPr>
    </w:p>
    <w:p>
      <w:pPr>
        <w:ind w:left="920" w:right="239"/>
        <w:spacing w:after="0" w:line="245" w:lineRule="auto"/>
        <w:rPr>
          <w:sz w:val="20"/>
          <w:szCs w:val="20"/>
          <w:color w:val="auto"/>
        </w:rPr>
      </w:pPr>
      <w:r>
        <w:rPr>
          <w:rFonts w:ascii="Arial" w:cs="Arial" w:eastAsia="Arial" w:hAnsi="Arial"/>
          <w:sz w:val="18"/>
          <w:szCs w:val="18"/>
          <w:color w:val="auto"/>
        </w:rPr>
        <w:t>As we enter 2025, I believe Ribbon Communications Inc. (“Ribbon”) is in the strongest position we have been in over the last five years. Our customer base has expanded and diversified, we have deepened our relationship with current customers, we have strengthened our balance sheet, and we have improved visibility on the year ahead. We finished the final quarter of 2024 with strong momentum across almost all areas of our business, and achieved the highest levels of revenue and Adjusted EBITDA in the history of Ribbon!</w:t>
      </w:r>
    </w:p>
    <w:p>
      <w:pPr>
        <w:spacing w:after="0" w:line="348" w:lineRule="exact"/>
        <w:rPr>
          <w:sz w:val="20"/>
          <w:szCs w:val="20"/>
          <w:color w:val="auto"/>
        </w:rPr>
      </w:pPr>
    </w:p>
    <w:p>
      <w:pPr>
        <w:jc w:val="both"/>
        <w:ind w:left="920" w:right="379"/>
        <w:spacing w:after="0" w:line="268" w:lineRule="auto"/>
        <w:rPr>
          <w:sz w:val="20"/>
          <w:szCs w:val="20"/>
          <w:color w:val="auto"/>
        </w:rPr>
      </w:pPr>
      <w:r>
        <w:rPr>
          <w:rFonts w:ascii="Arial" w:cs="Arial" w:eastAsia="Arial" w:hAnsi="Arial"/>
          <w:sz w:val="18"/>
          <w:szCs w:val="18"/>
          <w:color w:val="auto"/>
        </w:rPr>
        <w:t>I would like to thank you for your continued support and investment over this last year. Our stockholders are instrumental in our journey of growth and success, and I remain dedicated to enhancing stockholder value.</w:t>
      </w:r>
    </w:p>
    <w:p>
      <w:pPr>
        <w:spacing w:after="0" w:line="200" w:lineRule="exact"/>
        <w:rPr>
          <w:sz w:val="20"/>
          <w:szCs w:val="20"/>
          <w:color w:val="auto"/>
        </w:rPr>
      </w:pPr>
    </w:p>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E7417A"/>
        </w:rPr>
        <w:t>Key Accomplishments</w:t>
      </w:r>
    </w:p>
    <w:p>
      <w:pPr>
        <w:spacing w:after="0" w:line="198" w:lineRule="exact"/>
        <w:rPr>
          <w:sz w:val="20"/>
          <w:szCs w:val="20"/>
          <w:color w:val="auto"/>
        </w:rPr>
      </w:pPr>
    </w:p>
    <w:p>
      <w:pPr>
        <w:ind w:left="920" w:right="199"/>
        <w:spacing w:after="0" w:line="242" w:lineRule="auto"/>
        <w:rPr>
          <w:sz w:val="20"/>
          <w:szCs w:val="20"/>
          <w:color w:val="auto"/>
        </w:rPr>
      </w:pPr>
      <w:r>
        <w:rPr>
          <w:rFonts w:ascii="Arial" w:cs="Arial" w:eastAsia="Arial" w:hAnsi="Arial"/>
          <w:sz w:val="18"/>
          <w:szCs w:val="18"/>
          <w:color w:val="auto"/>
        </w:rPr>
        <w:t>The biggest highlight of the year was the return to growth in our Cloud &amp; Edge business with sales increasing 6% and profitability improving 16% year -over-year. Our Cloud &amp; Edge business with U.S. Tier One Service Providers doubled compared to 2023 and was underpinned by a new multi- year contract with our largest customer, Verizon, to support modernizing their telecom voice infrastructure. The initial phase of the project is a three -year program, and we expect considerable activity for the years following. Additionally, we have a number of incremental projects in both the U.S. and Europe that we expect will maintain a solid growth trajectory with our Service Provider customers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4623435</wp:posOffset>
            </wp:positionH>
            <wp:positionV relativeFrom="paragraph">
              <wp:posOffset>-15240</wp:posOffset>
            </wp:positionV>
            <wp:extent cx="1585595" cy="1585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5595" cy="1585595"/>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2025 and beyond.</w:t>
      </w:r>
    </w:p>
    <w:p>
      <w:pPr>
        <w:spacing w:after="0" w:line="153" w:lineRule="exact"/>
        <w:rPr>
          <w:sz w:val="20"/>
          <w:szCs w:val="20"/>
          <w:color w:val="auto"/>
        </w:rPr>
      </w:pPr>
    </w:p>
    <w:p>
      <w:pPr>
        <w:ind w:left="920" w:right="2739"/>
        <w:spacing w:after="0" w:line="247" w:lineRule="auto"/>
        <w:rPr>
          <w:sz w:val="20"/>
          <w:szCs w:val="20"/>
          <w:color w:val="auto"/>
        </w:rPr>
      </w:pPr>
      <w:r>
        <w:rPr>
          <w:rFonts w:ascii="Arial" w:cs="Arial" w:eastAsia="Arial" w:hAnsi="Arial"/>
          <w:sz w:val="18"/>
          <w:szCs w:val="18"/>
          <w:color w:val="auto"/>
        </w:rPr>
        <w:t>The other key area of growth for us in 2024 was with our Enterprise customers, including a growing business with different agencies of the U.S. federal government. Sales into this combined market segment increased more than 60% in 2024 compared to 2023 and provide important customer diversification for the company.</w:t>
      </w:r>
    </w:p>
    <w:p>
      <w:pPr>
        <w:spacing w:after="0" w:line="136" w:lineRule="exact"/>
        <w:rPr>
          <w:sz w:val="20"/>
          <w:szCs w:val="20"/>
          <w:color w:val="auto"/>
        </w:rPr>
      </w:pPr>
    </w:p>
    <w:p>
      <w:pPr>
        <w:ind w:left="920" w:right="2799"/>
        <w:spacing w:after="0" w:line="252" w:lineRule="auto"/>
        <w:rPr>
          <w:sz w:val="20"/>
          <w:szCs w:val="20"/>
          <w:color w:val="auto"/>
        </w:rPr>
      </w:pPr>
      <w:r>
        <w:rPr>
          <w:rFonts w:ascii="Arial" w:cs="Arial" w:eastAsia="Arial" w:hAnsi="Arial"/>
          <w:sz w:val="18"/>
          <w:szCs w:val="18"/>
          <w:color w:val="auto"/>
        </w:rPr>
        <w:t>Sales in our IP Optical Networks segment missed our growth goal in 2024, but that was primarily a result of the suspension of shipments to Eastern Europe starting in the second quarter of 2024 as the war in the Ukraine continued and U.S. and global sanctions increased.</w:t>
      </w:r>
    </w:p>
    <w:p>
      <w:pPr>
        <w:spacing w:after="0" w:line="130" w:lineRule="exact"/>
        <w:rPr>
          <w:sz w:val="20"/>
          <w:szCs w:val="20"/>
          <w:color w:val="auto"/>
        </w:rPr>
      </w:pPr>
    </w:p>
    <w:p>
      <w:pPr>
        <w:ind w:left="920" w:right="139"/>
        <w:spacing w:after="0" w:line="261" w:lineRule="auto"/>
        <w:rPr>
          <w:sz w:val="20"/>
          <w:szCs w:val="20"/>
          <w:color w:val="auto"/>
        </w:rPr>
      </w:pPr>
      <w:r>
        <w:rPr>
          <w:rFonts w:ascii="Arial" w:cs="Arial" w:eastAsia="Arial" w:hAnsi="Arial"/>
          <w:sz w:val="18"/>
          <w:szCs w:val="18"/>
          <w:color w:val="auto"/>
        </w:rPr>
        <w:t>Despite the lower IP Optical Networks revenue, margins in the business were strong and our continued focus on cost containment resulted in Adjusted EBITDA growth of 30% compared to 2023 for the company, coming in at the high end of our original guidance for the year.</w:t>
      </w:r>
    </w:p>
    <w:p>
      <w:pPr>
        <w:spacing w:after="0" w:line="121" w:lineRule="exact"/>
        <w:rPr>
          <w:sz w:val="20"/>
          <w:szCs w:val="20"/>
          <w:color w:val="auto"/>
        </w:rPr>
      </w:pPr>
    </w:p>
    <w:p>
      <w:pPr>
        <w:ind w:left="920" w:right="179"/>
        <w:spacing w:after="0" w:line="246" w:lineRule="auto"/>
        <w:rPr>
          <w:sz w:val="20"/>
          <w:szCs w:val="20"/>
          <w:color w:val="auto"/>
        </w:rPr>
      </w:pPr>
      <w:r>
        <w:rPr>
          <w:rFonts w:ascii="Arial" w:cs="Arial" w:eastAsia="Arial" w:hAnsi="Arial"/>
          <w:sz w:val="18"/>
          <w:szCs w:val="18"/>
          <w:color w:val="auto"/>
        </w:rPr>
        <w:t>The continued improvement in the business over the last 24 months enabled us to re-finance our credit facility last year, putting in place a new five year term credit facility.We ended 2024 with a strong balance sheet and cash of $90 million, creating a great foundation for continued profitable growth in 2025. The industry focus on network modernization to reduce operating costs, and the investment being made to expand the reach and capacity of fiber networks are the main catalysts for growth in our business, and are helping to drive an overall improving market and investment cycle that we will work to capitalize on in 2025.</w:t>
      </w:r>
    </w:p>
    <w:p>
      <w:pPr>
        <w:spacing w:after="0" w:line="200" w:lineRule="exact"/>
        <w:rPr>
          <w:sz w:val="20"/>
          <w:szCs w:val="20"/>
          <w:color w:val="auto"/>
        </w:rPr>
      </w:pPr>
    </w:p>
    <w:p>
      <w:pPr>
        <w:spacing w:after="0" w:line="2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E7417A"/>
        </w:rPr>
        <w:t>Strategy in 2025</w:t>
      </w:r>
    </w:p>
    <w:p>
      <w:pPr>
        <w:spacing w:after="0" w:line="185" w:lineRule="exact"/>
        <w:rPr>
          <w:sz w:val="20"/>
          <w:szCs w:val="20"/>
          <w:color w:val="auto"/>
        </w:rPr>
      </w:pPr>
    </w:p>
    <w:p>
      <w:pPr>
        <w:ind w:left="920" w:right="119"/>
        <w:spacing w:after="0" w:line="253" w:lineRule="auto"/>
        <w:rPr>
          <w:sz w:val="20"/>
          <w:szCs w:val="20"/>
          <w:color w:val="auto"/>
        </w:rPr>
      </w:pPr>
      <w:r>
        <w:rPr>
          <w:rFonts w:ascii="Arial" w:cs="Arial" w:eastAsia="Arial" w:hAnsi="Arial"/>
          <w:sz w:val="18"/>
          <w:szCs w:val="18"/>
          <w:color w:val="auto"/>
        </w:rPr>
        <w:t>I expect many of these trends to continue this year as we target approximately 5% revenue growth and greater than 10% growth in Adjusted EBITDA. We will continue to focus on cross -selling our entire portfolio to our broad base of customers, with a particular emphasis on further expanding our market share in North America.</w:t>
      </w:r>
    </w:p>
    <w:p>
      <w:pPr>
        <w:spacing w:after="0" w:line="358" w:lineRule="exact"/>
        <w:rPr>
          <w:sz w:val="20"/>
          <w:szCs w:val="20"/>
          <w:color w:val="auto"/>
        </w:rPr>
      </w:pPr>
    </w:p>
    <w:p>
      <w:pPr>
        <w:ind w:left="920" w:right="559"/>
        <w:spacing w:after="0" w:line="252" w:lineRule="auto"/>
        <w:rPr>
          <w:sz w:val="20"/>
          <w:szCs w:val="20"/>
          <w:color w:val="auto"/>
        </w:rPr>
      </w:pPr>
      <w:r>
        <w:rPr>
          <w:rFonts w:ascii="Arial" w:cs="Arial" w:eastAsia="Arial" w:hAnsi="Arial"/>
          <w:sz w:val="18"/>
          <w:szCs w:val="18"/>
          <w:color w:val="auto"/>
        </w:rPr>
        <w:t>Innovation remains a top priority as we continue to enhance all aspects of our portfolio. This includes significant enhancements to our IP Routing solutions, new variants of our Optical Transport platforms, additional Information Security features, and adaptation of our voice products to cloud-native implementations. Our customers are excited to embrace AI to further automate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321945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20" w:right="1120"/>
        <w:spacing w:after="0" w:line="261" w:lineRule="auto"/>
        <w:rPr>
          <w:sz w:val="20"/>
          <w:szCs w:val="20"/>
          <w:color w:val="auto"/>
        </w:rPr>
      </w:pPr>
      <w:r>
        <w:rPr>
          <w:rFonts w:ascii="Arial" w:cs="Arial" w:eastAsia="Arial" w:hAnsi="Arial"/>
          <w:sz w:val="18"/>
          <w:szCs w:val="18"/>
          <w:color w:val="auto"/>
        </w:rPr>
        <w:t>networks and accelerate the deployment of new features, and we continue to see very strong interest in our advanced analytics platform to support these initiatives by reducing cycle times and lowering network implementation costs.</w:t>
      </w:r>
    </w:p>
    <w:p>
      <w:pPr>
        <w:spacing w:after="0" w:line="94" w:lineRule="exact"/>
        <w:rPr>
          <w:sz w:val="20"/>
          <w:szCs w:val="20"/>
          <w:color w:val="auto"/>
        </w:rPr>
      </w:pPr>
    </w:p>
    <w:p>
      <w:pPr>
        <w:ind w:left="920" w:right="1140"/>
        <w:spacing w:after="0" w:line="253" w:lineRule="auto"/>
        <w:rPr>
          <w:sz w:val="20"/>
          <w:szCs w:val="20"/>
          <w:color w:val="auto"/>
        </w:rPr>
      </w:pPr>
      <w:r>
        <w:rPr>
          <w:rFonts w:ascii="Arial" w:cs="Arial" w:eastAsia="Arial" w:hAnsi="Arial"/>
          <w:sz w:val="18"/>
          <w:szCs w:val="18"/>
          <w:color w:val="auto"/>
        </w:rPr>
        <w:t>We also plan to invest more in our Professional Services capabilities and practices, where we believe we have a unique employee talent pool that has knowledge across multiple generations of voice and data networking that is in very high demand and an important differentiator for us.</w:t>
      </w:r>
    </w:p>
    <w:p>
      <w:pPr>
        <w:spacing w:after="0" w:line="101" w:lineRule="exact"/>
        <w:rPr>
          <w:sz w:val="20"/>
          <w:szCs w:val="20"/>
          <w:color w:val="auto"/>
        </w:rPr>
      </w:pPr>
    </w:p>
    <w:p>
      <w:pPr>
        <w:ind w:left="920" w:right="1160"/>
        <w:spacing w:after="0" w:line="252" w:lineRule="auto"/>
        <w:rPr>
          <w:sz w:val="20"/>
          <w:szCs w:val="20"/>
          <w:color w:val="auto"/>
        </w:rPr>
      </w:pPr>
      <w:r>
        <w:rPr>
          <w:rFonts w:ascii="Arial" w:cs="Arial" w:eastAsia="Arial" w:hAnsi="Arial"/>
          <w:sz w:val="18"/>
          <w:szCs w:val="18"/>
          <w:color w:val="auto"/>
        </w:rPr>
        <w:t>From a macro perspective, there is more optimism across the industry as supply chain and inventory challenges continue to abate, inflation slowly reverses, and interest rates normalize over time. There is also the promise of resolution of global conflicts in regions such as Israel and the Ukraine that we expect would be a significant tail wind for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94615</wp:posOffset>
            </wp:positionV>
            <wp:extent cx="5083175" cy="1551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83175"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E7417A"/>
        </w:rPr>
        <w:t>The Future Looks Bright</w:t>
      </w:r>
    </w:p>
    <w:p>
      <w:pPr>
        <w:spacing w:after="0" w:line="158" w:lineRule="exact"/>
        <w:rPr>
          <w:sz w:val="20"/>
          <w:szCs w:val="20"/>
          <w:color w:val="auto"/>
        </w:rPr>
      </w:pPr>
    </w:p>
    <w:p>
      <w:pPr>
        <w:ind w:left="920" w:right="980"/>
        <w:spacing w:after="0" w:line="261" w:lineRule="auto"/>
        <w:rPr>
          <w:sz w:val="20"/>
          <w:szCs w:val="20"/>
          <w:color w:val="auto"/>
        </w:rPr>
      </w:pPr>
      <w:r>
        <w:rPr>
          <w:rFonts w:ascii="Arial" w:cs="Arial" w:eastAsia="Arial" w:hAnsi="Arial"/>
          <w:sz w:val="18"/>
          <w:szCs w:val="18"/>
          <w:color w:val="auto"/>
        </w:rPr>
        <w:t>Ultimately, the success of our business is tied to our people and the common focus we have on our mission to become a recognized global technology leader. I cannot thank the Ribbon team enough for their dedication and perseverance, adapting and overcoming all obstacles.</w:t>
      </w:r>
    </w:p>
    <w:p>
      <w:pPr>
        <w:spacing w:after="0" w:line="94" w:lineRule="exact"/>
        <w:rPr>
          <w:sz w:val="20"/>
          <w:szCs w:val="20"/>
          <w:color w:val="auto"/>
        </w:rPr>
      </w:pPr>
    </w:p>
    <w:p>
      <w:pPr>
        <w:ind w:left="920" w:right="1020"/>
        <w:spacing w:after="0" w:line="247" w:lineRule="auto"/>
        <w:rPr>
          <w:sz w:val="20"/>
          <w:szCs w:val="20"/>
          <w:color w:val="auto"/>
        </w:rPr>
      </w:pPr>
      <w:r>
        <w:rPr>
          <w:rFonts w:ascii="Arial" w:cs="Arial" w:eastAsia="Arial" w:hAnsi="Arial"/>
          <w:sz w:val="18"/>
          <w:szCs w:val="18"/>
          <w:color w:val="auto"/>
        </w:rPr>
        <w:t>We believe that transparency and systematic engagement with our stockholders is key to strong corporate governance. In the last 12 months we have spoken regularly with stockholders that represent more than 60% of our outstanding shares, and discussed a variety of topics including our strategy, the financial performance of the company, broader industry dynamics, and regulatory changes. This dialogue is a fundamental part of the operating cadence of the company.</w:t>
      </w:r>
    </w:p>
    <w:p>
      <w:pPr>
        <w:spacing w:after="0" w:line="109" w:lineRule="exact"/>
        <w:rPr>
          <w:sz w:val="20"/>
          <w:szCs w:val="20"/>
          <w:color w:val="auto"/>
        </w:rPr>
      </w:pPr>
    </w:p>
    <w:p>
      <w:pPr>
        <w:ind w:left="920" w:right="980"/>
        <w:spacing w:after="0" w:line="253" w:lineRule="auto"/>
        <w:rPr>
          <w:sz w:val="20"/>
          <w:szCs w:val="20"/>
          <w:color w:val="auto"/>
        </w:rPr>
      </w:pPr>
      <w:r>
        <w:rPr>
          <w:rFonts w:ascii="Arial" w:cs="Arial" w:eastAsia="Arial" w:hAnsi="Arial"/>
          <w:sz w:val="18"/>
          <w:szCs w:val="18"/>
          <w:color w:val="auto"/>
        </w:rPr>
        <w:t xml:space="preserve">Your participation in the stockholder’s meeting is invaluable, and we encourage you to exercise your voting rights by </w:t>
      </w:r>
      <w:r>
        <w:rPr>
          <w:rFonts w:ascii="Arial" w:cs="Arial" w:eastAsia="Arial" w:hAnsi="Arial"/>
          <w:sz w:val="18"/>
          <w:szCs w:val="18"/>
          <w:b w:val="1"/>
          <w:bCs w:val="1"/>
          <w:color w:val="auto"/>
        </w:rPr>
        <w:t>promptly voting your proxy</w:t>
      </w:r>
      <w:r>
        <w:rPr>
          <w:rFonts w:ascii="Arial" w:cs="Arial" w:eastAsia="Arial" w:hAnsi="Arial"/>
          <w:sz w:val="18"/>
          <w:szCs w:val="18"/>
          <w:color w:val="auto"/>
        </w:rPr>
        <w:t>. Your input and feedback are essential as we strive to build a stronger, more resilient Ribbon in 2025.</w:t>
      </w:r>
    </w:p>
    <w:p>
      <w:pPr>
        <w:spacing w:after="0" w:line="10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ind w:left="5380"/>
        <w:spacing w:after="0"/>
        <w:tabs>
          <w:tab w:leader="none" w:pos="7060" w:val="left"/>
          <w:tab w:leader="none" w:pos="9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-127635</wp:posOffset>
            </wp:positionV>
            <wp:extent cx="2632075" cy="1431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3207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380"/>
        <w:spacing w:after="0"/>
        <w:rPr>
          <w:sz w:val="20"/>
          <w:szCs w:val="20"/>
          <w:color w:val="auto"/>
        </w:rPr>
      </w:pPr>
      <w:r>
        <w:rPr>
          <w:rFonts w:ascii="Arial" w:cs="Arial" w:eastAsia="Arial" w:hAnsi="Arial"/>
          <w:sz w:val="18"/>
          <w:szCs w:val="18"/>
          <w:color w:val="62259D"/>
        </w:rPr>
        <w:t>Bruce McClelland</w:t>
      </w:r>
    </w:p>
    <w:p>
      <w:pPr>
        <w:spacing w:after="0" w:line="1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President and CEO</w:t>
      </w:r>
    </w:p>
    <w:p>
      <w:pPr>
        <w:spacing w:after="0" w:line="9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April 14, 2025</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60" w:type="dxa"/>
            <w:vAlign w:val="bottom"/>
          </w:tcPr>
          <w:p>
            <w:pPr>
              <w:ind w:left="7240"/>
              <w:spacing w:after="0"/>
              <w:rPr>
                <w:sz w:val="20"/>
                <w:szCs w:val="20"/>
                <w:color w:val="auto"/>
              </w:rPr>
            </w:pPr>
            <w:r>
              <w:rPr>
                <w:rFonts w:ascii="Arial" w:cs="Arial" w:eastAsia="Arial" w:hAnsi="Arial"/>
                <w:sz w:val="15"/>
                <w:szCs w:val="15"/>
                <w:b w:val="1"/>
                <w:bCs w:val="1"/>
                <w:color w:val="FEFEFE"/>
              </w:rPr>
              <w:t>​ ​</w:t>
            </w:r>
          </w:p>
        </w:tc>
        <w:tc>
          <w:tcPr>
            <w:tcW w:w="160" w:type="dxa"/>
            <w:vAlign w:val="bottom"/>
            <w:shd w:val="clear" w:color="auto" w:fill="62259D"/>
          </w:tcPr>
          <w:p>
            <w:pPr>
              <w:spacing w:after="0"/>
              <w:rPr>
                <w:sz w:val="20"/>
                <w:szCs w:val="20"/>
                <w:color w:val="auto"/>
              </w:rPr>
            </w:pPr>
            <w:r>
              <w:rPr>
                <w:rFonts w:ascii="Arial" w:cs="Arial" w:eastAsia="Arial" w:hAnsi="Arial"/>
                <w:sz w:val="15"/>
                <w:szCs w:val="15"/>
                <w:b w:val="1"/>
                <w:bCs w:val="1"/>
                <w:color w:val="FEFEFE"/>
              </w:rPr>
              <w:t>​</w:t>
            </w:r>
          </w:p>
        </w:tc>
        <w:tc>
          <w:tcPr>
            <w:tcW w:w="1700" w:type="dxa"/>
            <w:vAlign w:val="bottom"/>
            <w:vMerge w:val="restart"/>
            <w:shd w:val="clear" w:color="auto" w:fill="62259D"/>
          </w:tcPr>
          <w:p>
            <w:pPr>
              <w:jc w:val="center"/>
              <w:spacing w:after="0"/>
              <w:rPr>
                <w:sz w:val="20"/>
                <w:szCs w:val="20"/>
                <w:color w:val="auto"/>
              </w:rPr>
            </w:pPr>
            <w:r>
              <w:rPr>
                <w:rFonts w:ascii="Arial" w:cs="Arial" w:eastAsia="Arial" w:hAnsi="Arial"/>
                <w:sz w:val="15"/>
                <w:szCs w:val="15"/>
                <w:b w:val="1"/>
                <w:bCs w:val="1"/>
                <w:color w:val="FEFEFE"/>
              </w:rPr>
              <w:t>Bruce McClelland,</w:t>
            </w:r>
          </w:p>
        </w:tc>
        <w:tc>
          <w:tcPr>
            <w:tcW w:w="180" w:type="dxa"/>
            <w:vAlign w:val="bottom"/>
            <w:shd w:val="clear" w:color="auto" w:fill="62259D"/>
          </w:tcPr>
          <w:p>
            <w:pPr>
              <w:ind w:left="80"/>
              <w:spacing w:after="0"/>
              <w:rPr>
                <w:sz w:val="20"/>
                <w:szCs w:val="20"/>
                <w:color w:val="auto"/>
              </w:rPr>
            </w:pPr>
            <w:r>
              <w:rPr>
                <w:rFonts w:ascii="Arial" w:cs="Arial" w:eastAsia="Arial" w:hAnsi="Arial"/>
                <w:sz w:val="15"/>
                <w:szCs w:val="15"/>
                <w:b w:val="1"/>
                <w:bCs w:val="1"/>
                <w:color w:val="FEFEFE"/>
              </w:rPr>
              <w:t>​</w:t>
            </w:r>
          </w:p>
        </w:tc>
        <w:tc>
          <w:tcPr>
            <w:tcW w:w="1220" w:type="dxa"/>
            <w:vAlign w:val="bottom"/>
          </w:tcPr>
          <w:p>
            <w:pPr>
              <w:ind w:left="20"/>
              <w:spacing w:after="0"/>
              <w:rPr>
                <w:sz w:val="20"/>
                <w:szCs w:val="20"/>
                <w:color w:val="auto"/>
              </w:rPr>
            </w:pPr>
            <w:r>
              <w:rPr>
                <w:rFonts w:ascii="Arial" w:cs="Arial" w:eastAsia="Arial" w:hAnsi="Arial"/>
                <w:sz w:val="15"/>
                <w:szCs w:val="15"/>
                <w:b w:val="1"/>
                <w:bCs w:val="1"/>
                <w:color w:val="FEFEFE"/>
              </w:rPr>
              <w:t>​ ​</w:t>
            </w:r>
          </w:p>
        </w:tc>
        <w:tc>
          <w:tcPr>
            <w:tcW w:w="0" w:type="dxa"/>
            <w:vAlign w:val="bottom"/>
          </w:tcPr>
          <w:p>
            <w:pPr>
              <w:spacing w:after="0"/>
              <w:rPr>
                <w:sz w:val="1"/>
                <w:szCs w:val="1"/>
                <w:color w:val="auto"/>
              </w:rPr>
            </w:pPr>
          </w:p>
        </w:tc>
      </w:tr>
      <w:tr>
        <w:trPr>
          <w:trHeight w:val="62"/>
        </w:trPr>
        <w:tc>
          <w:tcPr>
            <w:tcW w:w="7460" w:type="dxa"/>
            <w:vAlign w:val="bottom"/>
          </w:tcPr>
          <w:p>
            <w:pPr>
              <w:spacing w:after="0"/>
              <w:rPr>
                <w:sz w:val="5"/>
                <w:szCs w:val="5"/>
                <w:color w:val="auto"/>
              </w:rPr>
            </w:pPr>
          </w:p>
        </w:tc>
        <w:tc>
          <w:tcPr>
            <w:tcW w:w="160" w:type="dxa"/>
            <w:vAlign w:val="bottom"/>
            <w:shd w:val="clear" w:color="auto" w:fill="62259D"/>
          </w:tcPr>
          <w:p>
            <w:pPr>
              <w:spacing w:after="0"/>
              <w:rPr>
                <w:sz w:val="5"/>
                <w:szCs w:val="5"/>
                <w:color w:val="auto"/>
              </w:rPr>
            </w:pPr>
          </w:p>
        </w:tc>
        <w:tc>
          <w:tcPr>
            <w:tcW w:w="1700" w:type="dxa"/>
            <w:vAlign w:val="bottom"/>
            <w:vMerge w:val="continue"/>
            <w:shd w:val="clear" w:color="auto" w:fill="62259D"/>
          </w:tcPr>
          <w:p>
            <w:pPr>
              <w:spacing w:after="0"/>
              <w:rPr>
                <w:sz w:val="5"/>
                <w:szCs w:val="5"/>
                <w:color w:val="auto"/>
              </w:rPr>
            </w:pPr>
          </w:p>
        </w:tc>
        <w:tc>
          <w:tcPr>
            <w:tcW w:w="180" w:type="dxa"/>
            <w:vAlign w:val="bottom"/>
            <w:shd w:val="clear" w:color="auto" w:fill="62259D"/>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7460" w:type="dxa"/>
            <w:vAlign w:val="bottom"/>
          </w:tcPr>
          <w:p>
            <w:pPr>
              <w:spacing w:after="0"/>
              <w:rPr>
                <w:sz w:val="22"/>
                <w:szCs w:val="22"/>
                <w:color w:val="auto"/>
              </w:rPr>
            </w:pPr>
          </w:p>
        </w:tc>
        <w:tc>
          <w:tcPr>
            <w:tcW w:w="160" w:type="dxa"/>
            <w:vAlign w:val="bottom"/>
            <w:tcBorders>
              <w:bottom w:val="single" w:sz="8" w:color="62259D"/>
            </w:tcBorders>
            <w:shd w:val="clear" w:color="auto" w:fill="62259D"/>
          </w:tcPr>
          <w:p>
            <w:pPr>
              <w:spacing w:after="0"/>
              <w:rPr>
                <w:sz w:val="22"/>
                <w:szCs w:val="22"/>
                <w:color w:val="auto"/>
              </w:rPr>
            </w:pPr>
          </w:p>
        </w:tc>
        <w:tc>
          <w:tcPr>
            <w:tcW w:w="1700" w:type="dxa"/>
            <w:vAlign w:val="bottom"/>
            <w:tcBorders>
              <w:bottom w:val="single" w:sz="8" w:color="62259D"/>
            </w:tcBorders>
            <w:shd w:val="clear" w:color="auto" w:fill="62259D"/>
          </w:tcPr>
          <w:p>
            <w:pPr>
              <w:jc w:val="center"/>
              <w:spacing w:after="0"/>
              <w:rPr>
                <w:sz w:val="20"/>
                <w:szCs w:val="20"/>
                <w:color w:val="auto"/>
              </w:rPr>
            </w:pPr>
            <w:r>
              <w:rPr>
                <w:rFonts w:ascii="Arial" w:cs="Arial" w:eastAsia="Arial" w:hAnsi="Arial"/>
                <w:sz w:val="15"/>
                <w:szCs w:val="15"/>
                <w:b w:val="1"/>
                <w:bCs w:val="1"/>
                <w:color w:val="FEFEFE"/>
              </w:rPr>
              <w:t>President and CEO</w:t>
            </w:r>
          </w:p>
        </w:tc>
        <w:tc>
          <w:tcPr>
            <w:tcW w:w="180" w:type="dxa"/>
            <w:vAlign w:val="bottom"/>
            <w:tcBorders>
              <w:bottom w:val="single" w:sz="8" w:color="62259D"/>
            </w:tcBorders>
            <w:shd w:val="clear" w:color="auto" w:fill="62259D"/>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8"/>
        </w:trPr>
        <w:tc>
          <w:tcPr>
            <w:tcW w:w="7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-81280</wp:posOffset>
            </wp:positionV>
            <wp:extent cx="6669405" cy="12687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9405"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20" w:right="879"/>
        <w:spacing w:after="0" w:line="264" w:lineRule="auto"/>
        <w:rPr>
          <w:sz w:val="20"/>
          <w:szCs w:val="20"/>
          <w:color w:val="auto"/>
        </w:rPr>
      </w:pPr>
      <w:r>
        <w:rPr>
          <w:rFonts w:ascii="Arial" w:cs="Arial" w:eastAsia="Arial" w:hAnsi="Arial"/>
          <w:sz w:val="43"/>
          <w:szCs w:val="43"/>
          <w:b w:val="1"/>
          <w:bCs w:val="1"/>
          <w:color w:val="62259D"/>
        </w:rPr>
        <w:t>NOTICE OF 2025 ANNUAL MEETING OF STOCKHOLDERS</w:t>
      </w:r>
    </w:p>
    <w:p>
      <w:pPr>
        <w:sectPr>
          <w:pgSz w:w="11900" w:h="16838" w:orient="portrait"/>
          <w:cols w:equalWidth="0" w:num="1">
            <w:col w:w="9879"/>
          </w:cols>
          <w:pgMar w:left="580" w:top="97" w:right="1440" w:bottom="1440" w:gutter="0" w:footer="0" w:header="0"/>
        </w:sectPr>
      </w:pPr>
    </w:p>
    <w:p>
      <w:pPr>
        <w:spacing w:after="0" w:line="4" w:lineRule="exact"/>
        <w:rPr>
          <w:sz w:val="20"/>
          <w:szCs w:val="20"/>
          <w:color w:val="auto"/>
        </w:rPr>
      </w:pPr>
    </w:p>
    <w:p>
      <w:pPr>
        <w:ind w:left="1040"/>
        <w:spacing w:after="0"/>
        <w:tabs>
          <w:tab w:leader="none" w:pos="5120" w:val="left"/>
        </w:tabs>
        <w:rPr>
          <w:sz w:val="20"/>
          <w:szCs w:val="20"/>
          <w:color w:val="auto"/>
        </w:rPr>
      </w:pPr>
      <w:r>
        <w:rPr>
          <w:rFonts w:ascii="Arial" w:cs="Arial" w:eastAsia="Arial" w:hAnsi="Arial"/>
          <w:sz w:val="16"/>
          <w:szCs w:val="16"/>
          <w:b w:val="1"/>
          <w:bCs w:val="1"/>
          <w:color w:val="FEFEFE"/>
        </w:rPr>
        <w:t>2025 Annual Meeting</w:t>
      </w:r>
      <w:r>
        <w:rPr>
          <w:sz w:val="20"/>
          <w:szCs w:val="20"/>
          <w:color w:val="auto"/>
        </w:rPr>
        <w:tab/>
      </w:r>
      <w:r>
        <w:rPr>
          <w:rFonts w:ascii="Arial" w:cs="Arial" w:eastAsia="Arial" w:hAnsi="Arial"/>
          <w:sz w:val="32"/>
          <w:szCs w:val="32"/>
          <w:b w:val="1"/>
          <w:bCs w:val="1"/>
          <w:color w:val="FEFEFE"/>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-161290</wp:posOffset>
            </wp:positionV>
            <wp:extent cx="2802890" cy="1911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02890" cy="1911350"/>
                    </a:xfrm>
                    <a:prstGeom prst="rect">
                      <a:avLst/>
                    </a:prstGeom>
                    <a:noFill/>
                  </pic:spPr>
                </pic:pic>
              </a:graphicData>
            </a:graphic>
          </wp:anchor>
        </w:drawing>
      </w:r>
    </w:p>
    <w:p>
      <w:pPr>
        <w:spacing w:after="0" w:line="96" w:lineRule="exact"/>
        <w:rPr>
          <w:sz w:val="20"/>
          <w:szCs w:val="20"/>
          <w:color w:val="auto"/>
        </w:rPr>
      </w:pPr>
    </w:p>
    <w:tbl>
      <w:tblPr>
        <w:tblLayout w:type="fixed"/>
        <w:tblInd w:w="920" w:type="dxa"/>
        <w:tblCellMar>
          <w:top w:w="0" w:type="dxa"/>
          <w:left w:w="0" w:type="dxa"/>
          <w:bottom w:w="0" w:type="dxa"/>
          <w:right w:w="0" w:type="dxa"/>
        </w:tblCellMar>
      </w:tblPr>
      <w:tr>
        <w:trPr>
          <w:trHeight w:val="452"/>
        </w:trPr>
        <w:tc>
          <w:tcPr>
            <w:tcW w:w="4160" w:type="dxa"/>
            <w:vAlign w:val="bottom"/>
          </w:tcPr>
          <w:p>
            <w:pPr>
              <w:ind w:left="700"/>
              <w:spacing w:after="0"/>
              <w:rPr>
                <w:sz w:val="20"/>
                <w:szCs w:val="20"/>
                <w:color w:val="auto"/>
              </w:rPr>
            </w:pPr>
            <w:r>
              <w:rPr>
                <w:rFonts w:ascii="Arial" w:cs="Arial" w:eastAsia="Arial" w:hAnsi="Arial"/>
                <w:sz w:val="35"/>
                <w:szCs w:val="35"/>
                <w:b w:val="1"/>
                <w:bCs w:val="1"/>
                <w:color w:val="auto"/>
                <w:vertAlign w:val="subscript"/>
              </w:rPr>
              <w:t>​​</w:t>
            </w:r>
            <w:r>
              <w:rPr>
                <w:rFonts w:ascii="Arial" w:cs="Arial" w:eastAsia="Arial" w:hAnsi="Arial"/>
                <w:sz w:val="18"/>
                <w:szCs w:val="18"/>
                <w:b w:val="1"/>
                <w:bCs w:val="1"/>
                <w:color w:val="auto"/>
              </w:rPr>
              <w:t xml:space="preserve"> Date and Time</w:t>
            </w:r>
            <w:r>
              <w:rPr>
                <w:rFonts w:ascii="Arial" w:cs="Arial" w:eastAsia="Arial" w:hAnsi="Arial"/>
                <w:sz w:val="16"/>
                <w:szCs w:val="16"/>
                <w:color w:val="auto"/>
              </w:rPr>
              <w:t>​</w:t>
            </w:r>
          </w:p>
        </w:tc>
        <w:tc>
          <w:tcPr>
            <w:tcW w:w="100" w:type="dxa"/>
            <w:vAlign w:val="bottom"/>
          </w:tcPr>
          <w:p>
            <w:pPr>
              <w:ind w:left="60"/>
              <w:spacing w:after="0"/>
              <w:rPr>
                <w:sz w:val="20"/>
                <w:szCs w:val="20"/>
                <w:color w:val="auto"/>
              </w:rPr>
            </w:pPr>
            <w:r>
              <w:rPr>
                <w:rFonts w:ascii="Arial" w:cs="Arial" w:eastAsia="Arial" w:hAnsi="Arial"/>
                <w:sz w:val="18"/>
                <w:szCs w:val="18"/>
                <w:b w:val="1"/>
                <w:bCs w:val="1"/>
                <w:color w:val="auto"/>
              </w:rPr>
              <w:t>​</w:t>
            </w:r>
          </w:p>
        </w:tc>
      </w:tr>
      <w:tr>
        <w:trPr>
          <w:trHeight w:val="189"/>
        </w:trPr>
        <w:tc>
          <w:tcPr>
            <w:tcW w:w="4160" w:type="dxa"/>
            <w:vAlign w:val="bottom"/>
          </w:tcPr>
          <w:p>
            <w:pPr>
              <w:ind w:left="120"/>
              <w:spacing w:after="0"/>
              <w:rPr>
                <w:sz w:val="20"/>
                <w:szCs w:val="20"/>
                <w:color w:val="auto"/>
              </w:rPr>
            </w:pPr>
            <w:r>
              <w:rPr>
                <w:rFonts w:ascii="Arial" w:cs="Arial" w:eastAsia="Arial" w:hAnsi="Arial"/>
                <w:sz w:val="16"/>
                <w:szCs w:val="16"/>
                <w:color w:val="auto"/>
              </w:rPr>
              <w:t>May 28, 2025</w:t>
            </w:r>
          </w:p>
        </w:tc>
        <w:tc>
          <w:tcPr>
            <w:tcW w:w="100" w:type="dxa"/>
            <w:vAlign w:val="bottom"/>
          </w:tcPr>
          <w:p>
            <w:pPr>
              <w:spacing w:after="0"/>
              <w:rPr>
                <w:sz w:val="16"/>
                <w:szCs w:val="16"/>
                <w:color w:val="auto"/>
              </w:rPr>
            </w:pPr>
          </w:p>
        </w:tc>
      </w:tr>
      <w:tr>
        <w:trPr>
          <w:trHeight w:val="215"/>
        </w:trPr>
        <w:tc>
          <w:tcPr>
            <w:tcW w:w="4160" w:type="dxa"/>
            <w:vAlign w:val="bottom"/>
          </w:tcPr>
          <w:p>
            <w:pPr>
              <w:ind w:left="120"/>
              <w:spacing w:after="0"/>
              <w:rPr>
                <w:sz w:val="20"/>
                <w:szCs w:val="20"/>
                <w:color w:val="auto"/>
              </w:rPr>
            </w:pPr>
            <w:r>
              <w:rPr>
                <w:rFonts w:ascii="Arial" w:cs="Arial" w:eastAsia="Arial" w:hAnsi="Arial"/>
                <w:sz w:val="16"/>
                <w:szCs w:val="16"/>
                <w:color w:val="auto"/>
              </w:rPr>
              <w:t>10:00 a.m. Eastern Time</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541"/>
        </w:trPr>
        <w:tc>
          <w:tcPr>
            <w:tcW w:w="4160" w:type="dxa"/>
            <w:vAlign w:val="bottom"/>
          </w:tcPr>
          <w:p>
            <w:pPr>
              <w:ind w:left="700"/>
              <w:spacing w:after="0"/>
              <w:rPr>
                <w:sz w:val="20"/>
                <w:szCs w:val="20"/>
                <w:color w:val="auto"/>
              </w:rPr>
            </w:pPr>
            <w:r>
              <w:rPr>
                <w:rFonts w:ascii="Arial" w:cs="Arial" w:eastAsia="Arial" w:hAnsi="Arial"/>
                <w:sz w:val="35"/>
                <w:szCs w:val="35"/>
                <w:b w:val="1"/>
                <w:bCs w:val="1"/>
                <w:color w:val="auto"/>
                <w:vertAlign w:val="subscript"/>
              </w:rPr>
              <w:t>​​</w:t>
            </w:r>
            <w:r>
              <w:rPr>
                <w:rFonts w:ascii="Arial" w:cs="Arial" w:eastAsia="Arial" w:hAnsi="Arial"/>
                <w:sz w:val="18"/>
                <w:szCs w:val="18"/>
                <w:b w:val="1"/>
                <w:bCs w:val="1"/>
                <w:color w:val="auto"/>
              </w:rPr>
              <w:t xml:space="preserve"> Virtual Meeting URL</w:t>
            </w:r>
            <w:r>
              <w:rPr>
                <w:rFonts w:ascii="Arial" w:cs="Arial" w:eastAsia="Arial" w:hAnsi="Arial"/>
                <w:sz w:val="16"/>
                <w:szCs w:val="16"/>
                <w:color w:val="auto"/>
              </w:rPr>
              <w:t>​</w:t>
            </w:r>
          </w:p>
        </w:tc>
        <w:tc>
          <w:tcPr>
            <w:tcW w:w="100" w:type="dxa"/>
            <w:vAlign w:val="bottom"/>
          </w:tcPr>
          <w:p>
            <w:pPr>
              <w:ind w:left="60"/>
              <w:spacing w:after="0"/>
              <w:rPr>
                <w:sz w:val="20"/>
                <w:szCs w:val="20"/>
                <w:color w:val="auto"/>
              </w:rPr>
            </w:pPr>
            <w:r>
              <w:rPr>
                <w:rFonts w:ascii="Arial" w:cs="Arial" w:eastAsia="Arial" w:hAnsi="Arial"/>
                <w:sz w:val="18"/>
                <w:szCs w:val="18"/>
                <w:b w:val="1"/>
                <w:bCs w:val="1"/>
                <w:color w:val="auto"/>
              </w:rPr>
              <w:t>​</w:t>
            </w:r>
          </w:p>
        </w:tc>
      </w:tr>
      <w:tr>
        <w:trPr>
          <w:trHeight w:val="215"/>
        </w:trPr>
        <w:tc>
          <w:tcPr>
            <w:tcW w:w="4160" w:type="dxa"/>
            <w:vAlign w:val="bottom"/>
          </w:tcPr>
          <w:p>
            <w:pPr>
              <w:ind w:left="120"/>
              <w:spacing w:after="0"/>
              <w:rPr>
                <w:sz w:val="20"/>
                <w:szCs w:val="20"/>
                <w:color w:val="auto"/>
              </w:rPr>
            </w:pPr>
            <w:r>
              <w:rPr>
                <w:rFonts w:ascii="Arial" w:cs="Arial" w:eastAsia="Arial" w:hAnsi="Arial"/>
                <w:sz w:val="16"/>
                <w:szCs w:val="16"/>
                <w:color w:val="E7417A"/>
              </w:rPr>
              <w:t>www.virtualshareholdermeeting.com/RBBN2025</w:t>
            </w:r>
          </w:p>
        </w:tc>
        <w:tc>
          <w:tcPr>
            <w:tcW w:w="100" w:type="dxa"/>
            <w:vAlign w:val="bottom"/>
          </w:tcPr>
          <w:p>
            <w:pPr>
              <w:ind w:left="60"/>
              <w:spacing w:after="0"/>
              <w:rPr>
                <w:sz w:val="20"/>
                <w:szCs w:val="20"/>
                <w:color w:val="auto"/>
              </w:rPr>
            </w:pPr>
            <w:r>
              <w:rPr>
                <w:rFonts w:ascii="Arial" w:cs="Arial" w:eastAsia="Arial" w:hAnsi="Arial"/>
                <w:sz w:val="16"/>
                <w:szCs w:val="16"/>
                <w:color w:val="E7417A"/>
              </w:rPr>
              <w:t>​</w:t>
            </w:r>
          </w:p>
        </w:tc>
      </w:tr>
      <w:tr>
        <w:trPr>
          <w:trHeight w:val="460"/>
        </w:trPr>
        <w:tc>
          <w:tcPr>
            <w:tcW w:w="4160" w:type="dxa"/>
            <w:vAlign w:val="bottom"/>
          </w:tcPr>
          <w:p>
            <w:pPr>
              <w:ind w:left="700"/>
              <w:spacing w:after="0"/>
              <w:rPr>
                <w:sz w:val="20"/>
                <w:szCs w:val="20"/>
                <w:color w:val="auto"/>
              </w:rPr>
            </w:pPr>
            <w:r>
              <w:rPr>
                <w:rFonts w:ascii="Arial" w:cs="Arial" w:eastAsia="Arial" w:hAnsi="Arial"/>
                <w:sz w:val="35"/>
                <w:szCs w:val="35"/>
                <w:b w:val="1"/>
                <w:bCs w:val="1"/>
                <w:color w:val="auto"/>
                <w:vertAlign w:val="subscript"/>
              </w:rPr>
              <w:t>​​</w:t>
            </w:r>
            <w:r>
              <w:rPr>
                <w:rFonts w:ascii="Arial" w:cs="Arial" w:eastAsia="Arial" w:hAnsi="Arial"/>
                <w:sz w:val="18"/>
                <w:szCs w:val="18"/>
                <w:b w:val="1"/>
                <w:bCs w:val="1"/>
                <w:color w:val="auto"/>
              </w:rPr>
              <w:t xml:space="preserve"> Record Date</w:t>
            </w:r>
            <w:r>
              <w:rPr>
                <w:rFonts w:ascii="Arial" w:cs="Arial" w:eastAsia="Arial" w:hAnsi="Arial"/>
                <w:sz w:val="16"/>
                <w:szCs w:val="16"/>
                <w:color w:val="auto"/>
              </w:rPr>
              <w:t>​</w:t>
            </w:r>
          </w:p>
        </w:tc>
        <w:tc>
          <w:tcPr>
            <w:tcW w:w="100" w:type="dxa"/>
            <w:vAlign w:val="bottom"/>
          </w:tcPr>
          <w:p>
            <w:pPr>
              <w:ind w:left="60"/>
              <w:spacing w:after="0"/>
              <w:rPr>
                <w:sz w:val="20"/>
                <w:szCs w:val="20"/>
                <w:color w:val="auto"/>
              </w:rPr>
            </w:pPr>
            <w:r>
              <w:rPr>
                <w:rFonts w:ascii="Arial" w:cs="Arial" w:eastAsia="Arial" w:hAnsi="Arial"/>
                <w:sz w:val="18"/>
                <w:szCs w:val="18"/>
                <w:b w:val="1"/>
                <w:bCs w:val="1"/>
                <w:color w:val="auto"/>
              </w:rPr>
              <w:t>​</w:t>
            </w:r>
          </w:p>
        </w:tc>
      </w:tr>
      <w:tr>
        <w:trPr>
          <w:trHeight w:val="189"/>
        </w:trPr>
        <w:tc>
          <w:tcPr>
            <w:tcW w:w="4160" w:type="dxa"/>
            <w:vAlign w:val="bottom"/>
          </w:tcPr>
          <w:p>
            <w:pPr>
              <w:ind w:left="120"/>
              <w:spacing w:after="0"/>
              <w:rPr>
                <w:sz w:val="20"/>
                <w:szCs w:val="20"/>
                <w:color w:val="auto"/>
              </w:rPr>
            </w:pPr>
            <w:r>
              <w:rPr>
                <w:rFonts w:ascii="Arial" w:cs="Arial" w:eastAsia="Arial" w:hAnsi="Arial"/>
                <w:sz w:val="16"/>
                <w:szCs w:val="16"/>
                <w:color w:val="auto"/>
              </w:rPr>
              <w:t>You can vote electronically at, and are entitled to</w:t>
            </w:r>
          </w:p>
        </w:tc>
        <w:tc>
          <w:tcPr>
            <w:tcW w:w="100" w:type="dxa"/>
            <w:vAlign w:val="bottom"/>
          </w:tcPr>
          <w:p>
            <w:pPr>
              <w:spacing w:after="0"/>
              <w:rPr>
                <w:sz w:val="16"/>
                <w:szCs w:val="16"/>
                <w:color w:val="auto"/>
              </w:rPr>
            </w:pPr>
          </w:p>
        </w:tc>
      </w:tr>
      <w:tr>
        <w:trPr>
          <w:trHeight w:val="176"/>
        </w:trPr>
        <w:tc>
          <w:tcPr>
            <w:tcW w:w="4160" w:type="dxa"/>
            <w:vAlign w:val="bottom"/>
          </w:tcPr>
          <w:p>
            <w:pPr>
              <w:ind w:left="120"/>
              <w:spacing w:after="0" w:line="175" w:lineRule="exact"/>
              <w:rPr>
                <w:sz w:val="20"/>
                <w:szCs w:val="20"/>
                <w:color w:val="auto"/>
              </w:rPr>
            </w:pPr>
            <w:r>
              <w:rPr>
                <w:rFonts w:ascii="Arial" w:cs="Arial" w:eastAsia="Arial" w:hAnsi="Arial"/>
                <w:sz w:val="16"/>
                <w:szCs w:val="16"/>
                <w:color w:val="auto"/>
              </w:rPr>
              <w:t>notice of, the 2025 Annual Meeting if you were a</w:t>
            </w:r>
          </w:p>
        </w:tc>
        <w:tc>
          <w:tcPr>
            <w:tcW w:w="100" w:type="dxa"/>
            <w:vAlign w:val="bottom"/>
          </w:tcPr>
          <w:p>
            <w:pPr>
              <w:spacing w:after="0"/>
              <w:rPr>
                <w:sz w:val="15"/>
                <w:szCs w:val="15"/>
                <w:color w:val="auto"/>
              </w:rPr>
            </w:pPr>
          </w:p>
        </w:tc>
      </w:tr>
      <w:tr>
        <w:trPr>
          <w:trHeight w:val="223"/>
        </w:trPr>
        <w:tc>
          <w:tcPr>
            <w:tcW w:w="4160" w:type="dxa"/>
            <w:vAlign w:val="bottom"/>
          </w:tcPr>
          <w:p>
            <w:pPr>
              <w:ind w:left="120"/>
              <w:spacing w:after="0"/>
              <w:rPr>
                <w:sz w:val="20"/>
                <w:szCs w:val="20"/>
                <w:color w:val="auto"/>
              </w:rPr>
            </w:pPr>
            <w:r>
              <w:rPr>
                <w:rFonts w:ascii="Arial" w:cs="Arial" w:eastAsia="Arial" w:hAnsi="Arial"/>
                <w:sz w:val="16"/>
                <w:szCs w:val="16"/>
                <w:color w:val="auto"/>
              </w:rPr>
              <w:t xml:space="preserve">stockholder of record on </w:t>
            </w:r>
            <w:r>
              <w:rPr>
                <w:rFonts w:ascii="Arial" w:cs="Arial" w:eastAsia="Arial" w:hAnsi="Arial"/>
                <w:sz w:val="16"/>
                <w:szCs w:val="16"/>
                <w:b w:val="1"/>
                <w:bCs w:val="1"/>
                <w:color w:val="auto"/>
              </w:rPr>
              <w:t>April 4, 2025</w:t>
            </w:r>
            <w:r>
              <w:rPr>
                <w:rFonts w:ascii="Arial" w:cs="Arial" w:eastAsia="Arial" w:hAnsi="Arial"/>
                <w:sz w:val="16"/>
                <w:szCs w:val="16"/>
                <w:color w:val="auto"/>
              </w:rPr>
              <w:t>.</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291"/>
        </w:trPr>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7"/>
        </w:trPr>
        <w:tc>
          <w:tcPr>
            <w:tcW w:w="4160" w:type="dxa"/>
            <w:vAlign w:val="bottom"/>
            <w:shd w:val="clear" w:color="auto" w:fill="E7417A"/>
          </w:tcPr>
          <w:p>
            <w:pPr>
              <w:ind w:left="120"/>
              <w:spacing w:after="0"/>
              <w:rPr>
                <w:sz w:val="20"/>
                <w:szCs w:val="20"/>
                <w:color w:val="auto"/>
              </w:rPr>
            </w:pPr>
            <w:r>
              <w:rPr>
                <w:rFonts w:ascii="Arial" w:cs="Arial" w:eastAsia="Arial" w:hAnsi="Arial"/>
                <w:sz w:val="16"/>
                <w:szCs w:val="16"/>
                <w:b w:val="1"/>
                <w:bCs w:val="1"/>
                <w:color w:val="FEFEFE"/>
              </w:rPr>
              <w:t>Voting</w:t>
            </w:r>
          </w:p>
        </w:tc>
        <w:tc>
          <w:tcPr>
            <w:tcW w:w="100" w:type="dxa"/>
            <w:vAlign w:val="bottom"/>
          </w:tcPr>
          <w:p>
            <w:pPr>
              <w:spacing w:after="0"/>
              <w:rPr>
                <w:sz w:val="20"/>
                <w:szCs w:val="20"/>
                <w:color w:val="auto"/>
              </w:rPr>
            </w:pPr>
            <w:r>
              <w:rPr>
                <w:rFonts w:ascii="Arial" w:cs="Arial" w:eastAsia="Arial" w:hAnsi="Arial"/>
                <w:sz w:val="16"/>
                <w:szCs w:val="16"/>
                <w:b w:val="1"/>
                <w:bCs w:val="1"/>
                <w:color w:val="FEFEFE"/>
              </w:rPr>
              <w:t>​</w:t>
            </w:r>
          </w:p>
        </w:tc>
      </w:tr>
      <w:tr>
        <w:trPr>
          <w:trHeight w:val="404"/>
        </w:trPr>
        <w:tc>
          <w:tcPr>
            <w:tcW w:w="4160" w:type="dxa"/>
            <w:vAlign w:val="bottom"/>
          </w:tcPr>
          <w:p>
            <w:pPr>
              <w:ind w:left="640"/>
              <w:spacing w:after="0"/>
              <w:rPr>
                <w:sz w:val="20"/>
                <w:szCs w:val="20"/>
                <w:color w:val="auto"/>
              </w:rPr>
            </w:pPr>
            <w:r>
              <w:rPr>
                <w:rFonts w:ascii="Arial" w:cs="Arial" w:eastAsia="Arial" w:hAnsi="Arial"/>
                <w:sz w:val="35"/>
                <w:szCs w:val="35"/>
                <w:b w:val="1"/>
                <w:bCs w:val="1"/>
                <w:color w:val="auto"/>
                <w:vertAlign w:val="subscript"/>
              </w:rPr>
              <w:t>​​</w:t>
            </w:r>
            <w:r>
              <w:rPr>
                <w:rFonts w:ascii="Arial" w:cs="Arial" w:eastAsia="Arial" w:hAnsi="Arial"/>
                <w:sz w:val="18"/>
                <w:szCs w:val="18"/>
                <w:b w:val="1"/>
                <w:bCs w:val="1"/>
                <w:color w:val="auto"/>
              </w:rPr>
              <w:t xml:space="preserve"> Internet</w:t>
            </w: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15"/>
        </w:trPr>
        <w:tc>
          <w:tcPr>
            <w:tcW w:w="4160" w:type="dxa"/>
            <w:vAlign w:val="bottom"/>
          </w:tcPr>
          <w:p>
            <w:pPr>
              <w:ind w:left="120"/>
              <w:spacing w:after="0"/>
              <w:rPr>
                <w:sz w:val="20"/>
                <w:szCs w:val="20"/>
                <w:color w:val="auto"/>
              </w:rPr>
            </w:pPr>
            <w:r>
              <w:rPr>
                <w:rFonts w:ascii="Arial" w:cs="Arial" w:eastAsia="Arial" w:hAnsi="Arial"/>
                <w:sz w:val="16"/>
                <w:szCs w:val="16"/>
                <w:color w:val="E7417A"/>
              </w:rPr>
              <w:t>www.proxyvote.com, 24/7</w:t>
            </w:r>
          </w:p>
        </w:tc>
        <w:tc>
          <w:tcPr>
            <w:tcW w:w="100" w:type="dxa"/>
            <w:vAlign w:val="bottom"/>
          </w:tcPr>
          <w:p>
            <w:pPr>
              <w:spacing w:after="0"/>
              <w:rPr>
                <w:sz w:val="20"/>
                <w:szCs w:val="20"/>
                <w:color w:val="auto"/>
              </w:rPr>
            </w:pPr>
            <w:r>
              <w:rPr>
                <w:rFonts w:ascii="Arial" w:cs="Arial" w:eastAsia="Arial" w:hAnsi="Arial"/>
                <w:sz w:val="16"/>
                <w:szCs w:val="16"/>
                <w:color w:val="E7417A"/>
              </w:rPr>
              <w:t>​</w:t>
            </w:r>
          </w:p>
        </w:tc>
      </w:tr>
      <w:tr>
        <w:trPr>
          <w:trHeight w:val="447"/>
        </w:trPr>
        <w:tc>
          <w:tcPr>
            <w:tcW w:w="4160" w:type="dxa"/>
            <w:vAlign w:val="bottom"/>
          </w:tcPr>
          <w:p>
            <w:pPr>
              <w:ind w:left="640"/>
              <w:spacing w:after="0"/>
              <w:rPr>
                <w:sz w:val="20"/>
                <w:szCs w:val="20"/>
                <w:color w:val="auto"/>
              </w:rPr>
            </w:pPr>
            <w:r>
              <w:rPr>
                <w:rFonts w:ascii="Arial" w:cs="Arial" w:eastAsia="Arial" w:hAnsi="Arial"/>
                <w:sz w:val="35"/>
                <w:szCs w:val="35"/>
                <w:b w:val="1"/>
                <w:bCs w:val="1"/>
                <w:color w:val="auto"/>
                <w:vertAlign w:val="subscript"/>
              </w:rPr>
              <w:t>​​</w:t>
            </w:r>
            <w:r>
              <w:rPr>
                <w:rFonts w:ascii="Arial" w:cs="Arial" w:eastAsia="Arial" w:hAnsi="Arial"/>
                <w:sz w:val="18"/>
                <w:szCs w:val="18"/>
                <w:b w:val="1"/>
                <w:bCs w:val="1"/>
                <w:color w:val="auto"/>
              </w:rPr>
              <w:t xml:space="preserve"> Telephone</w:t>
            </w: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15"/>
        </w:trPr>
        <w:tc>
          <w:tcPr>
            <w:tcW w:w="4160" w:type="dxa"/>
            <w:vAlign w:val="bottom"/>
          </w:tcPr>
          <w:p>
            <w:pPr>
              <w:ind w:left="120"/>
              <w:spacing w:after="0"/>
              <w:rPr>
                <w:sz w:val="20"/>
                <w:szCs w:val="20"/>
                <w:color w:val="auto"/>
              </w:rPr>
            </w:pPr>
            <w:r>
              <w:rPr>
                <w:rFonts w:ascii="Arial" w:cs="Arial" w:eastAsia="Arial" w:hAnsi="Arial"/>
                <w:sz w:val="16"/>
                <w:szCs w:val="16"/>
                <w:color w:val="auto"/>
              </w:rPr>
              <w:t>Toll-free 1 (800) 690-6903</w:t>
            </w:r>
          </w:p>
        </w:tc>
        <w:tc>
          <w:tcPr>
            <w:tcW w:w="100" w:type="dxa"/>
            <w:vAlign w:val="bottom"/>
          </w:tcPr>
          <w:p>
            <w:pPr>
              <w:spacing w:after="0"/>
              <w:rPr>
                <w:sz w:val="20"/>
                <w:szCs w:val="20"/>
                <w:color w:val="auto"/>
              </w:rPr>
            </w:pPr>
            <w:r>
              <w:rPr>
                <w:rFonts w:ascii="Arial" w:cs="Arial" w:eastAsia="Arial" w:hAnsi="Arial"/>
                <w:sz w:val="16"/>
                <w:szCs w:val="16"/>
                <w:color w:val="auto"/>
              </w:rPr>
              <w:t>​</w:t>
            </w:r>
          </w:p>
        </w:tc>
      </w:tr>
      <w:tr>
        <w:trPr>
          <w:trHeight w:val="420"/>
        </w:trPr>
        <w:tc>
          <w:tcPr>
            <w:tcW w:w="4160" w:type="dxa"/>
            <w:vAlign w:val="bottom"/>
          </w:tcPr>
          <w:p>
            <w:pPr>
              <w:ind w:left="640"/>
              <w:spacing w:after="0"/>
              <w:rPr>
                <w:sz w:val="20"/>
                <w:szCs w:val="20"/>
                <w:color w:val="auto"/>
              </w:rPr>
            </w:pPr>
            <w:r>
              <w:rPr>
                <w:rFonts w:ascii="Arial" w:cs="Arial" w:eastAsia="Arial" w:hAnsi="Arial"/>
                <w:sz w:val="35"/>
                <w:szCs w:val="35"/>
                <w:b w:val="1"/>
                <w:bCs w:val="1"/>
                <w:color w:val="auto"/>
                <w:vertAlign w:val="subscript"/>
              </w:rPr>
              <w:t>​​</w:t>
            </w:r>
            <w:r>
              <w:rPr>
                <w:rFonts w:ascii="Arial" w:cs="Arial" w:eastAsia="Arial" w:hAnsi="Arial"/>
                <w:sz w:val="18"/>
                <w:szCs w:val="18"/>
                <w:b w:val="1"/>
                <w:bCs w:val="1"/>
                <w:color w:val="auto"/>
              </w:rPr>
              <w:t xml:space="preserve"> Mail</w:t>
            </w: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175"/>
        </w:trPr>
        <w:tc>
          <w:tcPr>
            <w:tcW w:w="4160" w:type="dxa"/>
            <w:vAlign w:val="bottom"/>
          </w:tcPr>
          <w:p>
            <w:pPr>
              <w:ind w:left="120"/>
              <w:spacing w:after="0" w:line="175" w:lineRule="exact"/>
              <w:rPr>
                <w:sz w:val="20"/>
                <w:szCs w:val="20"/>
                <w:color w:val="auto"/>
              </w:rPr>
            </w:pPr>
            <w:r>
              <w:rPr>
                <w:rFonts w:ascii="Arial" w:cs="Arial" w:eastAsia="Arial" w:hAnsi="Arial"/>
                <w:sz w:val="16"/>
                <w:szCs w:val="16"/>
                <w:color w:val="auto"/>
              </w:rPr>
              <w:t>Mark, sign and date your proxy card or voting</w:t>
            </w:r>
          </w:p>
        </w:tc>
        <w:tc>
          <w:tcPr>
            <w:tcW w:w="100" w:type="dxa"/>
            <w:vAlign w:val="bottom"/>
          </w:tcPr>
          <w:p>
            <w:pPr>
              <w:spacing w:after="0"/>
              <w:rPr>
                <w:sz w:val="15"/>
                <w:szCs w:val="15"/>
                <w:color w:val="auto"/>
              </w:rPr>
            </w:pPr>
          </w:p>
        </w:tc>
      </w:tr>
      <w:tr>
        <w:trPr>
          <w:trHeight w:val="189"/>
        </w:trPr>
        <w:tc>
          <w:tcPr>
            <w:tcW w:w="4160" w:type="dxa"/>
            <w:vAlign w:val="bottom"/>
          </w:tcPr>
          <w:p>
            <w:pPr>
              <w:ind w:left="120"/>
              <w:spacing w:after="0"/>
              <w:rPr>
                <w:sz w:val="20"/>
                <w:szCs w:val="20"/>
                <w:color w:val="auto"/>
              </w:rPr>
            </w:pPr>
            <w:r>
              <w:rPr>
                <w:rFonts w:ascii="Arial" w:cs="Arial" w:eastAsia="Arial" w:hAnsi="Arial"/>
                <w:sz w:val="16"/>
                <w:szCs w:val="16"/>
                <w:color w:val="auto"/>
              </w:rPr>
              <w:t>instruction form and return it in the postage- paid</w:t>
            </w:r>
          </w:p>
        </w:tc>
        <w:tc>
          <w:tcPr>
            <w:tcW w:w="100" w:type="dxa"/>
            <w:vAlign w:val="bottom"/>
          </w:tcPr>
          <w:p>
            <w:pPr>
              <w:spacing w:after="0"/>
              <w:rPr>
                <w:sz w:val="16"/>
                <w:szCs w:val="16"/>
                <w:color w:val="auto"/>
              </w:rPr>
            </w:pPr>
          </w:p>
        </w:tc>
      </w:tr>
      <w:tr>
        <w:trPr>
          <w:trHeight w:val="215"/>
        </w:trPr>
        <w:tc>
          <w:tcPr>
            <w:tcW w:w="4160" w:type="dxa"/>
            <w:vAlign w:val="bottom"/>
          </w:tcPr>
          <w:p>
            <w:pPr>
              <w:ind w:left="120"/>
              <w:spacing w:after="0"/>
              <w:rPr>
                <w:sz w:val="20"/>
                <w:szCs w:val="20"/>
                <w:color w:val="auto"/>
              </w:rPr>
            </w:pPr>
            <w:r>
              <w:rPr>
                <w:rFonts w:ascii="Arial" w:cs="Arial" w:eastAsia="Arial" w:hAnsi="Arial"/>
                <w:sz w:val="16"/>
                <w:szCs w:val="16"/>
                <w:color w:val="auto"/>
              </w:rPr>
              <w:t>envelope</w:t>
            </w:r>
          </w:p>
        </w:tc>
        <w:tc>
          <w:tcPr>
            <w:tcW w:w="100" w:type="dxa"/>
            <w:vAlign w:val="bottom"/>
          </w:tcPr>
          <w:p>
            <w:pPr>
              <w:spacing w:after="0"/>
              <w:rPr>
                <w:sz w:val="20"/>
                <w:szCs w:val="20"/>
                <w:color w:val="auto"/>
              </w:rPr>
            </w:pPr>
            <w:r>
              <w:rPr>
                <w:rFonts w:ascii="Arial" w:cs="Arial" w:eastAsia="Arial" w:hAnsi="Arial"/>
                <w:sz w:val="16"/>
                <w:szCs w:val="16"/>
                <w:color w:val="auto"/>
              </w:rPr>
              <w:t>​</w:t>
            </w:r>
          </w:p>
        </w:tc>
      </w:tr>
      <w:tr>
        <w:trPr>
          <w:trHeight w:val="447"/>
        </w:trPr>
        <w:tc>
          <w:tcPr>
            <w:tcW w:w="4160" w:type="dxa"/>
            <w:vAlign w:val="bottom"/>
          </w:tcPr>
          <w:p>
            <w:pPr>
              <w:ind w:left="640"/>
              <w:spacing w:after="0"/>
              <w:rPr>
                <w:sz w:val="20"/>
                <w:szCs w:val="20"/>
                <w:color w:val="auto"/>
              </w:rPr>
            </w:pPr>
            <w:r>
              <w:rPr>
                <w:rFonts w:ascii="Arial" w:cs="Arial" w:eastAsia="Arial" w:hAnsi="Arial"/>
                <w:sz w:val="35"/>
                <w:szCs w:val="35"/>
                <w:b w:val="1"/>
                <w:bCs w:val="1"/>
                <w:color w:val="auto"/>
                <w:vertAlign w:val="subscript"/>
              </w:rPr>
              <w:t>​​</w:t>
            </w:r>
            <w:r>
              <w:rPr>
                <w:rFonts w:ascii="Arial" w:cs="Arial" w:eastAsia="Arial" w:hAnsi="Arial"/>
                <w:sz w:val="18"/>
                <w:szCs w:val="18"/>
                <w:b w:val="1"/>
                <w:bCs w:val="1"/>
                <w:color w:val="auto"/>
              </w:rPr>
              <w:t xml:space="preserve"> During the Annual Meeting</w:t>
            </w: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175"/>
        </w:trPr>
        <w:tc>
          <w:tcPr>
            <w:tcW w:w="4160" w:type="dxa"/>
            <w:vAlign w:val="bottom"/>
          </w:tcPr>
          <w:p>
            <w:pPr>
              <w:ind w:left="120"/>
              <w:spacing w:after="0" w:line="175" w:lineRule="exact"/>
              <w:rPr>
                <w:sz w:val="20"/>
                <w:szCs w:val="20"/>
                <w:color w:val="auto"/>
              </w:rPr>
            </w:pPr>
            <w:r>
              <w:rPr>
                <w:rFonts w:ascii="Arial" w:cs="Arial" w:eastAsia="Arial" w:hAnsi="Arial"/>
                <w:sz w:val="16"/>
                <w:szCs w:val="16"/>
                <w:color w:val="auto"/>
              </w:rPr>
              <w:t>Enter the 16-digit control number you received with</w:t>
            </w:r>
          </w:p>
        </w:tc>
        <w:tc>
          <w:tcPr>
            <w:tcW w:w="100" w:type="dxa"/>
            <w:vAlign w:val="bottom"/>
          </w:tcPr>
          <w:p>
            <w:pPr>
              <w:spacing w:after="0"/>
              <w:rPr>
                <w:sz w:val="15"/>
                <w:szCs w:val="15"/>
                <w:color w:val="auto"/>
              </w:rPr>
            </w:pPr>
          </w:p>
        </w:tc>
      </w:tr>
      <w:tr>
        <w:trPr>
          <w:trHeight w:val="189"/>
        </w:trPr>
        <w:tc>
          <w:tcPr>
            <w:tcW w:w="4160" w:type="dxa"/>
            <w:vAlign w:val="bottom"/>
          </w:tcPr>
          <w:p>
            <w:pPr>
              <w:ind w:left="120"/>
              <w:spacing w:after="0"/>
              <w:rPr>
                <w:sz w:val="20"/>
                <w:szCs w:val="20"/>
                <w:color w:val="auto"/>
              </w:rPr>
            </w:pPr>
            <w:r>
              <w:rPr>
                <w:rFonts w:ascii="Arial" w:cs="Arial" w:eastAsia="Arial" w:hAnsi="Arial"/>
                <w:sz w:val="16"/>
                <w:szCs w:val="16"/>
                <w:color w:val="auto"/>
              </w:rPr>
              <w:t>your proxy or voting instructions and attend the</w:t>
            </w:r>
          </w:p>
        </w:tc>
        <w:tc>
          <w:tcPr>
            <w:tcW w:w="100" w:type="dxa"/>
            <w:vAlign w:val="bottom"/>
          </w:tcPr>
          <w:p>
            <w:pPr>
              <w:spacing w:after="0"/>
              <w:rPr>
                <w:sz w:val="16"/>
                <w:szCs w:val="16"/>
                <w:color w:val="auto"/>
              </w:rPr>
            </w:pPr>
          </w:p>
        </w:tc>
      </w:tr>
      <w:tr>
        <w:trPr>
          <w:trHeight w:val="175"/>
        </w:trPr>
        <w:tc>
          <w:tcPr>
            <w:tcW w:w="4160" w:type="dxa"/>
            <w:vAlign w:val="bottom"/>
          </w:tcPr>
          <w:p>
            <w:pPr>
              <w:ind w:left="120"/>
              <w:spacing w:after="0" w:line="175" w:lineRule="exact"/>
              <w:rPr>
                <w:sz w:val="20"/>
                <w:szCs w:val="20"/>
                <w:color w:val="auto"/>
              </w:rPr>
            </w:pPr>
            <w:r>
              <w:rPr>
                <w:rFonts w:ascii="Arial" w:cs="Arial" w:eastAsia="Arial" w:hAnsi="Arial"/>
                <w:sz w:val="16"/>
                <w:szCs w:val="16"/>
                <w:color w:val="auto"/>
              </w:rPr>
              <w:t>webcast of the meeting via the internet:</w:t>
            </w:r>
          </w:p>
        </w:tc>
        <w:tc>
          <w:tcPr>
            <w:tcW w:w="100" w:type="dxa"/>
            <w:vAlign w:val="bottom"/>
          </w:tcPr>
          <w:p>
            <w:pPr>
              <w:spacing w:after="0"/>
              <w:rPr>
                <w:sz w:val="15"/>
                <w:szCs w:val="15"/>
                <w:color w:val="auto"/>
              </w:rPr>
            </w:pPr>
          </w:p>
        </w:tc>
      </w:tr>
      <w:tr>
        <w:trPr>
          <w:trHeight w:val="215"/>
        </w:trPr>
        <w:tc>
          <w:tcPr>
            <w:tcW w:w="4160" w:type="dxa"/>
            <w:vAlign w:val="bottom"/>
          </w:tcPr>
          <w:p>
            <w:pPr>
              <w:ind w:left="120"/>
              <w:spacing w:after="0"/>
              <w:rPr>
                <w:sz w:val="20"/>
                <w:szCs w:val="20"/>
                <w:color w:val="auto"/>
              </w:rPr>
            </w:pPr>
            <w:r>
              <w:rPr>
                <w:rFonts w:ascii="Arial" w:cs="Arial" w:eastAsia="Arial" w:hAnsi="Arial"/>
                <w:sz w:val="16"/>
                <w:szCs w:val="16"/>
                <w:color w:val="E7417A"/>
              </w:rPr>
              <w:t>www.virtualshareholdermeeting.com/ RBBN2025</w:t>
            </w:r>
          </w:p>
        </w:tc>
        <w:tc>
          <w:tcPr>
            <w:tcW w:w="100" w:type="dxa"/>
            <w:vAlign w:val="bottom"/>
          </w:tcPr>
          <w:p>
            <w:pPr>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-2372995</wp:posOffset>
            </wp:positionV>
            <wp:extent cx="8890" cy="23660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2366010"/>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-4241165</wp:posOffset>
            </wp:positionV>
            <wp:extent cx="26543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000000"/>
                        </a:clrFrom>
                        <a:clrTo>
                          <a:srgbClr val="000000">
                            <a:alpha val="0"/>
                          </a:srgbClr>
                        </a:clrTo>
                      </a:clrChange>
                      <a:extLst>
                        <a:ext uri="{28A0092B-C50C-407E-A947-70E740481C1C}"/>
                      </a:extLst>
                    </a:blip>
                    <a:srcRect/>
                    <a:stretch>
                      <a:fillRect/>
                    </a:stretch>
                  </pic:blipFill>
                  <pic:spPr bwMode="auto">
                    <a:xfrm>
                      <a:off x="0" y="0"/>
                      <a:ext cx="265430" cy="265430"/>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-4241165</wp:posOffset>
            </wp:positionV>
            <wp:extent cx="26543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65430" cy="265430"/>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-3684270</wp:posOffset>
            </wp:positionV>
            <wp:extent cx="179705" cy="30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000000"/>
                        </a:clrFrom>
                        <a:clrTo>
                          <a:srgbClr val="000000">
                            <a:alpha val="0"/>
                          </a:srgbClr>
                        </a:clrTo>
                      </a:clrChange>
                      <a:extLst>
                        <a:ext uri="{28A0092B-C50C-407E-A947-70E740481C1C}"/>
                      </a:extLst>
                    </a:blip>
                    <a:srcRect/>
                    <a:stretch>
                      <a:fillRect/>
                    </a:stretch>
                  </pic:blipFill>
                  <pic:spPr bwMode="auto">
                    <a:xfrm>
                      <a:off x="0" y="0"/>
                      <a:ext cx="179705" cy="30035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-3684270</wp:posOffset>
            </wp:positionV>
            <wp:extent cx="179705"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79705" cy="30035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-3212465</wp:posOffset>
            </wp:positionV>
            <wp:extent cx="30861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000000"/>
                        </a:clrFrom>
                        <a:clrTo>
                          <a:srgbClr val="000000">
                            <a:alpha val="0"/>
                          </a:srgbClr>
                        </a:clrTo>
                      </a:clrChange>
                      <a:extLst>
                        <a:ext uri="{28A0092B-C50C-407E-A947-70E740481C1C}"/>
                      </a:extLst>
                    </a:blip>
                    <a:srcRect/>
                    <a:stretch>
                      <a:fillRect/>
                    </a:stretch>
                  </pic:blipFill>
                  <pic:spPr bwMode="auto">
                    <a:xfrm>
                      <a:off x="0" y="0"/>
                      <a:ext cx="308610" cy="265430"/>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-3212465</wp:posOffset>
            </wp:positionV>
            <wp:extent cx="30861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308610" cy="265430"/>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-2192655</wp:posOffset>
            </wp:positionV>
            <wp:extent cx="248285"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8285" cy="214630"/>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-1806575</wp:posOffset>
            </wp:positionV>
            <wp:extent cx="171450" cy="248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 cy="248920"/>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-1386840</wp:posOffset>
            </wp:positionV>
            <wp:extent cx="24003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-743585</wp:posOffset>
            </wp:positionV>
            <wp:extent cx="265430" cy="2482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5430" cy="248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7"/>
        </w:trPr>
        <w:tc>
          <w:tcPr>
            <w:tcW w:w="4160" w:type="dxa"/>
            <w:vAlign w:val="bottom"/>
            <w:tcBorders>
              <w:bottom w:val="single" w:sz="8" w:color="E7417A"/>
            </w:tcBorders>
            <w:gridSpan w:val="3"/>
            <w:shd w:val="clear" w:color="auto" w:fill="E7417A"/>
          </w:tcPr>
          <w:p>
            <w:pPr>
              <w:ind w:left="120"/>
              <w:spacing w:after="0"/>
              <w:rPr>
                <w:sz w:val="20"/>
                <w:szCs w:val="20"/>
                <w:color w:val="auto"/>
              </w:rPr>
            </w:pPr>
            <w:r>
              <w:rPr>
                <w:rFonts w:ascii="Arial" w:cs="Arial" w:eastAsia="Arial" w:hAnsi="Arial"/>
                <w:sz w:val="16"/>
                <w:szCs w:val="16"/>
                <w:b w:val="1"/>
                <w:bCs w:val="1"/>
                <w:color w:val="FEFEFE"/>
              </w:rPr>
              <w:t>Agenda</w:t>
            </w:r>
          </w:p>
        </w:tc>
        <w:tc>
          <w:tcPr>
            <w:tcW w:w="80" w:type="dxa"/>
            <w:vAlign w:val="bottom"/>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338"/>
        </w:trPr>
        <w:tc>
          <w:tcPr>
            <w:tcW w:w="320" w:type="dxa"/>
            <w:vAlign w:val="bottom"/>
            <w:tcBorders>
              <w:bottom w:val="single" w:sz="8" w:color="E7417A"/>
            </w:tcBorders>
          </w:tcPr>
          <w:p>
            <w:pPr>
              <w:ind w:left="120"/>
              <w:spacing w:after="0"/>
              <w:rPr>
                <w:sz w:val="20"/>
                <w:szCs w:val="20"/>
                <w:color w:val="auto"/>
              </w:rPr>
            </w:pPr>
            <w:r>
              <w:rPr>
                <w:rFonts w:ascii="Arial" w:cs="Arial" w:eastAsia="Arial" w:hAnsi="Arial"/>
                <w:sz w:val="25"/>
                <w:szCs w:val="25"/>
                <w:color w:val="62259D"/>
              </w:rPr>
              <w:t>1</w:t>
            </w:r>
          </w:p>
        </w:tc>
        <w:tc>
          <w:tcPr>
            <w:tcW w:w="3840" w:type="dxa"/>
            <w:vAlign w:val="bottom"/>
            <w:tcBorders>
              <w:bottom w:val="single" w:sz="8" w:color="E7417A"/>
            </w:tcBorders>
            <w:gridSpan w:val="2"/>
          </w:tcPr>
          <w:p>
            <w:pPr>
              <w:ind w:left="60"/>
              <w:spacing w:after="0"/>
              <w:rPr>
                <w:sz w:val="20"/>
                <w:szCs w:val="20"/>
                <w:color w:val="auto"/>
              </w:rPr>
            </w:pPr>
            <w:r>
              <w:rPr>
                <w:rFonts w:ascii="Arial" w:cs="Arial" w:eastAsia="Arial" w:hAnsi="Arial"/>
                <w:sz w:val="25"/>
                <w:szCs w:val="25"/>
                <w:b w:val="1"/>
                <w:bCs w:val="1"/>
                <w:color w:val="auto"/>
              </w:rPr>
              <w:t xml:space="preserve">​ </w:t>
            </w:r>
            <w:r>
              <w:rPr>
                <w:rFonts w:ascii="Arial" w:cs="Arial" w:eastAsia="Arial" w:hAnsi="Arial"/>
                <w:sz w:val="11"/>
                <w:szCs w:val="11"/>
                <w:color w:val="auto"/>
              </w:rPr>
              <w:t>Election of eight directors named in the Proxy Statement</w:t>
            </w:r>
          </w:p>
        </w:tc>
        <w:tc>
          <w:tcPr>
            <w:tcW w:w="80" w:type="dxa"/>
            <w:vAlign w:val="bottom"/>
          </w:tcPr>
          <w:p>
            <w:pPr>
              <w:ind w:left="20"/>
              <w:spacing w:after="0"/>
              <w:rPr>
                <w:sz w:val="20"/>
                <w:szCs w:val="20"/>
                <w:color w:val="auto"/>
              </w:rPr>
            </w:pPr>
            <w:r>
              <w:rPr>
                <w:rFonts w:ascii="Arial" w:cs="Arial" w:eastAsia="Arial" w:hAnsi="Arial"/>
                <w:sz w:val="25"/>
                <w:szCs w:val="25"/>
                <w:color w:val="auto"/>
              </w:rPr>
              <w:t>​</w:t>
            </w:r>
          </w:p>
        </w:tc>
        <w:tc>
          <w:tcPr>
            <w:tcW w:w="0" w:type="dxa"/>
            <w:vAlign w:val="bottom"/>
          </w:tcPr>
          <w:p>
            <w:pPr>
              <w:spacing w:after="0"/>
              <w:rPr>
                <w:sz w:val="1"/>
                <w:szCs w:val="1"/>
                <w:color w:val="auto"/>
              </w:rPr>
            </w:pPr>
          </w:p>
        </w:tc>
      </w:tr>
      <w:tr>
        <w:trPr>
          <w:trHeight w:val="134"/>
        </w:trPr>
        <w:tc>
          <w:tcPr>
            <w:tcW w:w="320" w:type="dxa"/>
            <w:vAlign w:val="bottom"/>
            <w:vMerge w:val="restart"/>
          </w:tcPr>
          <w:p>
            <w:pPr>
              <w:ind w:left="120"/>
              <w:spacing w:after="0" w:line="269" w:lineRule="exact"/>
              <w:rPr>
                <w:sz w:val="20"/>
                <w:szCs w:val="20"/>
                <w:color w:val="auto"/>
              </w:rPr>
            </w:pPr>
            <w:r>
              <w:rPr>
                <w:rFonts w:ascii="Arial" w:cs="Arial" w:eastAsia="Arial" w:hAnsi="Arial"/>
                <w:sz w:val="25"/>
                <w:szCs w:val="25"/>
                <w:color w:val="62259D"/>
              </w:rPr>
              <w:t>2</w:t>
            </w:r>
          </w:p>
        </w:tc>
        <w:tc>
          <w:tcPr>
            <w:tcW w:w="16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3680" w:type="dxa"/>
            <w:vAlign w:val="bottom"/>
          </w:tcPr>
          <w:p>
            <w:pPr>
              <w:ind w:left="40"/>
              <w:spacing w:after="0" w:line="134" w:lineRule="exact"/>
              <w:rPr>
                <w:sz w:val="20"/>
                <w:szCs w:val="20"/>
                <w:color w:val="auto"/>
              </w:rPr>
            </w:pPr>
            <w:r>
              <w:rPr>
                <w:rFonts w:ascii="Arial" w:cs="Arial" w:eastAsia="Arial" w:hAnsi="Arial"/>
                <w:sz w:val="12"/>
                <w:szCs w:val="12"/>
                <w:color w:val="auto"/>
              </w:rPr>
              <w:t>Ratification of the appointment of Deloitte &amp; Touche LLP as</w:t>
            </w:r>
          </w:p>
        </w:tc>
        <w:tc>
          <w:tcPr>
            <w:tcW w:w="8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2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3680" w:type="dxa"/>
            <w:vAlign w:val="bottom"/>
          </w:tcPr>
          <w:p>
            <w:pPr>
              <w:ind w:left="40"/>
              <w:spacing w:after="0" w:line="135" w:lineRule="exact"/>
              <w:rPr>
                <w:sz w:val="20"/>
                <w:szCs w:val="20"/>
                <w:color w:val="auto"/>
              </w:rPr>
            </w:pPr>
            <w:r>
              <w:rPr>
                <w:rFonts w:ascii="Arial" w:cs="Arial" w:eastAsia="Arial" w:hAnsi="Arial"/>
                <w:sz w:val="12"/>
                <w:szCs w:val="12"/>
                <w:color w:val="auto"/>
              </w:rPr>
              <w:t>Ribbon Communications’ independent registered public</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20" w:type="dxa"/>
            <w:vAlign w:val="bottom"/>
            <w:tcBorders>
              <w:bottom w:val="single" w:sz="8" w:color="E7417A"/>
            </w:tcBorders>
          </w:tcPr>
          <w:p>
            <w:pPr>
              <w:spacing w:after="0"/>
              <w:rPr>
                <w:sz w:val="13"/>
                <w:szCs w:val="13"/>
                <w:color w:val="auto"/>
              </w:rPr>
            </w:pPr>
          </w:p>
        </w:tc>
        <w:tc>
          <w:tcPr>
            <w:tcW w:w="160" w:type="dxa"/>
            <w:vAlign w:val="bottom"/>
            <w:tcBorders>
              <w:bottom w:val="single" w:sz="8" w:color="E7417A"/>
            </w:tcBorders>
          </w:tcPr>
          <w:p>
            <w:pPr>
              <w:spacing w:after="0"/>
              <w:rPr>
                <w:sz w:val="13"/>
                <w:szCs w:val="13"/>
                <w:color w:val="auto"/>
              </w:rPr>
            </w:pPr>
          </w:p>
        </w:tc>
        <w:tc>
          <w:tcPr>
            <w:tcW w:w="3680" w:type="dxa"/>
            <w:vAlign w:val="bottom"/>
            <w:tcBorders>
              <w:bottom w:val="single" w:sz="8" w:color="E7417A"/>
            </w:tcBorders>
          </w:tcPr>
          <w:p>
            <w:pPr>
              <w:ind w:left="40"/>
              <w:spacing w:after="0"/>
              <w:rPr>
                <w:sz w:val="20"/>
                <w:szCs w:val="20"/>
                <w:color w:val="auto"/>
              </w:rPr>
            </w:pPr>
            <w:r>
              <w:rPr>
                <w:rFonts w:ascii="Arial" w:cs="Arial" w:eastAsia="Arial" w:hAnsi="Arial"/>
                <w:sz w:val="12"/>
                <w:szCs w:val="12"/>
                <w:color w:val="auto"/>
              </w:rPr>
              <w:t>accounting firm for 2025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20" w:type="dxa"/>
            <w:vAlign w:val="bottom"/>
            <w:vMerge w:val="restart"/>
          </w:tcPr>
          <w:p>
            <w:pPr>
              <w:ind w:left="120"/>
              <w:spacing w:after="0"/>
              <w:rPr>
                <w:sz w:val="20"/>
                <w:szCs w:val="20"/>
                <w:color w:val="auto"/>
              </w:rPr>
            </w:pPr>
            <w:r>
              <w:rPr>
                <w:rFonts w:ascii="Arial" w:cs="Arial" w:eastAsia="Arial" w:hAnsi="Arial"/>
                <w:sz w:val="25"/>
                <w:szCs w:val="25"/>
                <w:color w:val="62259D"/>
              </w:rPr>
              <w:t>3</w:t>
            </w:r>
          </w:p>
        </w:tc>
        <w:tc>
          <w:tcPr>
            <w:tcW w:w="16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3680" w:type="dxa"/>
            <w:vAlign w:val="bottom"/>
          </w:tcPr>
          <w:p>
            <w:pPr>
              <w:ind w:left="40"/>
              <w:spacing w:after="0" w:line="137" w:lineRule="exact"/>
              <w:rPr>
                <w:sz w:val="20"/>
                <w:szCs w:val="20"/>
                <w:color w:val="auto"/>
              </w:rPr>
            </w:pPr>
            <w:r>
              <w:rPr>
                <w:rFonts w:ascii="Arial" w:cs="Arial" w:eastAsia="Arial" w:hAnsi="Arial"/>
                <w:sz w:val="12"/>
                <w:szCs w:val="12"/>
                <w:color w:val="auto"/>
              </w:rPr>
              <w:t>Approval, on a non-binding advisory basis, of the compensation</w:t>
            </w:r>
          </w:p>
        </w:tc>
        <w:tc>
          <w:tcPr>
            <w:tcW w:w="8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320" w:type="dxa"/>
            <w:vAlign w:val="bottom"/>
            <w:tcBorders>
              <w:bottom w:val="single" w:sz="8" w:color="E7417A"/>
            </w:tcBorders>
            <w:vMerge w:val="continue"/>
          </w:tcPr>
          <w:p>
            <w:pPr>
              <w:spacing w:after="0"/>
              <w:rPr>
                <w:sz w:val="13"/>
                <w:szCs w:val="13"/>
                <w:color w:val="auto"/>
              </w:rPr>
            </w:pPr>
          </w:p>
        </w:tc>
        <w:tc>
          <w:tcPr>
            <w:tcW w:w="160" w:type="dxa"/>
            <w:vAlign w:val="bottom"/>
            <w:tcBorders>
              <w:bottom w:val="single" w:sz="8" w:color="E7417A"/>
            </w:tcBorders>
            <w:vMerge w:val="continue"/>
          </w:tcPr>
          <w:p>
            <w:pPr>
              <w:spacing w:after="0"/>
              <w:rPr>
                <w:sz w:val="13"/>
                <w:szCs w:val="13"/>
                <w:color w:val="auto"/>
              </w:rPr>
            </w:pPr>
          </w:p>
        </w:tc>
        <w:tc>
          <w:tcPr>
            <w:tcW w:w="3680" w:type="dxa"/>
            <w:vAlign w:val="bottom"/>
            <w:tcBorders>
              <w:bottom w:val="single" w:sz="8" w:color="E7417A"/>
            </w:tcBorders>
          </w:tcPr>
          <w:p>
            <w:pPr>
              <w:ind w:left="40"/>
              <w:spacing w:after="0"/>
              <w:rPr>
                <w:sz w:val="20"/>
                <w:szCs w:val="20"/>
                <w:color w:val="auto"/>
              </w:rPr>
            </w:pPr>
            <w:r>
              <w:rPr>
                <w:rFonts w:ascii="Arial" w:cs="Arial" w:eastAsia="Arial" w:hAnsi="Arial"/>
                <w:sz w:val="12"/>
                <w:szCs w:val="12"/>
                <w:color w:val="auto"/>
              </w:rPr>
              <w:t>of our named executive officers</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20" w:type="dxa"/>
            <w:vAlign w:val="bottom"/>
            <w:vMerge w:val="restart"/>
          </w:tcPr>
          <w:p>
            <w:pPr>
              <w:ind w:left="120"/>
              <w:spacing w:after="0" w:line="269" w:lineRule="exact"/>
              <w:rPr>
                <w:sz w:val="20"/>
                <w:szCs w:val="20"/>
                <w:color w:val="auto"/>
              </w:rPr>
            </w:pPr>
            <w:r>
              <w:rPr>
                <w:rFonts w:ascii="Arial" w:cs="Arial" w:eastAsia="Arial" w:hAnsi="Arial"/>
                <w:sz w:val="25"/>
                <w:szCs w:val="25"/>
                <w:color w:val="62259D"/>
              </w:rPr>
              <w:t>4</w:t>
            </w:r>
          </w:p>
        </w:tc>
        <w:tc>
          <w:tcPr>
            <w:tcW w:w="16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3680" w:type="dxa"/>
            <w:vAlign w:val="bottom"/>
          </w:tcPr>
          <w:p>
            <w:pPr>
              <w:ind w:left="40"/>
              <w:spacing w:after="0" w:line="134" w:lineRule="exact"/>
              <w:rPr>
                <w:sz w:val="20"/>
                <w:szCs w:val="20"/>
                <w:color w:val="auto"/>
              </w:rPr>
            </w:pPr>
            <w:r>
              <w:rPr>
                <w:rFonts w:ascii="Arial" w:cs="Arial" w:eastAsia="Arial" w:hAnsi="Arial"/>
                <w:sz w:val="12"/>
                <w:szCs w:val="12"/>
                <w:color w:val="auto"/>
              </w:rPr>
              <w:t>Approval of amendment to Ribbon Communications’ Restated</w:t>
            </w:r>
          </w:p>
        </w:tc>
        <w:tc>
          <w:tcPr>
            <w:tcW w:w="8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2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3680" w:type="dxa"/>
            <w:vAlign w:val="bottom"/>
          </w:tcPr>
          <w:p>
            <w:pPr>
              <w:ind w:left="40"/>
              <w:spacing w:after="0" w:line="135" w:lineRule="exact"/>
              <w:rPr>
                <w:sz w:val="20"/>
                <w:szCs w:val="20"/>
                <w:color w:val="auto"/>
              </w:rPr>
            </w:pPr>
            <w:r>
              <w:rPr>
                <w:rFonts w:ascii="Arial" w:cs="Arial" w:eastAsia="Arial" w:hAnsi="Arial"/>
                <w:sz w:val="12"/>
                <w:szCs w:val="12"/>
                <w:color w:val="auto"/>
              </w:rPr>
              <w:t>Certificate of Incorporation to increase its authorized shares of</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20" w:type="dxa"/>
            <w:vAlign w:val="bottom"/>
            <w:tcBorders>
              <w:bottom w:val="single" w:sz="8" w:color="E7417A"/>
            </w:tcBorders>
          </w:tcPr>
          <w:p>
            <w:pPr>
              <w:spacing w:after="0"/>
              <w:rPr>
                <w:sz w:val="13"/>
                <w:szCs w:val="13"/>
                <w:color w:val="auto"/>
              </w:rPr>
            </w:pPr>
          </w:p>
        </w:tc>
        <w:tc>
          <w:tcPr>
            <w:tcW w:w="160" w:type="dxa"/>
            <w:vAlign w:val="bottom"/>
            <w:tcBorders>
              <w:bottom w:val="single" w:sz="8" w:color="E7417A"/>
            </w:tcBorders>
          </w:tcPr>
          <w:p>
            <w:pPr>
              <w:spacing w:after="0"/>
              <w:rPr>
                <w:sz w:val="13"/>
                <w:szCs w:val="13"/>
                <w:color w:val="auto"/>
              </w:rPr>
            </w:pPr>
          </w:p>
        </w:tc>
        <w:tc>
          <w:tcPr>
            <w:tcW w:w="3680" w:type="dxa"/>
            <w:vAlign w:val="bottom"/>
            <w:tcBorders>
              <w:bottom w:val="single" w:sz="8" w:color="E7417A"/>
            </w:tcBorders>
          </w:tcPr>
          <w:p>
            <w:pPr>
              <w:ind w:left="40"/>
              <w:spacing w:after="0"/>
              <w:rPr>
                <w:sz w:val="20"/>
                <w:szCs w:val="20"/>
                <w:color w:val="auto"/>
              </w:rPr>
            </w:pPr>
            <w:r>
              <w:rPr>
                <w:rFonts w:ascii="Arial" w:cs="Arial" w:eastAsia="Arial" w:hAnsi="Arial"/>
                <w:sz w:val="12"/>
                <w:szCs w:val="12"/>
                <w:color w:val="auto"/>
              </w:rPr>
              <w:t>common stock to 390 million shares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20" w:type="dxa"/>
            <w:vAlign w:val="bottom"/>
            <w:vMerge w:val="restart"/>
          </w:tcPr>
          <w:p>
            <w:pPr>
              <w:ind w:left="120"/>
              <w:spacing w:after="0"/>
              <w:rPr>
                <w:sz w:val="20"/>
                <w:szCs w:val="20"/>
                <w:color w:val="auto"/>
              </w:rPr>
            </w:pPr>
            <w:r>
              <w:rPr>
                <w:rFonts w:ascii="Arial" w:cs="Arial" w:eastAsia="Arial" w:hAnsi="Arial"/>
                <w:sz w:val="25"/>
                <w:szCs w:val="25"/>
                <w:color w:val="62259D"/>
              </w:rPr>
              <w:t>5</w:t>
            </w:r>
          </w:p>
        </w:tc>
        <w:tc>
          <w:tcPr>
            <w:tcW w:w="16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3680" w:type="dxa"/>
            <w:vAlign w:val="bottom"/>
          </w:tcPr>
          <w:p>
            <w:pPr>
              <w:ind w:left="40"/>
              <w:spacing w:after="0" w:line="137" w:lineRule="exact"/>
              <w:rPr>
                <w:sz w:val="20"/>
                <w:szCs w:val="20"/>
                <w:color w:val="auto"/>
              </w:rPr>
            </w:pPr>
            <w:r>
              <w:rPr>
                <w:rFonts w:ascii="Arial" w:cs="Arial" w:eastAsia="Arial" w:hAnsi="Arial"/>
                <w:sz w:val="12"/>
                <w:szCs w:val="12"/>
                <w:color w:val="auto"/>
              </w:rPr>
              <w:t>Adoption of the Ribbon Communications Inc. 2025 Incentive</w:t>
            </w:r>
          </w:p>
        </w:tc>
        <w:tc>
          <w:tcPr>
            <w:tcW w:w="8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320" w:type="dxa"/>
            <w:vAlign w:val="bottom"/>
            <w:tcBorders>
              <w:bottom w:val="single" w:sz="8" w:color="E7417A"/>
            </w:tcBorders>
            <w:vMerge w:val="continue"/>
          </w:tcPr>
          <w:p>
            <w:pPr>
              <w:spacing w:after="0"/>
              <w:rPr>
                <w:sz w:val="13"/>
                <w:szCs w:val="13"/>
                <w:color w:val="auto"/>
              </w:rPr>
            </w:pPr>
          </w:p>
        </w:tc>
        <w:tc>
          <w:tcPr>
            <w:tcW w:w="160" w:type="dxa"/>
            <w:vAlign w:val="bottom"/>
            <w:tcBorders>
              <w:bottom w:val="single" w:sz="8" w:color="E7417A"/>
            </w:tcBorders>
            <w:vMerge w:val="continue"/>
          </w:tcPr>
          <w:p>
            <w:pPr>
              <w:spacing w:after="0"/>
              <w:rPr>
                <w:sz w:val="13"/>
                <w:szCs w:val="13"/>
                <w:color w:val="auto"/>
              </w:rPr>
            </w:pPr>
          </w:p>
        </w:tc>
        <w:tc>
          <w:tcPr>
            <w:tcW w:w="3680" w:type="dxa"/>
            <w:vAlign w:val="bottom"/>
            <w:tcBorders>
              <w:bottom w:val="single" w:sz="8" w:color="E7417A"/>
            </w:tcBorders>
          </w:tcPr>
          <w:p>
            <w:pPr>
              <w:ind w:left="40"/>
              <w:spacing w:after="0"/>
              <w:rPr>
                <w:sz w:val="20"/>
                <w:szCs w:val="20"/>
                <w:color w:val="auto"/>
              </w:rPr>
            </w:pPr>
            <w:r>
              <w:rPr>
                <w:rFonts w:ascii="Arial" w:cs="Arial" w:eastAsia="Arial" w:hAnsi="Arial"/>
                <w:sz w:val="12"/>
                <w:szCs w:val="12"/>
                <w:color w:val="auto"/>
              </w:rPr>
              <w:t>Award Plan</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20" w:type="dxa"/>
            <w:vAlign w:val="bottom"/>
            <w:vMerge w:val="restart"/>
          </w:tcPr>
          <w:p>
            <w:pPr>
              <w:ind w:left="120"/>
              <w:spacing w:after="0" w:line="280" w:lineRule="exact"/>
              <w:rPr>
                <w:sz w:val="20"/>
                <w:szCs w:val="20"/>
                <w:color w:val="auto"/>
              </w:rPr>
            </w:pPr>
            <w:r>
              <w:rPr>
                <w:rFonts w:ascii="Arial" w:cs="Arial" w:eastAsia="Arial" w:hAnsi="Arial"/>
                <w:sz w:val="25"/>
                <w:szCs w:val="25"/>
                <w:color w:val="62259D"/>
              </w:rPr>
              <w:t>6</w:t>
            </w:r>
          </w:p>
        </w:tc>
        <w:tc>
          <w:tcPr>
            <w:tcW w:w="16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3680" w:type="dxa"/>
            <w:vAlign w:val="bottom"/>
          </w:tcPr>
          <w:p>
            <w:pPr>
              <w:ind w:left="40"/>
              <w:spacing w:after="0" w:line="134" w:lineRule="exact"/>
              <w:rPr>
                <w:sz w:val="20"/>
                <w:szCs w:val="20"/>
                <w:color w:val="auto"/>
              </w:rPr>
            </w:pPr>
            <w:r>
              <w:rPr>
                <w:rFonts w:ascii="Arial" w:cs="Arial" w:eastAsia="Arial" w:hAnsi="Arial"/>
                <w:sz w:val="12"/>
                <w:szCs w:val="12"/>
                <w:color w:val="auto"/>
              </w:rPr>
              <w:t>Transaction of other business, if any, as may properly come</w:t>
            </w:r>
          </w:p>
        </w:tc>
        <w:tc>
          <w:tcPr>
            <w:tcW w:w="8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3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3680" w:type="dxa"/>
            <w:vAlign w:val="bottom"/>
          </w:tcPr>
          <w:p>
            <w:pPr>
              <w:ind w:left="40"/>
              <w:spacing w:after="0"/>
              <w:rPr>
                <w:sz w:val="20"/>
                <w:szCs w:val="20"/>
                <w:color w:val="auto"/>
              </w:rPr>
            </w:pPr>
            <w:r>
              <w:rPr>
                <w:rFonts w:ascii="Arial" w:cs="Arial" w:eastAsia="Arial" w:hAnsi="Arial"/>
                <w:sz w:val="12"/>
                <w:szCs w:val="12"/>
                <w:color w:val="auto"/>
              </w:rPr>
              <w:t>before the meeting or any adjournment, continuation or</w:t>
            </w: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520"/>
        <w:spacing w:after="0"/>
        <w:rPr>
          <w:sz w:val="20"/>
          <w:szCs w:val="20"/>
          <w:color w:val="auto"/>
        </w:rPr>
      </w:pPr>
      <w:r>
        <w:rPr>
          <w:rFonts w:ascii="Arial" w:cs="Arial" w:eastAsia="Arial" w:hAnsi="Arial"/>
          <w:sz w:val="12"/>
          <w:szCs w:val="12"/>
          <w:color w:val="auto"/>
        </w:rPr>
        <w:t>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26403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0" w:right="219"/>
        <w:spacing w:after="0" w:line="256" w:lineRule="auto"/>
        <w:rPr>
          <w:sz w:val="20"/>
          <w:szCs w:val="20"/>
          <w:color w:val="auto"/>
        </w:rPr>
      </w:pPr>
      <w:r>
        <w:rPr>
          <w:rFonts w:ascii="Arial" w:cs="Arial" w:eastAsia="Arial" w:hAnsi="Arial"/>
          <w:sz w:val="17"/>
          <w:szCs w:val="17"/>
          <w:color w:val="auto"/>
        </w:rPr>
        <w:t xml:space="preserve">A complete list of our stockholders as of the Record Date will be available for examination by any stockholder during the ten days prior to the 2025 Annual Meeting for a purpose germane to the 2025 Annual Meeting by sending an email to </w:t>
      </w:r>
      <w:r>
        <w:rPr>
          <w:rFonts w:ascii="Arial" w:cs="Arial" w:eastAsia="Arial" w:hAnsi="Arial"/>
          <w:sz w:val="17"/>
          <w:szCs w:val="17"/>
          <w:color w:val="E7417A"/>
        </w:rPr>
        <w:t>ir@rbbn.com</w:t>
      </w:r>
      <w:r>
        <w:rPr>
          <w:rFonts w:ascii="Arial" w:cs="Arial" w:eastAsia="Arial" w:hAnsi="Arial"/>
          <w:sz w:val="17"/>
          <w:szCs w:val="17"/>
          <w:color w:val="000000"/>
        </w:rPr>
        <w:t>, stating the purpose of the request</w:t>
      </w:r>
      <w:r>
        <w:rPr>
          <w:rFonts w:ascii="Arial" w:cs="Arial" w:eastAsia="Arial" w:hAnsi="Arial"/>
          <w:sz w:val="17"/>
          <w:szCs w:val="17"/>
          <w:color w:val="E7417A"/>
        </w:rPr>
        <w:t xml:space="preserve"> </w:t>
      </w:r>
      <w:r>
        <w:rPr>
          <w:rFonts w:ascii="Arial" w:cs="Arial" w:eastAsia="Arial" w:hAnsi="Arial"/>
          <w:sz w:val="17"/>
          <w:szCs w:val="17"/>
          <w:color w:val="000000"/>
        </w:rPr>
        <w:t>and providing proof of ownership of Company stock. The list of stockholders will also be available during the virtual meeting after you enter the virtual meeting using the 16-digit control number you received with the Notice of Internet Availability of Proxy Materials, proxy card or voting instructions for the 2025 Annual Meeting. For additional information, see “</w:t>
      </w:r>
      <w:r>
        <w:rPr>
          <w:rFonts w:ascii="Arial" w:cs="Arial" w:eastAsia="Arial" w:hAnsi="Arial"/>
          <w:sz w:val="17"/>
          <w:szCs w:val="17"/>
          <w:i w:val="1"/>
          <w:iCs w:val="1"/>
          <w:color w:val="000000"/>
        </w:rPr>
        <w:t>How can I attend</w:t>
      </w:r>
      <w:r>
        <w:rPr>
          <w:rFonts w:ascii="Arial" w:cs="Arial" w:eastAsia="Arial" w:hAnsi="Arial"/>
          <w:sz w:val="17"/>
          <w:szCs w:val="17"/>
          <w:color w:val="000000"/>
        </w:rPr>
        <w:t xml:space="preserve"> </w:t>
      </w:r>
      <w:r>
        <w:rPr>
          <w:rFonts w:ascii="Arial" w:cs="Arial" w:eastAsia="Arial" w:hAnsi="Arial"/>
          <w:sz w:val="17"/>
          <w:szCs w:val="17"/>
          <w:i w:val="1"/>
          <w:iCs w:val="1"/>
          <w:color w:val="000000"/>
        </w:rPr>
        <w:t>the meeting?</w:t>
      </w:r>
      <w:r>
        <w:rPr>
          <w:rFonts w:ascii="Arial" w:cs="Arial" w:eastAsia="Arial" w:hAnsi="Arial"/>
          <w:sz w:val="17"/>
          <w:szCs w:val="17"/>
          <w:color w:val="000000"/>
        </w:rPr>
        <w:t>” in the section entitled “</w:t>
      </w:r>
      <w:r>
        <w:rPr>
          <w:rFonts w:ascii="Arial" w:cs="Arial" w:eastAsia="Arial" w:hAnsi="Arial"/>
          <w:sz w:val="17"/>
          <w:szCs w:val="17"/>
          <w:i w:val="1"/>
          <w:iCs w:val="1"/>
          <w:color w:val="000000"/>
        </w:rPr>
        <w:t>Information about the Annual Meeting</w:t>
      </w:r>
      <w:r>
        <w:rPr>
          <w:rFonts w:ascii="Arial" w:cs="Arial" w:eastAsia="Arial" w:hAnsi="Arial"/>
          <w:sz w:val="17"/>
          <w:szCs w:val="17"/>
          <w:color w:val="000000"/>
        </w:rPr>
        <w:t>” in the Proxy</w:t>
      </w:r>
      <w:r>
        <w:rPr>
          <w:rFonts w:ascii="Arial" w:cs="Arial" w:eastAsia="Arial" w:hAnsi="Arial"/>
          <w:sz w:val="17"/>
          <w:szCs w:val="17"/>
          <w:i w:val="1"/>
          <w:iCs w:val="1"/>
          <w:color w:val="000000"/>
        </w:rPr>
        <w:t xml:space="preserve"> </w:t>
      </w:r>
      <w:r>
        <w:rPr>
          <w:rFonts w:ascii="Arial" w:cs="Arial" w:eastAsia="Arial" w:hAnsi="Arial"/>
          <w:sz w:val="17"/>
          <w:szCs w:val="17"/>
          <w:color w:val="000000"/>
        </w:rPr>
        <w:t>Statement.</w:t>
      </w:r>
    </w:p>
    <w:p>
      <w:pPr>
        <w:spacing w:after="0" w:line="659" w:lineRule="exact"/>
        <w:rPr>
          <w:sz w:val="20"/>
          <w:szCs w:val="20"/>
          <w:color w:val="auto"/>
        </w:rPr>
      </w:pPr>
    </w:p>
    <w:p>
      <w:pPr>
        <w:sectPr>
          <w:pgSz w:w="11900" w:h="16838" w:orient="portrait"/>
          <w:cols w:equalWidth="0" w:num="2">
            <w:col w:w="5180" w:space="420"/>
            <w:col w:w="4279"/>
          </w:cols>
          <w:pgMar w:left="580" w:top="97" w:right="1440" w:bottom="1440" w:gutter="0" w:footer="0" w:header="0"/>
          <w:type w:val="continuous"/>
        </w:sectPr>
      </w:pPr>
    </w:p>
    <w:p>
      <w:pPr>
        <w:ind w:left="920" w:right="219"/>
        <w:spacing w:after="0" w:line="254" w:lineRule="auto"/>
        <w:rPr>
          <w:sz w:val="20"/>
          <w:szCs w:val="20"/>
          <w:color w:val="auto"/>
        </w:rPr>
      </w:pPr>
      <w:r>
        <w:rPr>
          <w:rFonts w:ascii="Arial" w:cs="Arial" w:eastAsia="Arial" w:hAnsi="Arial"/>
          <w:sz w:val="17"/>
          <w:szCs w:val="17"/>
          <w:b w:val="1"/>
          <w:bCs w:val="1"/>
          <w:color w:val="auto"/>
        </w:rPr>
        <w:t>Whether or not you expect to attend the 2025 Annual Meeting, we urge you to vote your shares as promptly as possible to ensure your representation and the presence of a quorum at the 2025 Annual Meeting</w:t>
      </w:r>
      <w:r>
        <w:rPr>
          <w:rFonts w:ascii="Arial" w:cs="Arial" w:eastAsia="Arial" w:hAnsi="Arial"/>
          <w:sz w:val="17"/>
          <w:szCs w:val="17"/>
          <w:color w:val="auto"/>
        </w:rPr>
        <w:t>. If you send in your proxy card, you may still decide to attend the 2025 Annual Meeting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vote your shares electronically. Your proxy is revocable in accordance with the procedures set forth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165735</wp:posOffset>
            </wp:positionV>
            <wp:extent cx="866140" cy="8655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6140" cy="8655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April 14, 2025</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w:t>
      </w:r>
    </w:p>
    <w:p>
      <w:pPr>
        <w:spacing w:after="0" w:line="242" w:lineRule="exact"/>
        <w:rPr>
          <w:sz w:val="20"/>
          <w:szCs w:val="20"/>
          <w:color w:val="auto"/>
        </w:rPr>
      </w:pPr>
    </w:p>
    <w:p>
      <w:pPr>
        <w:ind w:left="1860"/>
        <w:spacing w:after="0"/>
        <w:rPr>
          <w:sz w:val="20"/>
          <w:szCs w:val="20"/>
          <w:color w:val="auto"/>
        </w:rPr>
      </w:pPr>
      <w:r>
        <w:rPr>
          <w:rFonts w:ascii="Arial" w:cs="Arial" w:eastAsia="Arial" w:hAnsi="Arial"/>
          <w:sz w:val="16"/>
          <w:szCs w:val="16"/>
          <w:color w:val="FEFEFE"/>
        </w:rPr>
        <w: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1806575</wp:posOffset>
            </wp:positionH>
            <wp:positionV relativeFrom="paragraph">
              <wp:posOffset>35560</wp:posOffset>
            </wp:positionV>
            <wp:extent cx="1517015"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7015" cy="27432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2840"/>
        <w:spacing w:after="0"/>
        <w:rPr>
          <w:sz w:val="20"/>
          <w:szCs w:val="20"/>
          <w:color w:val="auto"/>
        </w:rPr>
      </w:pPr>
      <w:r>
        <w:rPr>
          <w:rFonts w:ascii="Arial" w:cs="Arial" w:eastAsia="Arial" w:hAnsi="Arial"/>
          <w:sz w:val="17"/>
          <w:szCs w:val="17"/>
          <w:b w:val="1"/>
          <w:bCs w:val="1"/>
          <w:color w:val="62259D"/>
        </w:rPr>
        <w:t>Patrick W. Macken</w:t>
      </w:r>
    </w:p>
    <w:p>
      <w:pPr>
        <w:spacing w:after="0" w:line="10"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Executive Vice President, Chief Legal Officer</w:t>
      </w:r>
    </w:p>
    <w:p>
      <w:pPr>
        <w:spacing w:after="0" w:line="7" w:lineRule="exact"/>
        <w:rPr>
          <w:sz w:val="20"/>
          <w:szCs w:val="20"/>
          <w:color w:val="auto"/>
        </w:rPr>
      </w:pPr>
    </w:p>
    <w:p>
      <w:pPr>
        <w:jc w:val="right"/>
        <w:ind w:right="59"/>
        <w:spacing w:after="0"/>
        <w:tabs>
          <w:tab w:leader="none" w:pos="4620" w:val="left"/>
          <w:tab w:leader="none" w:pos="4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 ​ and Corporate Secretary</w:t>
      </w:r>
      <w:r>
        <w:rPr>
          <w:sz w:val="20"/>
          <w:szCs w:val="20"/>
          <w:color w:val="auto"/>
        </w:rPr>
        <w:tab/>
      </w:r>
      <w:r>
        <w:rPr>
          <w:rFonts w:ascii="Arial" w:cs="Arial" w:eastAsia="Arial" w:hAnsi="Arial"/>
          <w:sz w:val="17"/>
          <w:szCs w:val="17"/>
          <w:color w:val="auto"/>
        </w:rPr>
        <w: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40" w:type="dxa"/>
            <w:vAlign w:val="bottom"/>
            <w:vMerge w:val="restart"/>
          </w:tcPr>
          <w:p>
            <w:pPr>
              <w:spacing w:after="0"/>
              <w:rPr>
                <w:sz w:val="20"/>
                <w:szCs w:val="20"/>
                <w:color w:val="auto"/>
              </w:rPr>
            </w:pPr>
            <w:r>
              <w:rPr>
                <w:rFonts w:ascii="Arial" w:cs="Arial" w:eastAsia="Arial" w:hAnsi="Arial"/>
                <w:sz w:val="16"/>
                <w:szCs w:val="16"/>
                <w:color w:val="FEFEFE"/>
              </w:rPr>
              <w:t>This Proxy Statement, form of proxy and the 2024 Annual Report are first</w:t>
            </w:r>
          </w:p>
        </w:tc>
        <w:tc>
          <w:tcPr>
            <w:tcW w:w="440" w:type="dxa"/>
            <w:vAlign w:val="bottom"/>
          </w:tcPr>
          <w:p>
            <w:pPr>
              <w:ind w:left="400"/>
              <w:spacing w:after="0"/>
              <w:rPr>
                <w:sz w:val="20"/>
                <w:szCs w:val="20"/>
                <w:color w:val="auto"/>
              </w:rPr>
            </w:pPr>
            <w:r>
              <w:rPr>
                <w:rFonts w:ascii="Arial" w:cs="Arial" w:eastAsia="Arial" w:hAnsi="Arial"/>
                <w:sz w:val="16"/>
                <w:szCs w:val="16"/>
                <w:color w:val="FEFEFE"/>
              </w:rPr>
              <w:t>​</w:t>
            </w:r>
          </w:p>
        </w:tc>
        <w:tc>
          <w:tcPr>
            <w:tcW w:w="0" w:type="dxa"/>
            <w:vAlign w:val="bottom"/>
          </w:tcPr>
          <w:p>
            <w:pPr>
              <w:spacing w:after="0"/>
              <w:rPr>
                <w:sz w:val="1"/>
                <w:szCs w:val="1"/>
                <w:color w:val="auto"/>
              </w:rPr>
            </w:pPr>
          </w:p>
        </w:tc>
      </w:tr>
      <w:tr>
        <w:trPr>
          <w:trHeight w:val="95"/>
        </w:trPr>
        <w:tc>
          <w:tcPr>
            <w:tcW w:w="58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340"/>
              <w:spacing w:after="0"/>
              <w:rPr>
                <w:sz w:val="20"/>
                <w:szCs w:val="20"/>
                <w:color w:val="auto"/>
              </w:rPr>
            </w:pPr>
            <w:r>
              <w:rPr>
                <w:rFonts w:ascii="Arial" w:cs="Arial" w:eastAsia="Arial" w:hAnsi="Arial"/>
                <w:sz w:val="16"/>
                <w:szCs w:val="16"/>
                <w:color w:val="FEFEFE"/>
              </w:rPr>
              <w:t>being made available to stockholders on or about April 14, 2025.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-323850</wp:posOffset>
            </wp:positionV>
            <wp:extent cx="4705985" cy="368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05985" cy="368300"/>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280035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040" w:space="560"/>
            <w:col w:w="72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820"/>
        <w:spacing w:after="0"/>
        <w:rPr>
          <w:sz w:val="20"/>
          <w:szCs w:val="20"/>
          <w:color w:val="auto"/>
        </w:rPr>
      </w:pPr>
      <w:r>
        <w:rPr>
          <w:rFonts w:ascii="Arial" w:cs="Arial" w:eastAsia="Arial" w:hAnsi="Arial"/>
          <w:sz w:val="43"/>
          <w:szCs w:val="43"/>
          <w:b w:val="1"/>
          <w:bCs w:val="1"/>
          <w:color w:val="62259D"/>
        </w:rPr>
        <w:t>TABLE OF CONTENTS</w:t>
      </w:r>
    </w:p>
    <w:p>
      <w:pPr>
        <w:sectPr>
          <w:pgSz w:w="11900" w:h="16838" w:orient="portrait"/>
          <w:cols w:equalWidth="0" w:num="1">
            <w:col w:w="10720"/>
          </w:cols>
          <w:pgMar w:left="580" w:top="97"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920" w:type="dxa"/>
        <w:tblCellMar>
          <w:top w:w="0" w:type="dxa"/>
          <w:left w:w="0" w:type="dxa"/>
          <w:bottom w:w="0" w:type="dxa"/>
          <w:right w:w="0" w:type="dxa"/>
        </w:tblCellMar>
      </w:tblPr>
      <w:tr>
        <w:trPr>
          <w:trHeight w:val="195"/>
        </w:trPr>
        <w:tc>
          <w:tcPr>
            <w:tcW w:w="120" w:type="dxa"/>
            <w:vAlign w:val="bottom"/>
          </w:tcPr>
          <w:p>
            <w:pPr>
              <w:spacing w:after="0"/>
              <w:rPr>
                <w:sz w:val="20"/>
                <w:szCs w:val="20"/>
                <w:color w:val="auto"/>
              </w:rPr>
            </w:pPr>
            <w:r>
              <w:rPr>
                <w:rFonts w:ascii="Arial" w:cs="Arial" w:eastAsia="Arial" w:hAnsi="Arial"/>
                <w:sz w:val="17"/>
                <w:szCs w:val="17"/>
                <w:b w:val="1"/>
                <w:bCs w:val="1"/>
                <w:color w:val="auto"/>
              </w:rPr>
              <w:t>​</w:t>
            </w:r>
          </w:p>
        </w:tc>
        <w:tc>
          <w:tcPr>
            <w:tcW w:w="540" w:type="dxa"/>
            <w:vAlign w:val="bottom"/>
            <w:gridSpan w:val="2"/>
          </w:tcPr>
          <w:p>
            <w:pPr>
              <w:jc w:val="right"/>
              <w:spacing w:after="0"/>
              <w:rPr>
                <w:sz w:val="20"/>
                <w:szCs w:val="20"/>
                <w:color w:val="auto"/>
              </w:rPr>
            </w:pPr>
            <w:r>
              <w:rPr>
                <w:rFonts w:ascii="Arial" w:cs="Arial" w:eastAsia="Arial" w:hAnsi="Arial"/>
                <w:sz w:val="17"/>
                <w:szCs w:val="17"/>
                <w:b w:val="1"/>
                <w:bCs w:val="1"/>
                <w:color w:val="0000EE"/>
              </w:rPr>
              <w:t xml:space="preserve">1   </w:t>
            </w:r>
            <w:r>
              <w:rPr>
                <w:rFonts w:ascii="Arial" w:cs="Arial" w:eastAsia="Arial" w:hAnsi="Arial"/>
                <w:sz w:val="17"/>
                <w:szCs w:val="17"/>
                <w:b w:val="1"/>
                <w:bCs w:val="1"/>
                <w:color w:val="000000"/>
              </w:rPr>
              <w:t>​ ​</w:t>
            </w:r>
          </w:p>
        </w:tc>
        <w:tc>
          <w:tcPr>
            <w:tcW w:w="2280" w:type="dxa"/>
            <w:vAlign w:val="bottom"/>
          </w:tcPr>
          <w:p>
            <w:pPr>
              <w:spacing w:after="0"/>
              <w:rPr>
                <w:sz w:val="20"/>
                <w:szCs w:val="20"/>
                <w:color w:val="auto"/>
              </w:rPr>
            </w:pPr>
            <w:r>
              <w:rPr>
                <w:rFonts w:ascii="Arial" w:cs="Arial" w:eastAsia="Arial" w:hAnsi="Arial"/>
                <w:sz w:val="17"/>
                <w:szCs w:val="17"/>
                <w:b w:val="1"/>
                <w:bCs w:val="1"/>
                <w:color w:val="0000EE"/>
              </w:rPr>
              <w:t>SUMMARY INFORMATION</w:t>
            </w:r>
          </w:p>
        </w:tc>
        <w:tc>
          <w:tcPr>
            <w:tcW w:w="1280" w:type="dxa"/>
            <w:vAlign w:val="bottom"/>
          </w:tcPr>
          <w:p>
            <w:pPr>
              <w:ind w:left="1160"/>
              <w:spacing w:after="0"/>
              <w:rPr>
                <w:sz w:val="20"/>
                <w:szCs w:val="20"/>
                <w:color w:val="auto"/>
              </w:rPr>
            </w:pPr>
            <w:r>
              <w:rPr>
                <w:rFonts w:ascii="Arial" w:cs="Arial" w:eastAsia="Arial" w:hAnsi="Arial"/>
                <w:sz w:val="17"/>
                <w:szCs w:val="17"/>
                <w:b w:val="1"/>
                <w:bCs w:val="1"/>
                <w:color w:val="auto"/>
              </w:rPr>
              <w:t>​</w:t>
            </w:r>
          </w:p>
        </w:tc>
      </w:tr>
      <w:tr>
        <w:trPr>
          <w:trHeight w:val="21"/>
        </w:trPr>
        <w:tc>
          <w:tcPr>
            <w:tcW w:w="120" w:type="dxa"/>
            <w:vAlign w:val="bottom"/>
            <w:tcBorders>
              <w:bottom w:val="single" w:sz="8" w:color="E7417A"/>
            </w:tcBorders>
          </w:tcPr>
          <w:p>
            <w:pPr>
              <w:spacing w:after="0" w:line="20" w:lineRule="exact"/>
              <w:rPr>
                <w:sz w:val="1"/>
                <w:szCs w:val="1"/>
                <w:color w:val="auto"/>
              </w:rPr>
            </w:pPr>
          </w:p>
        </w:tc>
        <w:tc>
          <w:tcPr>
            <w:tcW w:w="100" w:type="dxa"/>
            <w:vAlign w:val="bottom"/>
            <w:tcBorders>
              <w:top w:val="single" w:sz="8" w:color="0000EE"/>
              <w:bottom w:val="single" w:sz="8" w:color="E7417A"/>
            </w:tcBorders>
          </w:tcPr>
          <w:p>
            <w:pPr>
              <w:spacing w:after="0" w:line="20" w:lineRule="exact"/>
              <w:rPr>
                <w:sz w:val="1"/>
                <w:szCs w:val="1"/>
                <w:color w:val="auto"/>
              </w:rPr>
            </w:pPr>
          </w:p>
        </w:tc>
        <w:tc>
          <w:tcPr>
            <w:tcW w:w="440" w:type="dxa"/>
            <w:vAlign w:val="bottom"/>
            <w:tcBorders>
              <w:bottom w:val="single" w:sz="8" w:color="E7417A"/>
            </w:tcBorders>
          </w:tcPr>
          <w:p>
            <w:pPr>
              <w:spacing w:after="0" w:line="20" w:lineRule="exact"/>
              <w:rPr>
                <w:sz w:val="1"/>
                <w:szCs w:val="1"/>
                <w:color w:val="auto"/>
              </w:rPr>
            </w:pPr>
          </w:p>
        </w:tc>
        <w:tc>
          <w:tcPr>
            <w:tcW w:w="2280" w:type="dxa"/>
            <w:vAlign w:val="bottom"/>
            <w:tcBorders>
              <w:top w:val="single" w:sz="8" w:color="0000EE"/>
              <w:bottom w:val="single" w:sz="8" w:color="E7417A"/>
            </w:tcBorders>
          </w:tcPr>
          <w:p>
            <w:pPr>
              <w:spacing w:after="0" w:line="20" w:lineRule="exact"/>
              <w:rPr>
                <w:sz w:val="1"/>
                <w:szCs w:val="1"/>
                <w:color w:val="auto"/>
              </w:rPr>
            </w:pPr>
          </w:p>
        </w:tc>
        <w:tc>
          <w:tcPr>
            <w:tcW w:w="1280" w:type="dxa"/>
            <w:vAlign w:val="bottom"/>
            <w:tcBorders>
              <w:bottom w:val="single" w:sz="8" w:color="E7417A"/>
            </w:tcBorders>
          </w:tcPr>
          <w:p>
            <w:pPr>
              <w:spacing w:after="0" w:line="20" w:lineRule="exact"/>
              <w:rPr>
                <w:sz w:val="1"/>
                <w:szCs w:val="1"/>
                <w:color w:val="auto"/>
              </w:rPr>
            </w:pPr>
          </w:p>
        </w:tc>
      </w:tr>
      <w:tr>
        <w:trPr>
          <w:trHeight w:val="149"/>
        </w:trPr>
        <w:tc>
          <w:tcPr>
            <w:tcW w:w="120" w:type="dxa"/>
            <w:vAlign w:val="bottom"/>
          </w:tcPr>
          <w:p>
            <w:pPr>
              <w:spacing w:after="0" w:line="150" w:lineRule="exact"/>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2"/>
                <w:szCs w:val="12"/>
                <w:color w:val="auto"/>
              </w:rPr>
            </w:pPr>
          </w:p>
        </w:tc>
        <w:tc>
          <w:tcPr>
            <w:tcW w:w="440" w:type="dxa"/>
            <w:vAlign w:val="bottom"/>
          </w:tcPr>
          <w:p>
            <w:pPr>
              <w:jc w:val="right"/>
              <w:spacing w:after="0" w:line="150" w:lineRule="exact"/>
              <w:rPr>
                <w:sz w:val="20"/>
                <w:szCs w:val="20"/>
                <w:color w:val="auto"/>
              </w:rPr>
            </w:pPr>
            <w:r>
              <w:rPr>
                <w:rFonts w:ascii="Arial" w:cs="Arial" w:eastAsia="Arial" w:hAnsi="Arial"/>
                <w:sz w:val="17"/>
                <w:szCs w:val="17"/>
                <w:b w:val="1"/>
                <w:bCs w:val="1"/>
                <w:color w:val="auto"/>
              </w:rPr>
              <w:t>​ ​</w:t>
            </w:r>
          </w:p>
        </w:tc>
        <w:tc>
          <w:tcPr>
            <w:tcW w:w="2280" w:type="dxa"/>
            <w:vAlign w:val="bottom"/>
          </w:tcPr>
          <w:p>
            <w:pPr>
              <w:spacing w:after="0"/>
              <w:rPr>
                <w:sz w:val="12"/>
                <w:szCs w:val="12"/>
                <w:color w:val="auto"/>
              </w:rPr>
            </w:pPr>
          </w:p>
        </w:tc>
        <w:tc>
          <w:tcPr>
            <w:tcW w:w="1280" w:type="dxa"/>
            <w:vAlign w:val="bottom"/>
          </w:tcPr>
          <w:p>
            <w:pPr>
              <w:ind w:left="1160"/>
              <w:spacing w:after="0" w:line="150" w:lineRule="exact"/>
              <w:rPr>
                <w:sz w:val="20"/>
                <w:szCs w:val="20"/>
                <w:color w:val="auto"/>
              </w:rPr>
            </w:pPr>
            <w:r>
              <w:rPr>
                <w:rFonts w:ascii="Arial" w:cs="Arial" w:eastAsia="Arial" w:hAnsi="Arial"/>
                <w:sz w:val="17"/>
                <w:szCs w:val="17"/>
                <w:b w:val="1"/>
                <w:bCs w:val="1"/>
                <w:color w:val="auto"/>
              </w:rPr>
              <w:t>​</w:t>
            </w:r>
          </w:p>
        </w:tc>
      </w:tr>
    </w:tbl>
    <w:p>
      <w:pPr>
        <w:ind w:left="1580" w:right="600" w:hanging="548"/>
        <w:spacing w:after="0" w:line="227" w:lineRule="auto"/>
        <w:tabs>
          <w:tab w:leader="none" w:pos="1580" w:val="left"/>
        </w:tabs>
        <w:numPr>
          <w:ilvl w:val="0"/>
          <w:numId w:val="6"/>
        </w:numPr>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t xml:space="preserve">CORPORATE GOVERNANCE AND </w:t>
      </w:r>
      <w:r>
        <w:rPr>
          <w:rFonts w:ascii="Arial" w:cs="Arial" w:eastAsia="Arial" w:hAnsi="Arial"/>
          <w:sz w:val="17"/>
          <w:szCs w:val="17"/>
          <w:b w:val="1"/>
          <w:bCs w:val="1"/>
          <w:color w:val="0000EE"/>
        </w:rPr>
        <w:t>BOARD MATTERS</w:t>
      </w:r>
    </w:p>
    <w:p>
      <w:pPr>
        <w:spacing w:after="0" w:line="21" w:lineRule="exact"/>
        <w:rPr>
          <w:sz w:val="20"/>
          <w:szCs w:val="20"/>
          <w:color w:val="auto"/>
        </w:rPr>
      </w:pPr>
    </w:p>
    <w:tbl>
      <w:tblPr>
        <w:tblLayout w:type="fixed"/>
        <w:tblInd w:w="920" w:type="dxa"/>
        <w:tblCellMar>
          <w:top w:w="0" w:type="dxa"/>
          <w:left w:w="0" w:type="dxa"/>
          <w:bottom w:w="0" w:type="dxa"/>
          <w:right w:w="0" w:type="dxa"/>
        </w:tblCellMar>
      </w:tblPr>
      <w:tr>
        <w:trPr>
          <w:trHeight w:val="21"/>
        </w:trPr>
        <w:tc>
          <w:tcPr>
            <w:tcW w:w="12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80" w:type="dxa"/>
            <w:vAlign w:val="bottom"/>
            <w:tcBorders>
              <w:right w:val="single" w:sz="8" w:color="E7417A"/>
            </w:tcBorders>
            <w:shd w:val="clear" w:color="auto" w:fill="E7417A"/>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2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40" w:type="dxa"/>
            <w:vAlign w:val="bottom"/>
            <w:shd w:val="clear" w:color="auto" w:fill="E7417A"/>
          </w:tcPr>
          <w:p>
            <w:pPr>
              <w:spacing w:after="0" w:line="20" w:lineRule="exact"/>
              <w:rPr>
                <w:sz w:val="1"/>
                <w:szCs w:val="1"/>
                <w:color w:val="auto"/>
              </w:rPr>
            </w:pPr>
          </w:p>
        </w:tc>
        <w:tc>
          <w:tcPr>
            <w:tcW w:w="2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60" w:type="dxa"/>
            <w:vAlign w:val="bottom"/>
            <w:shd w:val="clear" w:color="auto" w:fill="E7417A"/>
          </w:tcPr>
          <w:p>
            <w:pPr>
              <w:spacing w:after="0" w:line="20" w:lineRule="exact"/>
              <w:rPr>
                <w:sz w:val="1"/>
                <w:szCs w:val="1"/>
                <w:color w:val="auto"/>
              </w:rPr>
            </w:pPr>
          </w:p>
        </w:tc>
        <w:tc>
          <w:tcPr>
            <w:tcW w:w="60" w:type="dxa"/>
            <w:vAlign w:val="bottom"/>
            <w:shd w:val="clear" w:color="auto" w:fill="E7417A"/>
          </w:tcPr>
          <w:p>
            <w:pPr>
              <w:spacing w:after="0" w:line="20" w:lineRule="exact"/>
              <w:rPr>
                <w:sz w:val="1"/>
                <w:szCs w:val="1"/>
                <w:color w:val="auto"/>
              </w:rPr>
            </w:pPr>
          </w:p>
        </w:tc>
        <w:tc>
          <w:tcPr>
            <w:tcW w:w="16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160" w:type="dxa"/>
            <w:vAlign w:val="bottom"/>
            <w:shd w:val="clear" w:color="auto" w:fill="E7417A"/>
          </w:tcPr>
          <w:p>
            <w:pPr>
              <w:spacing w:after="0" w:line="20" w:lineRule="exact"/>
              <w:rPr>
                <w:sz w:val="1"/>
                <w:szCs w:val="1"/>
                <w:color w:val="auto"/>
              </w:rPr>
            </w:pPr>
          </w:p>
        </w:tc>
        <w:tc>
          <w:tcPr>
            <w:tcW w:w="60" w:type="dxa"/>
            <w:vAlign w:val="bottom"/>
            <w:shd w:val="clear" w:color="auto" w:fill="E7417A"/>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b w:val="1"/>
                <w:bCs w:val="1"/>
                <w:color w:val="62259D"/>
                <w:w w:val="71"/>
              </w:rPr>
              <w:t>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ind w:left="120"/>
              <w:spacing w:after="0" w:line="175" w:lineRule="exact"/>
              <w:rPr>
                <w:sz w:val="20"/>
                <w:szCs w:val="20"/>
                <w:color w:val="auto"/>
              </w:rPr>
            </w:pPr>
            <w:r>
              <w:rPr>
                <w:rFonts w:ascii="Arial" w:cs="Arial" w:eastAsia="Arial" w:hAnsi="Arial"/>
                <w:sz w:val="16"/>
                <w:szCs w:val="16"/>
                <w:color w:val="auto"/>
              </w:rPr>
              <w:t>​ ​</w:t>
            </w:r>
          </w:p>
        </w:tc>
        <w:tc>
          <w:tcPr>
            <w:tcW w:w="3180" w:type="dxa"/>
            <w:vAlign w:val="bottom"/>
            <w:gridSpan w:val="24"/>
          </w:tcPr>
          <w:p>
            <w:pPr>
              <w:spacing w:after="0" w:line="175" w:lineRule="exact"/>
              <w:rPr>
                <w:sz w:val="20"/>
                <w:szCs w:val="20"/>
                <w:color w:val="auto"/>
              </w:rPr>
            </w:pPr>
            <w:r>
              <w:rPr>
                <w:rFonts w:ascii="Arial" w:cs="Arial" w:eastAsia="Arial" w:hAnsi="Arial"/>
                <w:sz w:val="16"/>
                <w:szCs w:val="16"/>
                <w:b w:val="1"/>
                <w:bCs w:val="1"/>
                <w:color w:val="62259D"/>
              </w:rPr>
              <w:t>PROPOSAL 1</w:t>
            </w:r>
            <w:r>
              <w:rPr>
                <w:rFonts w:ascii="Arial" w:cs="Arial" w:eastAsia="Arial" w:hAnsi="Arial"/>
                <w:sz w:val="16"/>
                <w:szCs w:val="16"/>
                <w:color w:val="62259D"/>
              </w:rPr>
              <w:t> — Election of Directors</w:t>
            </w:r>
          </w:p>
        </w:tc>
        <w:tc>
          <w:tcPr>
            <w:tcW w:w="380" w:type="dxa"/>
            <w:vAlign w:val="bottom"/>
          </w:tcPr>
          <w:p>
            <w:pPr>
              <w:ind w:left="26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20" w:type="dxa"/>
            <w:vAlign w:val="bottom"/>
            <w:tcBorders>
              <w:bottom w:val="single" w:sz="8" w:color="4C4C4C"/>
            </w:tcBorders>
          </w:tcPr>
          <w:p>
            <w:pPr>
              <w:spacing w:after="0" w:line="20" w:lineRule="exact"/>
              <w:rPr>
                <w:sz w:val="1"/>
                <w:szCs w:val="1"/>
                <w:color w:val="auto"/>
              </w:rPr>
            </w:pPr>
          </w:p>
        </w:tc>
        <w:tc>
          <w:tcPr>
            <w:tcW w:w="80" w:type="dxa"/>
            <w:vAlign w:val="bottom"/>
            <w:tcBorders>
              <w:top w:val="single" w:sz="8" w:color="62259D"/>
              <w:bottom w:val="single" w:sz="8" w:color="4C4C4C"/>
            </w:tcBorders>
          </w:tcPr>
          <w:p>
            <w:pPr>
              <w:spacing w:after="0" w:line="20" w:lineRule="exact"/>
              <w:rPr>
                <w:sz w:val="1"/>
                <w:szCs w:val="1"/>
                <w:color w:val="auto"/>
              </w:rPr>
            </w:pPr>
          </w:p>
        </w:tc>
        <w:tc>
          <w:tcPr>
            <w:tcW w:w="20" w:type="dxa"/>
            <w:vAlign w:val="bottom"/>
            <w:tcBorders>
              <w:top w:val="single" w:sz="8" w:color="62259D"/>
              <w:bottom w:val="single" w:sz="8" w:color="4C4C4C"/>
            </w:tcBorders>
          </w:tcPr>
          <w:p>
            <w:pPr>
              <w:spacing w:after="0" w:line="20" w:lineRule="exact"/>
              <w:rPr>
                <w:sz w:val="1"/>
                <w:szCs w:val="1"/>
                <w:color w:val="auto"/>
              </w:rPr>
            </w:pPr>
          </w:p>
        </w:tc>
        <w:tc>
          <w:tcPr>
            <w:tcW w:w="8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340" w:type="dxa"/>
            <w:vAlign w:val="bottom"/>
            <w:tcBorders>
              <w:bottom w:val="single" w:sz="8" w:color="4C4C4C"/>
            </w:tcBorders>
          </w:tcPr>
          <w:p>
            <w:pPr>
              <w:spacing w:after="0" w:line="20" w:lineRule="exact"/>
              <w:rPr>
                <w:sz w:val="1"/>
                <w:szCs w:val="1"/>
                <w:color w:val="auto"/>
              </w:rPr>
            </w:pPr>
          </w:p>
        </w:tc>
        <w:tc>
          <w:tcPr>
            <w:tcW w:w="820" w:type="dxa"/>
            <w:vAlign w:val="bottom"/>
            <w:tcBorders>
              <w:top w:val="single" w:sz="8" w:color="62259D"/>
              <w:bottom w:val="single" w:sz="8" w:color="4C4C4C"/>
            </w:tcBorders>
          </w:tcPr>
          <w:p>
            <w:pPr>
              <w:spacing w:after="0" w:line="20" w:lineRule="exact"/>
              <w:rPr>
                <w:sz w:val="1"/>
                <w:szCs w:val="1"/>
                <w:color w:val="auto"/>
              </w:rPr>
            </w:pPr>
          </w:p>
        </w:tc>
        <w:tc>
          <w:tcPr>
            <w:tcW w:w="160" w:type="dxa"/>
            <w:vAlign w:val="bottom"/>
            <w:tcBorders>
              <w:top w:val="single" w:sz="8" w:color="62259D"/>
              <w:bottom w:val="single" w:sz="8" w:color="4C4C4C"/>
            </w:tcBorders>
          </w:tcPr>
          <w:p>
            <w:pPr>
              <w:spacing w:after="0" w:line="20" w:lineRule="exact"/>
              <w:rPr>
                <w:sz w:val="1"/>
                <w:szCs w:val="1"/>
                <w:color w:val="auto"/>
              </w:rPr>
            </w:pPr>
          </w:p>
        </w:tc>
        <w:tc>
          <w:tcPr>
            <w:tcW w:w="400" w:type="dxa"/>
            <w:vAlign w:val="bottom"/>
            <w:tcBorders>
              <w:top w:val="single" w:sz="8" w:color="62259D"/>
              <w:bottom w:val="single" w:sz="8" w:color="4C4C4C"/>
            </w:tcBorders>
          </w:tcPr>
          <w:p>
            <w:pPr>
              <w:spacing w:after="0" w:line="20" w:lineRule="exact"/>
              <w:rPr>
                <w:sz w:val="1"/>
                <w:szCs w:val="1"/>
                <w:color w:val="auto"/>
              </w:rPr>
            </w:pPr>
          </w:p>
        </w:tc>
        <w:tc>
          <w:tcPr>
            <w:tcW w:w="20" w:type="dxa"/>
            <w:vAlign w:val="bottom"/>
            <w:tcBorders>
              <w:top w:val="single" w:sz="8" w:color="62259D"/>
              <w:bottom w:val="single" w:sz="8" w:color="4C4C4C"/>
            </w:tcBorders>
          </w:tcPr>
          <w:p>
            <w:pPr>
              <w:spacing w:after="0" w:line="20" w:lineRule="exact"/>
              <w:rPr>
                <w:sz w:val="1"/>
                <w:szCs w:val="1"/>
                <w:color w:val="auto"/>
              </w:rPr>
            </w:pPr>
          </w:p>
        </w:tc>
        <w:tc>
          <w:tcPr>
            <w:tcW w:w="80" w:type="dxa"/>
            <w:vAlign w:val="bottom"/>
            <w:tcBorders>
              <w:top w:val="single" w:sz="8" w:color="62259D"/>
              <w:bottom w:val="single" w:sz="8" w:color="4C4C4C"/>
            </w:tcBorders>
          </w:tcPr>
          <w:p>
            <w:pPr>
              <w:spacing w:after="0" w:line="20" w:lineRule="exact"/>
              <w:rPr>
                <w:sz w:val="1"/>
                <w:szCs w:val="1"/>
                <w:color w:val="auto"/>
              </w:rPr>
            </w:pPr>
          </w:p>
        </w:tc>
        <w:tc>
          <w:tcPr>
            <w:tcW w:w="20" w:type="dxa"/>
            <w:vAlign w:val="bottom"/>
            <w:tcBorders>
              <w:top w:val="single" w:sz="8" w:color="62259D"/>
              <w:bottom w:val="single" w:sz="8" w:color="4C4C4C"/>
            </w:tcBorders>
          </w:tcPr>
          <w:p>
            <w:pPr>
              <w:spacing w:after="0" w:line="20" w:lineRule="exact"/>
              <w:rPr>
                <w:sz w:val="1"/>
                <w:szCs w:val="1"/>
                <w:color w:val="auto"/>
              </w:rPr>
            </w:pPr>
          </w:p>
        </w:tc>
        <w:tc>
          <w:tcPr>
            <w:tcW w:w="100" w:type="dxa"/>
            <w:vAlign w:val="bottom"/>
            <w:tcBorders>
              <w:top w:val="single" w:sz="8" w:color="62259D"/>
              <w:bottom w:val="single" w:sz="8" w:color="4C4C4C"/>
            </w:tcBorders>
          </w:tcPr>
          <w:p>
            <w:pPr>
              <w:spacing w:after="0" w:line="20" w:lineRule="exact"/>
              <w:rPr>
                <w:sz w:val="1"/>
                <w:szCs w:val="1"/>
                <w:color w:val="auto"/>
              </w:rPr>
            </w:pPr>
          </w:p>
        </w:tc>
        <w:tc>
          <w:tcPr>
            <w:tcW w:w="100" w:type="dxa"/>
            <w:vAlign w:val="bottom"/>
            <w:tcBorders>
              <w:top w:val="single" w:sz="8" w:color="62259D"/>
              <w:bottom w:val="single" w:sz="8" w:color="4C4C4C"/>
            </w:tcBorders>
          </w:tcPr>
          <w:p>
            <w:pPr>
              <w:spacing w:after="0" w:line="20" w:lineRule="exact"/>
              <w:rPr>
                <w:sz w:val="1"/>
                <w:szCs w:val="1"/>
                <w:color w:val="auto"/>
              </w:rPr>
            </w:pPr>
          </w:p>
        </w:tc>
        <w:tc>
          <w:tcPr>
            <w:tcW w:w="80" w:type="dxa"/>
            <w:vAlign w:val="bottom"/>
            <w:tcBorders>
              <w:top w:val="single" w:sz="8" w:color="62259D"/>
              <w:bottom w:val="single" w:sz="8" w:color="4C4C4C"/>
            </w:tcBorders>
          </w:tcPr>
          <w:p>
            <w:pPr>
              <w:spacing w:after="0" w:line="20" w:lineRule="exact"/>
              <w:rPr>
                <w:sz w:val="1"/>
                <w:szCs w:val="1"/>
                <w:color w:val="auto"/>
              </w:rPr>
            </w:pPr>
          </w:p>
        </w:tc>
        <w:tc>
          <w:tcPr>
            <w:tcW w:w="240" w:type="dxa"/>
            <w:vAlign w:val="bottom"/>
            <w:tcBorders>
              <w:top w:val="single" w:sz="8" w:color="62259D"/>
              <w:bottom w:val="single" w:sz="8" w:color="4C4C4C"/>
            </w:tcBorders>
          </w:tcPr>
          <w:p>
            <w:pPr>
              <w:spacing w:after="0" w:line="20" w:lineRule="exact"/>
              <w:rPr>
                <w:sz w:val="1"/>
                <w:szCs w:val="1"/>
                <w:color w:val="auto"/>
              </w:rPr>
            </w:pPr>
          </w:p>
        </w:tc>
        <w:tc>
          <w:tcPr>
            <w:tcW w:w="20" w:type="dxa"/>
            <w:vAlign w:val="bottom"/>
            <w:tcBorders>
              <w:top w:val="single" w:sz="8" w:color="62259D"/>
              <w:bottom w:val="single" w:sz="8" w:color="4C4C4C"/>
            </w:tcBorders>
          </w:tcPr>
          <w:p>
            <w:pPr>
              <w:spacing w:after="0" w:line="20" w:lineRule="exact"/>
              <w:rPr>
                <w:sz w:val="1"/>
                <w:szCs w:val="1"/>
                <w:color w:val="auto"/>
              </w:rPr>
            </w:pPr>
          </w:p>
        </w:tc>
        <w:tc>
          <w:tcPr>
            <w:tcW w:w="100" w:type="dxa"/>
            <w:vAlign w:val="bottom"/>
            <w:tcBorders>
              <w:top w:val="single" w:sz="8" w:color="62259D"/>
              <w:bottom w:val="single" w:sz="8" w:color="4C4C4C"/>
            </w:tcBorders>
          </w:tcPr>
          <w:p>
            <w:pPr>
              <w:spacing w:after="0" w:line="20" w:lineRule="exact"/>
              <w:rPr>
                <w:sz w:val="1"/>
                <w:szCs w:val="1"/>
                <w:color w:val="auto"/>
              </w:rPr>
            </w:pPr>
          </w:p>
        </w:tc>
        <w:tc>
          <w:tcPr>
            <w:tcW w:w="40" w:type="dxa"/>
            <w:vAlign w:val="bottom"/>
            <w:tcBorders>
              <w:top w:val="single" w:sz="8" w:color="62259D"/>
              <w:bottom w:val="single" w:sz="8" w:color="4C4C4C"/>
            </w:tcBorders>
          </w:tcPr>
          <w:p>
            <w:pPr>
              <w:spacing w:after="0" w:line="20" w:lineRule="exact"/>
              <w:rPr>
                <w:sz w:val="1"/>
                <w:szCs w:val="1"/>
                <w:color w:val="auto"/>
              </w:rPr>
            </w:pPr>
          </w:p>
        </w:tc>
        <w:tc>
          <w:tcPr>
            <w:tcW w:w="20" w:type="dxa"/>
            <w:vAlign w:val="bottom"/>
            <w:tcBorders>
              <w:top w:val="single" w:sz="8" w:color="62259D"/>
              <w:bottom w:val="single" w:sz="8" w:color="4C4C4C"/>
            </w:tcBorders>
          </w:tcPr>
          <w:p>
            <w:pPr>
              <w:spacing w:after="0" w:line="20" w:lineRule="exact"/>
              <w:rPr>
                <w:sz w:val="1"/>
                <w:szCs w:val="1"/>
                <w:color w:val="auto"/>
              </w:rPr>
            </w:pPr>
          </w:p>
        </w:tc>
        <w:tc>
          <w:tcPr>
            <w:tcW w:w="100" w:type="dxa"/>
            <w:vAlign w:val="bottom"/>
            <w:tcBorders>
              <w:top w:val="single" w:sz="8" w:color="62259D"/>
              <w:bottom w:val="single" w:sz="8" w:color="4C4C4C"/>
            </w:tcBorders>
          </w:tcPr>
          <w:p>
            <w:pPr>
              <w:spacing w:after="0" w:line="20" w:lineRule="exact"/>
              <w:rPr>
                <w:sz w:val="1"/>
                <w:szCs w:val="1"/>
                <w:color w:val="auto"/>
              </w:rPr>
            </w:pPr>
          </w:p>
        </w:tc>
        <w:tc>
          <w:tcPr>
            <w:tcW w:w="60" w:type="dxa"/>
            <w:vAlign w:val="bottom"/>
            <w:tcBorders>
              <w:top w:val="single" w:sz="8" w:color="62259D"/>
              <w:bottom w:val="single" w:sz="8" w:color="4C4C4C"/>
            </w:tcBorders>
          </w:tcPr>
          <w:p>
            <w:pPr>
              <w:spacing w:after="0" w:line="20" w:lineRule="exact"/>
              <w:rPr>
                <w:sz w:val="1"/>
                <w:szCs w:val="1"/>
                <w:color w:val="auto"/>
              </w:rPr>
            </w:pPr>
          </w:p>
        </w:tc>
        <w:tc>
          <w:tcPr>
            <w:tcW w:w="60" w:type="dxa"/>
            <w:vAlign w:val="bottom"/>
            <w:tcBorders>
              <w:top w:val="single" w:sz="8" w:color="62259D"/>
              <w:bottom w:val="single" w:sz="8" w:color="4C4C4C"/>
            </w:tcBorders>
          </w:tcPr>
          <w:p>
            <w:pPr>
              <w:spacing w:after="0" w:line="20" w:lineRule="exact"/>
              <w:rPr>
                <w:sz w:val="1"/>
                <w:szCs w:val="1"/>
                <w:color w:val="auto"/>
              </w:rPr>
            </w:pPr>
          </w:p>
        </w:tc>
        <w:tc>
          <w:tcPr>
            <w:tcW w:w="160" w:type="dxa"/>
            <w:vAlign w:val="bottom"/>
            <w:tcBorders>
              <w:top w:val="single" w:sz="8" w:color="62259D"/>
              <w:bottom w:val="single" w:sz="8" w:color="4C4C4C"/>
            </w:tcBorders>
          </w:tcPr>
          <w:p>
            <w:pPr>
              <w:spacing w:after="0" w:line="20" w:lineRule="exact"/>
              <w:rPr>
                <w:sz w:val="1"/>
                <w:szCs w:val="1"/>
                <w:color w:val="auto"/>
              </w:rPr>
            </w:pPr>
          </w:p>
        </w:tc>
        <w:tc>
          <w:tcPr>
            <w:tcW w:w="80" w:type="dxa"/>
            <w:vAlign w:val="bottom"/>
            <w:tcBorders>
              <w:top w:val="single" w:sz="8" w:color="62259D"/>
              <w:bottom w:val="single" w:sz="8" w:color="4C4C4C"/>
            </w:tcBorders>
          </w:tcPr>
          <w:p>
            <w:pPr>
              <w:spacing w:after="0" w:line="20" w:lineRule="exact"/>
              <w:rPr>
                <w:sz w:val="1"/>
                <w:szCs w:val="1"/>
                <w:color w:val="auto"/>
              </w:rPr>
            </w:pPr>
          </w:p>
        </w:tc>
        <w:tc>
          <w:tcPr>
            <w:tcW w:w="100" w:type="dxa"/>
            <w:vAlign w:val="bottom"/>
            <w:tcBorders>
              <w:top w:val="single" w:sz="8" w:color="62259D"/>
              <w:bottom w:val="single" w:sz="8" w:color="4C4C4C"/>
            </w:tcBorders>
          </w:tcPr>
          <w:p>
            <w:pPr>
              <w:spacing w:after="0" w:line="20" w:lineRule="exact"/>
              <w:rPr>
                <w:sz w:val="1"/>
                <w:szCs w:val="1"/>
                <w:color w:val="auto"/>
              </w:rPr>
            </w:pPr>
          </w:p>
        </w:tc>
        <w:tc>
          <w:tcPr>
            <w:tcW w:w="100" w:type="dxa"/>
            <w:vAlign w:val="bottom"/>
            <w:tcBorders>
              <w:top w:val="single" w:sz="8" w:color="62259D"/>
              <w:bottom w:val="single" w:sz="8" w:color="4C4C4C"/>
            </w:tcBorders>
          </w:tcPr>
          <w:p>
            <w:pPr>
              <w:spacing w:after="0" w:line="20" w:lineRule="exact"/>
              <w:rPr>
                <w:sz w:val="1"/>
                <w:szCs w:val="1"/>
                <w:color w:val="auto"/>
              </w:rPr>
            </w:pPr>
          </w:p>
        </w:tc>
        <w:tc>
          <w:tcPr>
            <w:tcW w:w="100" w:type="dxa"/>
            <w:vAlign w:val="bottom"/>
            <w:tcBorders>
              <w:bottom w:val="single" w:sz="8" w:color="4C4C4C"/>
            </w:tcBorders>
          </w:tcPr>
          <w:p>
            <w:pPr>
              <w:spacing w:after="0" w:line="20" w:lineRule="exact"/>
              <w:rPr>
                <w:sz w:val="1"/>
                <w:szCs w:val="1"/>
                <w:color w:val="auto"/>
              </w:rPr>
            </w:pPr>
          </w:p>
        </w:tc>
        <w:tc>
          <w:tcPr>
            <w:tcW w:w="16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380" w:type="dxa"/>
            <w:vAlign w:val="bottom"/>
            <w:tcBorders>
              <w:bottom w:val="single" w:sz="8" w:color="4C4C4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Pr>
          <w:p>
            <w:pPr>
              <w:spacing w:after="0" w:line="15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0000EE"/>
            </w:tcBorders>
          </w:tcPr>
          <w:p>
            <w:pPr>
              <w:spacing w:after="0" w:line="156" w:lineRule="exact"/>
              <w:rPr>
                <w:sz w:val="20"/>
                <w:szCs w:val="20"/>
                <w:color w:val="auto"/>
              </w:rPr>
            </w:pPr>
            <w:r>
              <w:rPr>
                <w:rFonts w:ascii="Arial" w:cs="Arial" w:eastAsia="Arial" w:hAnsi="Arial"/>
                <w:sz w:val="15"/>
                <w:szCs w:val="15"/>
                <w:color w:val="0000EE"/>
                <w:w w:val="71"/>
              </w:rPr>
              <w:t>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ind w:left="120"/>
              <w:spacing w:after="0" w:line="156" w:lineRule="exact"/>
              <w:rPr>
                <w:sz w:val="20"/>
                <w:szCs w:val="20"/>
                <w:color w:val="auto"/>
              </w:rPr>
            </w:pPr>
            <w:r>
              <w:rPr>
                <w:rFonts w:ascii="Arial" w:cs="Arial" w:eastAsia="Arial" w:hAnsi="Arial"/>
                <w:sz w:val="16"/>
                <w:szCs w:val="16"/>
                <w:color w:val="auto"/>
              </w:rPr>
              <w:t>​ ​</w:t>
            </w:r>
          </w:p>
        </w:tc>
        <w:tc>
          <w:tcPr>
            <w:tcW w:w="1400" w:type="dxa"/>
            <w:vAlign w:val="bottom"/>
            <w:tcBorders>
              <w:bottom w:val="single" w:sz="8" w:color="0000EE"/>
            </w:tcBorders>
            <w:gridSpan w:val="4"/>
          </w:tcPr>
          <w:p>
            <w:pPr>
              <w:spacing w:after="0" w:line="156" w:lineRule="exact"/>
              <w:rPr>
                <w:sz w:val="20"/>
                <w:szCs w:val="20"/>
                <w:color w:val="auto"/>
              </w:rPr>
            </w:pPr>
            <w:r>
              <w:rPr>
                <w:rFonts w:ascii="Arial" w:cs="Arial" w:eastAsia="Arial" w:hAnsi="Arial"/>
                <w:sz w:val="16"/>
                <w:szCs w:val="16"/>
                <w:color w:val="0000EE"/>
              </w:rPr>
              <w:t>Director Nominees</w:t>
            </w:r>
          </w:p>
        </w:tc>
        <w:tc>
          <w:tcPr>
            <w:tcW w:w="1780" w:type="dxa"/>
            <w:vAlign w:val="bottom"/>
            <w:gridSpan w:val="20"/>
          </w:tcPr>
          <w:p>
            <w:pPr>
              <w:spacing w:after="0"/>
              <w:rPr>
                <w:sz w:val="13"/>
                <w:szCs w:val="13"/>
                <w:color w:val="auto"/>
              </w:rPr>
            </w:pPr>
          </w:p>
        </w:tc>
        <w:tc>
          <w:tcPr>
            <w:tcW w:w="380" w:type="dxa"/>
            <w:vAlign w:val="bottom"/>
          </w:tcPr>
          <w:p>
            <w:pPr>
              <w:ind w:left="260"/>
              <w:spacing w:after="0" w:line="15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89"/>
              </w:rPr>
              <w:t>15</w:t>
            </w:r>
          </w:p>
        </w:tc>
        <w:tc>
          <w:tcPr>
            <w:tcW w:w="20" w:type="dxa"/>
            <w:vAlign w:val="bottom"/>
          </w:tcPr>
          <w:p>
            <w:pPr>
              <w:spacing w:after="0"/>
              <w:rPr>
                <w:sz w:val="14"/>
                <w:szCs w:val="14"/>
                <w:color w:val="auto"/>
              </w:rPr>
            </w:pPr>
          </w:p>
        </w:tc>
        <w:tc>
          <w:tcPr>
            <w:tcW w:w="340" w:type="dxa"/>
            <w:vAlign w:val="bottom"/>
          </w:tcPr>
          <w:p>
            <w:pPr>
              <w:ind w:left="120"/>
              <w:spacing w:after="0" w:line="169" w:lineRule="exact"/>
              <w:rPr>
                <w:sz w:val="20"/>
                <w:szCs w:val="20"/>
                <w:color w:val="auto"/>
              </w:rPr>
            </w:pPr>
            <w:r>
              <w:rPr>
                <w:rFonts w:ascii="Arial" w:cs="Arial" w:eastAsia="Arial" w:hAnsi="Arial"/>
                <w:sz w:val="16"/>
                <w:szCs w:val="16"/>
                <w:color w:val="auto"/>
              </w:rPr>
              <w:t>​ ​</w:t>
            </w:r>
          </w:p>
        </w:tc>
        <w:tc>
          <w:tcPr>
            <w:tcW w:w="1780" w:type="dxa"/>
            <w:vAlign w:val="bottom"/>
            <w:tcBorders>
              <w:bottom w:val="single" w:sz="8" w:color="0000EE"/>
            </w:tcBorders>
            <w:gridSpan w:val="9"/>
          </w:tcPr>
          <w:p>
            <w:pPr>
              <w:spacing w:after="0" w:line="169" w:lineRule="exact"/>
              <w:rPr>
                <w:sz w:val="20"/>
                <w:szCs w:val="20"/>
                <w:color w:val="auto"/>
              </w:rPr>
            </w:pPr>
            <w:r>
              <w:rPr>
                <w:rFonts w:ascii="Arial" w:cs="Arial" w:eastAsia="Arial" w:hAnsi="Arial"/>
                <w:sz w:val="16"/>
                <w:szCs w:val="16"/>
                <w:color w:val="0000EE"/>
              </w:rPr>
              <w:t>Corporate Governance</w:t>
            </w:r>
          </w:p>
        </w:tc>
        <w:tc>
          <w:tcPr>
            <w:tcW w:w="1400" w:type="dxa"/>
            <w:vAlign w:val="bottom"/>
            <w:gridSpan w:val="15"/>
          </w:tcPr>
          <w:p>
            <w:pPr>
              <w:spacing w:after="0"/>
              <w:rPr>
                <w:sz w:val="14"/>
                <w:szCs w:val="14"/>
                <w:color w:val="auto"/>
              </w:rPr>
            </w:pPr>
          </w:p>
        </w:tc>
        <w:tc>
          <w:tcPr>
            <w:tcW w:w="380" w:type="dxa"/>
            <w:vAlign w:val="bottom"/>
          </w:tcPr>
          <w:p>
            <w:pPr>
              <w:ind w:left="26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89"/>
              </w:rPr>
              <w:t>15</w:t>
            </w:r>
          </w:p>
        </w:tc>
        <w:tc>
          <w:tcPr>
            <w:tcW w:w="20" w:type="dxa"/>
            <w:vAlign w:val="bottom"/>
          </w:tcPr>
          <w:p>
            <w:pPr>
              <w:spacing w:after="0"/>
              <w:rPr>
                <w:sz w:val="14"/>
                <w:szCs w:val="14"/>
                <w:color w:val="auto"/>
              </w:rPr>
            </w:pPr>
          </w:p>
        </w:tc>
        <w:tc>
          <w:tcPr>
            <w:tcW w:w="340" w:type="dxa"/>
            <w:vAlign w:val="bottom"/>
          </w:tcPr>
          <w:p>
            <w:pPr>
              <w:ind w:left="120"/>
              <w:spacing w:after="0" w:line="169" w:lineRule="exact"/>
              <w:rPr>
                <w:sz w:val="20"/>
                <w:szCs w:val="20"/>
                <w:color w:val="auto"/>
              </w:rPr>
            </w:pPr>
            <w:r>
              <w:rPr>
                <w:rFonts w:ascii="Arial" w:cs="Arial" w:eastAsia="Arial" w:hAnsi="Arial"/>
                <w:sz w:val="16"/>
                <w:szCs w:val="16"/>
                <w:color w:val="auto"/>
              </w:rPr>
              <w:t>​ ​</w:t>
            </w:r>
          </w:p>
        </w:tc>
        <w:tc>
          <w:tcPr>
            <w:tcW w:w="2300" w:type="dxa"/>
            <w:vAlign w:val="bottom"/>
            <w:tcBorders>
              <w:bottom w:val="single" w:sz="8" w:color="0000EE"/>
            </w:tcBorders>
            <w:gridSpan w:val="15"/>
          </w:tcPr>
          <w:p>
            <w:pPr>
              <w:spacing w:after="0" w:line="169" w:lineRule="exact"/>
              <w:rPr>
                <w:sz w:val="20"/>
                <w:szCs w:val="20"/>
                <w:color w:val="auto"/>
              </w:rPr>
            </w:pPr>
            <w:r>
              <w:rPr>
                <w:rFonts w:ascii="Arial" w:cs="Arial" w:eastAsia="Arial" w:hAnsi="Arial"/>
                <w:sz w:val="16"/>
                <w:szCs w:val="16"/>
                <w:color w:val="0000EE"/>
              </w:rPr>
              <w:t>Oversight of Risk Management</w:t>
            </w:r>
          </w:p>
        </w:tc>
        <w:tc>
          <w:tcPr>
            <w:tcW w:w="880" w:type="dxa"/>
            <w:vAlign w:val="bottom"/>
            <w:gridSpan w:val="9"/>
          </w:tcPr>
          <w:p>
            <w:pPr>
              <w:spacing w:after="0"/>
              <w:rPr>
                <w:sz w:val="14"/>
                <w:szCs w:val="14"/>
                <w:color w:val="auto"/>
              </w:rPr>
            </w:pPr>
          </w:p>
        </w:tc>
        <w:tc>
          <w:tcPr>
            <w:tcW w:w="380" w:type="dxa"/>
            <w:vAlign w:val="bottom"/>
          </w:tcPr>
          <w:p>
            <w:pPr>
              <w:ind w:left="26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120" w:type="dxa"/>
            <w:vAlign w:val="bottom"/>
          </w:tcPr>
          <w:p>
            <w:pPr>
              <w:spacing w:after="0" w:line="155" w:lineRule="exact"/>
              <w:rPr>
                <w:sz w:val="20"/>
                <w:szCs w:val="20"/>
                <w:color w:val="auto"/>
              </w:rPr>
            </w:pPr>
            <w:r>
              <w:rPr>
                <w:rFonts w:ascii="Arial" w:cs="Arial" w:eastAsia="Arial" w:hAnsi="Arial"/>
                <w:sz w:val="16"/>
                <w:szCs w:val="16"/>
                <w:color w:val="auto"/>
              </w:rPr>
              <w:t>​</w:t>
            </w:r>
          </w:p>
        </w:tc>
        <w:tc>
          <w:tcPr>
            <w:tcW w:w="180" w:type="dxa"/>
            <w:vAlign w:val="bottom"/>
            <w:gridSpan w:val="3"/>
          </w:tcPr>
          <w:p>
            <w:pPr>
              <w:spacing w:after="0" w:line="155" w:lineRule="exact"/>
              <w:rPr>
                <w:sz w:val="20"/>
                <w:szCs w:val="20"/>
                <w:color w:val="auto"/>
              </w:rPr>
            </w:pPr>
            <w:r>
              <w:rPr>
                <w:rFonts w:ascii="Arial" w:cs="Arial" w:eastAsia="Arial" w:hAnsi="Arial"/>
                <w:sz w:val="16"/>
                <w:szCs w:val="16"/>
                <w:color w:val="0000EE"/>
                <w:w w:val="89"/>
              </w:rPr>
              <w:t>16</w:t>
            </w:r>
          </w:p>
        </w:tc>
        <w:tc>
          <w:tcPr>
            <w:tcW w:w="20" w:type="dxa"/>
            <w:vAlign w:val="bottom"/>
          </w:tcPr>
          <w:p>
            <w:pPr>
              <w:spacing w:after="0"/>
              <w:rPr>
                <w:sz w:val="13"/>
                <w:szCs w:val="13"/>
                <w:color w:val="auto"/>
              </w:rPr>
            </w:pPr>
          </w:p>
        </w:tc>
        <w:tc>
          <w:tcPr>
            <w:tcW w:w="340" w:type="dxa"/>
            <w:vAlign w:val="bottom"/>
          </w:tcPr>
          <w:p>
            <w:pPr>
              <w:ind w:left="120"/>
              <w:spacing w:after="0" w:line="155" w:lineRule="exact"/>
              <w:rPr>
                <w:sz w:val="20"/>
                <w:szCs w:val="20"/>
                <w:color w:val="auto"/>
              </w:rPr>
            </w:pPr>
            <w:r>
              <w:rPr>
                <w:rFonts w:ascii="Arial" w:cs="Arial" w:eastAsia="Arial" w:hAnsi="Arial"/>
                <w:sz w:val="16"/>
                <w:szCs w:val="16"/>
                <w:color w:val="auto"/>
              </w:rPr>
              <w:t>​ ​</w:t>
            </w:r>
          </w:p>
        </w:tc>
        <w:tc>
          <w:tcPr>
            <w:tcW w:w="3180" w:type="dxa"/>
            <w:vAlign w:val="bottom"/>
            <w:gridSpan w:val="24"/>
          </w:tcPr>
          <w:p>
            <w:pPr>
              <w:spacing w:after="0" w:line="155" w:lineRule="exact"/>
              <w:rPr>
                <w:sz w:val="20"/>
                <w:szCs w:val="20"/>
                <w:color w:val="auto"/>
              </w:rPr>
            </w:pPr>
            <w:r>
              <w:rPr>
                <w:rFonts w:ascii="Arial" w:cs="Arial" w:eastAsia="Arial" w:hAnsi="Arial"/>
                <w:sz w:val="16"/>
                <w:szCs w:val="16"/>
                <w:color w:val="0000EE"/>
              </w:rPr>
              <w:t>Board Composition and Stockholders</w:t>
            </w:r>
          </w:p>
        </w:tc>
        <w:tc>
          <w:tcPr>
            <w:tcW w:w="380" w:type="dxa"/>
            <w:vAlign w:val="bottom"/>
          </w:tcPr>
          <w:p>
            <w:pPr>
              <w:ind w:left="260"/>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vMerge w:val="restart"/>
          </w:tcPr>
          <w:p>
            <w:pPr>
              <w:ind w:left="120"/>
              <w:spacing w:after="0"/>
              <w:rPr>
                <w:sz w:val="20"/>
                <w:szCs w:val="20"/>
                <w:color w:val="auto"/>
              </w:rPr>
            </w:pPr>
            <w:r>
              <w:rPr>
                <w:rFonts w:ascii="Arial" w:cs="Arial" w:eastAsia="Arial" w:hAnsi="Arial"/>
                <w:sz w:val="16"/>
                <w:szCs w:val="16"/>
                <w:color w:val="auto"/>
              </w:rPr>
              <w:t>​ ​</w:t>
            </w:r>
          </w:p>
        </w:tc>
        <w:tc>
          <w:tcPr>
            <w:tcW w:w="820" w:type="dxa"/>
            <w:vAlign w:val="bottom"/>
            <w:tcBorders>
              <w:top w:val="single" w:sz="8" w:color="0000EE"/>
              <w:bottom w:val="single" w:sz="8" w:color="0000EE"/>
            </w:tcBorders>
          </w:tcPr>
          <w:p>
            <w:pPr>
              <w:spacing w:after="0" w:line="155" w:lineRule="exact"/>
              <w:rPr>
                <w:sz w:val="20"/>
                <w:szCs w:val="20"/>
                <w:color w:val="auto"/>
              </w:rPr>
            </w:pPr>
            <w:r>
              <w:rPr>
                <w:rFonts w:ascii="Arial" w:cs="Arial" w:eastAsia="Arial" w:hAnsi="Arial"/>
                <w:sz w:val="16"/>
                <w:szCs w:val="16"/>
                <w:color w:val="0000EE"/>
              </w:rPr>
              <w:t>Agreement</w:t>
            </w:r>
          </w:p>
        </w:tc>
        <w:tc>
          <w:tcPr>
            <w:tcW w:w="1940" w:type="dxa"/>
            <w:vAlign w:val="bottom"/>
            <w:tcBorders>
              <w:top w:val="single" w:sz="8" w:color="0000EE"/>
            </w:tcBorders>
            <w:gridSpan w:val="19"/>
          </w:tcPr>
          <w:p>
            <w:pPr>
              <w:spacing w:after="0"/>
              <w:rPr>
                <w:sz w:val="13"/>
                <w:szCs w:val="13"/>
                <w:color w:val="auto"/>
              </w:rPr>
            </w:pPr>
          </w:p>
        </w:tc>
        <w:tc>
          <w:tcPr>
            <w:tcW w:w="20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20" w:type="dxa"/>
            <w:vAlign w:val="bottom"/>
            <w:vMerge w:val="continue"/>
          </w:tcPr>
          <w:p>
            <w:pPr>
              <w:spacing w:after="0"/>
              <w:rPr>
                <w:sz w:val="17"/>
                <w:szCs w:val="17"/>
                <w:color w:val="auto"/>
              </w:rPr>
            </w:pPr>
          </w:p>
        </w:tc>
        <w:tc>
          <w:tcPr>
            <w:tcW w:w="180" w:type="dxa"/>
            <w:vAlign w:val="bottom"/>
            <w:gridSpan w:val="3"/>
          </w:tcPr>
          <w:p>
            <w:pPr>
              <w:spacing w:after="0"/>
              <w:rPr>
                <w:sz w:val="20"/>
                <w:szCs w:val="20"/>
                <w:color w:val="auto"/>
              </w:rPr>
            </w:pPr>
            <w:r>
              <w:rPr>
                <w:rFonts w:ascii="Arial" w:cs="Arial" w:eastAsia="Arial" w:hAnsi="Arial"/>
                <w:sz w:val="16"/>
                <w:szCs w:val="16"/>
                <w:color w:val="0000EE"/>
                <w:w w:val="89"/>
              </w:rPr>
              <w:t>17</w:t>
            </w:r>
          </w:p>
        </w:tc>
        <w:tc>
          <w:tcPr>
            <w:tcW w:w="2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3180" w:type="dxa"/>
            <w:vAlign w:val="bottom"/>
            <w:gridSpan w:val="24"/>
          </w:tcPr>
          <w:p>
            <w:pPr>
              <w:spacing w:after="0"/>
              <w:rPr>
                <w:sz w:val="20"/>
                <w:szCs w:val="20"/>
                <w:color w:val="auto"/>
              </w:rPr>
            </w:pPr>
            <w:r>
              <w:rPr>
                <w:rFonts w:ascii="Arial" w:cs="Arial" w:eastAsia="Arial" w:hAnsi="Arial"/>
                <w:sz w:val="16"/>
                <w:szCs w:val="16"/>
                <w:color w:val="0000EE"/>
              </w:rPr>
              <w:t>Director Experience and Tenure</w:t>
            </w: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89"/>
              </w:rPr>
              <w:t>18</w:t>
            </w:r>
          </w:p>
        </w:tc>
        <w:tc>
          <w:tcPr>
            <w:tcW w:w="20" w:type="dxa"/>
            <w:vAlign w:val="bottom"/>
          </w:tcPr>
          <w:p>
            <w:pPr>
              <w:spacing w:after="0"/>
              <w:rPr>
                <w:sz w:val="14"/>
                <w:szCs w:val="14"/>
                <w:color w:val="auto"/>
              </w:rPr>
            </w:pPr>
          </w:p>
        </w:tc>
        <w:tc>
          <w:tcPr>
            <w:tcW w:w="340" w:type="dxa"/>
            <w:vAlign w:val="bottom"/>
          </w:tcPr>
          <w:p>
            <w:pPr>
              <w:ind w:left="120"/>
              <w:spacing w:after="0" w:line="169" w:lineRule="exact"/>
              <w:rPr>
                <w:sz w:val="20"/>
                <w:szCs w:val="20"/>
                <w:color w:val="auto"/>
              </w:rPr>
            </w:pPr>
            <w:r>
              <w:rPr>
                <w:rFonts w:ascii="Arial" w:cs="Arial" w:eastAsia="Arial" w:hAnsi="Arial"/>
                <w:sz w:val="16"/>
                <w:szCs w:val="16"/>
                <w:color w:val="auto"/>
              </w:rPr>
              <w:t>​ ​</w:t>
            </w:r>
          </w:p>
        </w:tc>
        <w:tc>
          <w:tcPr>
            <w:tcW w:w="2360" w:type="dxa"/>
            <w:vAlign w:val="bottom"/>
            <w:tcBorders>
              <w:top w:val="single" w:sz="8" w:color="0000EE"/>
            </w:tcBorders>
            <w:gridSpan w:val="16"/>
          </w:tcPr>
          <w:p>
            <w:pPr>
              <w:spacing w:after="0" w:line="169" w:lineRule="exact"/>
              <w:rPr>
                <w:sz w:val="20"/>
                <w:szCs w:val="20"/>
                <w:color w:val="auto"/>
              </w:rPr>
            </w:pPr>
            <w:r>
              <w:rPr>
                <w:rFonts w:ascii="Arial" w:cs="Arial" w:eastAsia="Arial" w:hAnsi="Arial"/>
                <w:sz w:val="16"/>
                <w:szCs w:val="16"/>
                <w:color w:val="0000EE"/>
              </w:rPr>
              <w:t>Director Independence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3"/>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ind w:left="26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89"/>
              </w:rPr>
              <w:t>19</w:t>
            </w:r>
          </w:p>
        </w:tc>
        <w:tc>
          <w:tcPr>
            <w:tcW w:w="20" w:type="dxa"/>
            <w:vAlign w:val="bottom"/>
          </w:tcPr>
          <w:p>
            <w:pPr>
              <w:spacing w:after="0"/>
              <w:rPr>
                <w:sz w:val="14"/>
                <w:szCs w:val="14"/>
                <w:color w:val="auto"/>
              </w:rPr>
            </w:pPr>
          </w:p>
        </w:tc>
        <w:tc>
          <w:tcPr>
            <w:tcW w:w="340" w:type="dxa"/>
            <w:vAlign w:val="bottom"/>
          </w:tcPr>
          <w:p>
            <w:pPr>
              <w:ind w:left="120"/>
              <w:spacing w:after="0" w:line="169" w:lineRule="exact"/>
              <w:rPr>
                <w:sz w:val="20"/>
                <w:szCs w:val="20"/>
                <w:color w:val="auto"/>
              </w:rPr>
            </w:pPr>
            <w:r>
              <w:rPr>
                <w:rFonts w:ascii="Arial" w:cs="Arial" w:eastAsia="Arial" w:hAnsi="Arial"/>
                <w:sz w:val="16"/>
                <w:szCs w:val="16"/>
                <w:color w:val="auto"/>
              </w:rPr>
              <w:t>​ ​</w:t>
            </w:r>
          </w:p>
        </w:tc>
        <w:tc>
          <w:tcPr>
            <w:tcW w:w="1700" w:type="dxa"/>
            <w:vAlign w:val="bottom"/>
            <w:tcBorders>
              <w:top w:val="single" w:sz="8" w:color="0000EE"/>
            </w:tcBorders>
            <w:gridSpan w:val="8"/>
          </w:tcPr>
          <w:p>
            <w:pPr>
              <w:spacing w:after="0" w:line="169" w:lineRule="exact"/>
              <w:rPr>
                <w:sz w:val="20"/>
                <w:szCs w:val="20"/>
                <w:color w:val="auto"/>
              </w:rPr>
            </w:pPr>
            <w:r>
              <w:rPr>
                <w:rFonts w:ascii="Arial" w:cs="Arial" w:eastAsia="Arial" w:hAnsi="Arial"/>
                <w:sz w:val="16"/>
                <w:szCs w:val="16"/>
                <w:color w:val="0000EE"/>
              </w:rPr>
              <w:t>Meeting Attendance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3"/>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ind w:left="26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89"/>
              </w:rPr>
              <w:t>19</w:t>
            </w:r>
          </w:p>
        </w:tc>
        <w:tc>
          <w:tcPr>
            <w:tcW w:w="20" w:type="dxa"/>
            <w:vAlign w:val="bottom"/>
          </w:tcPr>
          <w:p>
            <w:pPr>
              <w:spacing w:after="0"/>
              <w:rPr>
                <w:sz w:val="14"/>
                <w:szCs w:val="14"/>
                <w:color w:val="auto"/>
              </w:rPr>
            </w:pPr>
          </w:p>
        </w:tc>
        <w:tc>
          <w:tcPr>
            <w:tcW w:w="340" w:type="dxa"/>
            <w:vAlign w:val="bottom"/>
          </w:tcPr>
          <w:p>
            <w:pPr>
              <w:ind w:left="120"/>
              <w:spacing w:after="0" w:line="169" w:lineRule="exact"/>
              <w:rPr>
                <w:sz w:val="20"/>
                <w:szCs w:val="20"/>
                <w:color w:val="auto"/>
              </w:rPr>
            </w:pPr>
            <w:r>
              <w:rPr>
                <w:rFonts w:ascii="Arial" w:cs="Arial" w:eastAsia="Arial" w:hAnsi="Arial"/>
                <w:sz w:val="16"/>
                <w:szCs w:val="16"/>
                <w:color w:val="auto"/>
              </w:rPr>
              <w:t>​ ​</w:t>
            </w:r>
          </w:p>
        </w:tc>
        <w:tc>
          <w:tcPr>
            <w:tcW w:w="1480" w:type="dxa"/>
            <w:vAlign w:val="bottom"/>
            <w:tcBorders>
              <w:top w:val="single" w:sz="8" w:color="0000EE"/>
            </w:tcBorders>
            <w:gridSpan w:val="5"/>
          </w:tcPr>
          <w:p>
            <w:pPr>
              <w:spacing w:after="0" w:line="169" w:lineRule="exact"/>
              <w:rPr>
                <w:sz w:val="20"/>
                <w:szCs w:val="20"/>
                <w:color w:val="auto"/>
              </w:rPr>
            </w:pPr>
            <w:r>
              <w:rPr>
                <w:rFonts w:ascii="Arial" w:cs="Arial" w:eastAsia="Arial" w:hAnsi="Arial"/>
                <w:sz w:val="16"/>
                <w:szCs w:val="16"/>
                <w:color w:val="0000EE"/>
              </w:rPr>
              <w:t>Board Committees</w:t>
            </w:r>
          </w:p>
        </w:tc>
        <w:tc>
          <w:tcPr>
            <w:tcW w:w="20" w:type="dxa"/>
            <w:vAlign w:val="bottom"/>
          </w:tcPr>
          <w:p>
            <w:pPr>
              <w:spacing w:after="0"/>
              <w:rPr>
                <w:sz w:val="14"/>
                <w:szCs w:val="14"/>
                <w:color w:val="auto"/>
              </w:rPr>
            </w:pPr>
          </w:p>
        </w:tc>
        <w:tc>
          <w:tcPr>
            <w:tcW w:w="280" w:type="dxa"/>
            <w:vAlign w:val="bottom"/>
            <w:gridSpan w:val="3"/>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3"/>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ind w:left="26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89"/>
              </w:rPr>
              <w:t>24</w:t>
            </w:r>
          </w:p>
        </w:tc>
        <w:tc>
          <w:tcPr>
            <w:tcW w:w="20" w:type="dxa"/>
            <w:vAlign w:val="bottom"/>
          </w:tcPr>
          <w:p>
            <w:pPr>
              <w:spacing w:after="0"/>
              <w:rPr>
                <w:sz w:val="14"/>
                <w:szCs w:val="14"/>
                <w:color w:val="auto"/>
              </w:rPr>
            </w:pPr>
          </w:p>
        </w:tc>
        <w:tc>
          <w:tcPr>
            <w:tcW w:w="340" w:type="dxa"/>
            <w:vAlign w:val="bottom"/>
          </w:tcPr>
          <w:p>
            <w:pPr>
              <w:ind w:left="120"/>
              <w:spacing w:after="0" w:line="169" w:lineRule="exact"/>
              <w:rPr>
                <w:sz w:val="20"/>
                <w:szCs w:val="20"/>
                <w:color w:val="auto"/>
              </w:rPr>
            </w:pPr>
            <w:r>
              <w:rPr>
                <w:rFonts w:ascii="Arial" w:cs="Arial" w:eastAsia="Arial" w:hAnsi="Arial"/>
                <w:sz w:val="16"/>
                <w:szCs w:val="16"/>
                <w:color w:val="auto"/>
              </w:rPr>
              <w:t>​ ​</w:t>
            </w:r>
          </w:p>
        </w:tc>
        <w:tc>
          <w:tcPr>
            <w:tcW w:w="1380" w:type="dxa"/>
            <w:vAlign w:val="bottom"/>
            <w:tcBorders>
              <w:top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96"/>
              </w:rPr>
              <w:t>Director Nomination</w:t>
            </w:r>
          </w:p>
        </w:tc>
        <w:tc>
          <w:tcPr>
            <w:tcW w:w="120" w:type="dxa"/>
            <w:vAlign w:val="bottom"/>
            <w:gridSpan w:val="3"/>
          </w:tcPr>
          <w:p>
            <w:pPr>
              <w:spacing w:after="0"/>
              <w:rPr>
                <w:sz w:val="14"/>
                <w:szCs w:val="14"/>
                <w:color w:val="auto"/>
              </w:rPr>
            </w:pPr>
          </w:p>
        </w:tc>
        <w:tc>
          <w:tcPr>
            <w:tcW w:w="1680" w:type="dxa"/>
            <w:vAlign w:val="bottom"/>
            <w:gridSpan w:val="18"/>
          </w:tcPr>
          <w:p>
            <w:pPr>
              <w:ind w:left="20"/>
              <w:spacing w:after="0" w:line="169" w:lineRule="exact"/>
              <w:rPr>
                <w:sz w:val="20"/>
                <w:szCs w:val="20"/>
                <w:color w:val="auto"/>
              </w:rPr>
            </w:pPr>
            <w:r>
              <w:rPr>
                <w:rFonts w:ascii="Arial" w:cs="Arial" w:eastAsia="Arial" w:hAnsi="Arial"/>
                <w:sz w:val="16"/>
                <w:szCs w:val="16"/>
                <w:color w:val="0000EE"/>
              </w:rPr>
              <w:t>Process</w:t>
            </w:r>
          </w:p>
        </w:tc>
        <w:tc>
          <w:tcPr>
            <w:tcW w:w="380" w:type="dxa"/>
            <w:vAlign w:val="bottom"/>
          </w:tcPr>
          <w:p>
            <w:pPr>
              <w:ind w:left="26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120" w:type="dxa"/>
            <w:vAlign w:val="bottom"/>
          </w:tcPr>
          <w:p>
            <w:pPr>
              <w:spacing w:after="0" w:line="155"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bottom w:val="single" w:sz="8" w:color="0000EE"/>
            </w:tcBorders>
            <w:gridSpan w:val="3"/>
          </w:tcPr>
          <w:p>
            <w:pPr>
              <w:spacing w:after="0" w:line="155" w:lineRule="exact"/>
              <w:rPr>
                <w:sz w:val="20"/>
                <w:szCs w:val="20"/>
                <w:color w:val="auto"/>
              </w:rPr>
            </w:pPr>
            <w:r>
              <w:rPr>
                <w:rFonts w:ascii="Arial" w:cs="Arial" w:eastAsia="Arial" w:hAnsi="Arial"/>
                <w:sz w:val="16"/>
                <w:szCs w:val="16"/>
                <w:color w:val="0000EE"/>
                <w:w w:val="89"/>
              </w:rPr>
              <w:t>24</w:t>
            </w:r>
          </w:p>
        </w:tc>
        <w:tc>
          <w:tcPr>
            <w:tcW w:w="20" w:type="dxa"/>
            <w:vAlign w:val="bottom"/>
          </w:tcPr>
          <w:p>
            <w:pPr>
              <w:spacing w:after="0"/>
              <w:rPr>
                <w:sz w:val="13"/>
                <w:szCs w:val="13"/>
                <w:color w:val="auto"/>
              </w:rPr>
            </w:pPr>
          </w:p>
        </w:tc>
        <w:tc>
          <w:tcPr>
            <w:tcW w:w="340" w:type="dxa"/>
            <w:vAlign w:val="bottom"/>
          </w:tcPr>
          <w:p>
            <w:pPr>
              <w:ind w:left="120"/>
              <w:spacing w:after="0" w:line="155" w:lineRule="exact"/>
              <w:rPr>
                <w:sz w:val="20"/>
                <w:szCs w:val="20"/>
                <w:color w:val="auto"/>
              </w:rPr>
            </w:pPr>
            <w:r>
              <w:rPr>
                <w:rFonts w:ascii="Arial" w:cs="Arial" w:eastAsia="Arial" w:hAnsi="Arial"/>
                <w:sz w:val="16"/>
                <w:szCs w:val="16"/>
                <w:color w:val="auto"/>
              </w:rPr>
              <w:t>​ ​</w:t>
            </w:r>
          </w:p>
        </w:tc>
        <w:tc>
          <w:tcPr>
            <w:tcW w:w="2140" w:type="dxa"/>
            <w:vAlign w:val="bottom"/>
            <w:tcBorders>
              <w:top w:val="single" w:sz="8" w:color="0000EE"/>
              <w:bottom w:val="single" w:sz="8" w:color="0000EE"/>
            </w:tcBorders>
            <w:gridSpan w:val="12"/>
          </w:tcPr>
          <w:p>
            <w:pPr>
              <w:spacing w:after="0" w:line="155" w:lineRule="exact"/>
              <w:rPr>
                <w:sz w:val="20"/>
                <w:szCs w:val="20"/>
                <w:color w:val="auto"/>
              </w:rPr>
            </w:pPr>
            <w:r>
              <w:rPr>
                <w:rFonts w:ascii="Arial" w:cs="Arial" w:eastAsia="Arial" w:hAnsi="Arial"/>
                <w:sz w:val="16"/>
                <w:szCs w:val="16"/>
                <w:color w:val="0000EE"/>
              </w:rPr>
              <w:t>Stockholder Nominations and</w:t>
            </w:r>
          </w:p>
        </w:tc>
        <w:tc>
          <w:tcPr>
            <w:tcW w:w="4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9"/>
            <w:vMerge w:val="restart"/>
          </w:tcPr>
          <w:p>
            <w:pPr>
              <w:ind w:left="60"/>
              <w:spacing w:after="0"/>
              <w:rPr>
                <w:sz w:val="20"/>
                <w:szCs w:val="20"/>
                <w:color w:val="auto"/>
              </w:rPr>
            </w:pPr>
            <w:r>
              <w:rPr>
                <w:rFonts w:ascii="Arial" w:cs="Arial" w:eastAsia="Arial" w:hAnsi="Arial"/>
                <w:sz w:val="16"/>
                <w:szCs w:val="16"/>
                <w:color w:val="0000EE"/>
              </w:rPr>
              <w:t>Candidates</w:t>
            </w:r>
          </w:p>
        </w:tc>
        <w:tc>
          <w:tcPr>
            <w:tcW w:w="60" w:type="dxa"/>
            <w:vAlign w:val="bottom"/>
            <w:vMerge w:val="restart"/>
          </w:tcPr>
          <w:p>
            <w:pPr>
              <w:spacing w:after="0"/>
              <w:rPr>
                <w:sz w:val="13"/>
                <w:szCs w:val="13"/>
                <w:color w:val="auto"/>
              </w:rPr>
            </w:pPr>
          </w:p>
        </w:tc>
        <w:tc>
          <w:tcPr>
            <w:tcW w:w="380" w:type="dxa"/>
            <w:vAlign w:val="bottom"/>
          </w:tcPr>
          <w:p>
            <w:pPr>
              <w:ind w:left="260"/>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vMerge w:val="restart"/>
          </w:tcPr>
          <w:p>
            <w:pPr>
              <w:ind w:left="120"/>
              <w:spacing w:after="0"/>
              <w:rPr>
                <w:sz w:val="20"/>
                <w:szCs w:val="20"/>
                <w:color w:val="auto"/>
              </w:rPr>
            </w:pPr>
            <w:r>
              <w:rPr>
                <w:rFonts w:ascii="Arial" w:cs="Arial" w:eastAsia="Arial" w:hAnsi="Arial"/>
                <w:sz w:val="16"/>
                <w:szCs w:val="16"/>
                <w:color w:val="auto"/>
              </w:rPr>
              <w:t>​ ​</w:t>
            </w:r>
          </w:p>
        </w:tc>
        <w:tc>
          <w:tcPr>
            <w:tcW w:w="2180" w:type="dxa"/>
            <w:vAlign w:val="bottom"/>
            <w:tcBorders>
              <w:bottom w:val="single" w:sz="8" w:color="0000EE"/>
            </w:tcBorders>
            <w:gridSpan w:val="13"/>
          </w:tcPr>
          <w:p>
            <w:pPr>
              <w:spacing w:after="0" w:line="155" w:lineRule="exact"/>
              <w:rPr>
                <w:sz w:val="20"/>
                <w:szCs w:val="20"/>
                <w:color w:val="auto"/>
              </w:rPr>
            </w:pPr>
            <w:r>
              <w:rPr>
                <w:rFonts w:ascii="Arial" w:cs="Arial" w:eastAsia="Arial" w:hAnsi="Arial"/>
                <w:sz w:val="16"/>
                <w:szCs w:val="16"/>
                <w:color w:val="0000EE"/>
              </w:rPr>
              <w:t>Recommendations of Director</w:t>
            </w:r>
          </w:p>
        </w:tc>
        <w:tc>
          <w:tcPr>
            <w:tcW w:w="20" w:type="dxa"/>
            <w:vAlign w:val="bottom"/>
            <w:tcBorders>
              <w:bottom w:val="single" w:sz="8" w:color="0000EE"/>
            </w:tcBorders>
          </w:tcPr>
          <w:p>
            <w:pPr>
              <w:spacing w:after="0"/>
              <w:rPr>
                <w:sz w:val="13"/>
                <w:szCs w:val="13"/>
                <w:color w:val="auto"/>
              </w:rPr>
            </w:pPr>
          </w:p>
        </w:tc>
        <w:tc>
          <w:tcPr>
            <w:tcW w:w="920" w:type="dxa"/>
            <w:vAlign w:val="bottom"/>
            <w:tcBorders>
              <w:bottom w:val="single" w:sz="8" w:color="0000EE"/>
            </w:tcBorders>
            <w:gridSpan w:val="9"/>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38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20" w:type="dxa"/>
            <w:vAlign w:val="bottom"/>
            <w:vMerge w:val="continue"/>
          </w:tcPr>
          <w:p>
            <w:pPr>
              <w:spacing w:after="0"/>
              <w:rPr>
                <w:sz w:val="17"/>
                <w:szCs w:val="17"/>
                <w:color w:val="auto"/>
              </w:rPr>
            </w:pPr>
          </w:p>
        </w:tc>
        <w:tc>
          <w:tcPr>
            <w:tcW w:w="180" w:type="dxa"/>
            <w:vAlign w:val="bottom"/>
            <w:gridSpan w:val="3"/>
          </w:tcPr>
          <w:p>
            <w:pPr>
              <w:spacing w:after="0"/>
              <w:rPr>
                <w:sz w:val="20"/>
                <w:szCs w:val="20"/>
                <w:color w:val="auto"/>
              </w:rPr>
            </w:pPr>
            <w:r>
              <w:rPr>
                <w:rFonts w:ascii="Arial" w:cs="Arial" w:eastAsia="Arial" w:hAnsi="Arial"/>
                <w:sz w:val="16"/>
                <w:szCs w:val="16"/>
                <w:color w:val="0000EE"/>
                <w:w w:val="89"/>
              </w:rPr>
              <w:t>25</w:t>
            </w:r>
          </w:p>
        </w:tc>
        <w:tc>
          <w:tcPr>
            <w:tcW w:w="2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3180" w:type="dxa"/>
            <w:vAlign w:val="bottom"/>
            <w:gridSpan w:val="24"/>
          </w:tcPr>
          <w:p>
            <w:pPr>
              <w:spacing w:after="0"/>
              <w:rPr>
                <w:sz w:val="20"/>
                <w:szCs w:val="20"/>
                <w:color w:val="auto"/>
              </w:rPr>
            </w:pPr>
            <w:r>
              <w:rPr>
                <w:rFonts w:ascii="Arial" w:cs="Arial" w:eastAsia="Arial" w:hAnsi="Arial"/>
                <w:sz w:val="16"/>
                <w:szCs w:val="16"/>
                <w:color w:val="0000EE"/>
              </w:rPr>
              <w:t>Board Leadership Structure</w:t>
            </w: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89"/>
              </w:rPr>
              <w:t>25</w:t>
            </w:r>
          </w:p>
        </w:tc>
        <w:tc>
          <w:tcPr>
            <w:tcW w:w="20" w:type="dxa"/>
            <w:vAlign w:val="bottom"/>
          </w:tcPr>
          <w:p>
            <w:pPr>
              <w:spacing w:after="0"/>
              <w:rPr>
                <w:sz w:val="14"/>
                <w:szCs w:val="14"/>
                <w:color w:val="auto"/>
              </w:rPr>
            </w:pPr>
          </w:p>
        </w:tc>
        <w:tc>
          <w:tcPr>
            <w:tcW w:w="340" w:type="dxa"/>
            <w:vAlign w:val="bottom"/>
          </w:tcPr>
          <w:p>
            <w:pPr>
              <w:ind w:left="120"/>
              <w:spacing w:after="0" w:line="169" w:lineRule="exact"/>
              <w:rPr>
                <w:sz w:val="20"/>
                <w:szCs w:val="20"/>
                <w:color w:val="auto"/>
              </w:rPr>
            </w:pPr>
            <w:r>
              <w:rPr>
                <w:rFonts w:ascii="Arial" w:cs="Arial" w:eastAsia="Arial" w:hAnsi="Arial"/>
                <w:sz w:val="16"/>
                <w:szCs w:val="16"/>
                <w:color w:val="auto"/>
              </w:rPr>
              <w:t>​ ​</w:t>
            </w:r>
          </w:p>
        </w:tc>
        <w:tc>
          <w:tcPr>
            <w:tcW w:w="2040" w:type="dxa"/>
            <w:vAlign w:val="bottom"/>
            <w:tcBorders>
              <w:top w:val="single" w:sz="8" w:color="0000EE"/>
            </w:tcBorders>
            <w:gridSpan w:val="11"/>
          </w:tcPr>
          <w:p>
            <w:pPr>
              <w:spacing w:after="0" w:line="169" w:lineRule="exact"/>
              <w:rPr>
                <w:sz w:val="20"/>
                <w:szCs w:val="20"/>
                <w:color w:val="auto"/>
              </w:rPr>
            </w:pPr>
            <w:r>
              <w:rPr>
                <w:rFonts w:ascii="Arial" w:cs="Arial" w:eastAsia="Arial" w:hAnsi="Arial"/>
                <w:sz w:val="16"/>
                <w:szCs w:val="16"/>
                <w:color w:val="0000EE"/>
              </w:rPr>
              <w:t>Executive Sessions of the</w:t>
            </w:r>
          </w:p>
        </w:tc>
        <w:tc>
          <w:tcPr>
            <w:tcW w:w="1140" w:type="dxa"/>
            <w:vAlign w:val="bottom"/>
            <w:gridSpan w:val="13"/>
          </w:tcPr>
          <w:p>
            <w:pPr>
              <w:spacing w:after="0" w:line="169" w:lineRule="exact"/>
              <w:rPr>
                <w:sz w:val="20"/>
                <w:szCs w:val="20"/>
                <w:color w:val="auto"/>
              </w:rPr>
            </w:pPr>
            <w:r>
              <w:rPr>
                <w:rFonts w:ascii="Arial" w:cs="Arial" w:eastAsia="Arial" w:hAnsi="Arial"/>
                <w:sz w:val="16"/>
                <w:szCs w:val="16"/>
                <w:color w:val="0000EE"/>
              </w:rPr>
              <w:t>Board</w:t>
            </w:r>
          </w:p>
        </w:tc>
        <w:tc>
          <w:tcPr>
            <w:tcW w:w="380" w:type="dxa"/>
            <w:vAlign w:val="bottom"/>
          </w:tcPr>
          <w:p>
            <w:pPr>
              <w:ind w:left="26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bottom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89"/>
              </w:rPr>
              <w:t>25</w:t>
            </w:r>
          </w:p>
        </w:tc>
        <w:tc>
          <w:tcPr>
            <w:tcW w:w="20" w:type="dxa"/>
            <w:vAlign w:val="bottom"/>
          </w:tcPr>
          <w:p>
            <w:pPr>
              <w:spacing w:after="0"/>
              <w:rPr>
                <w:sz w:val="14"/>
                <w:szCs w:val="14"/>
                <w:color w:val="auto"/>
              </w:rPr>
            </w:pPr>
          </w:p>
        </w:tc>
        <w:tc>
          <w:tcPr>
            <w:tcW w:w="340" w:type="dxa"/>
            <w:vAlign w:val="bottom"/>
          </w:tcPr>
          <w:p>
            <w:pPr>
              <w:ind w:left="120"/>
              <w:spacing w:after="0" w:line="169" w:lineRule="exact"/>
              <w:rPr>
                <w:sz w:val="20"/>
                <w:szCs w:val="20"/>
                <w:color w:val="auto"/>
              </w:rPr>
            </w:pPr>
            <w:r>
              <w:rPr>
                <w:rFonts w:ascii="Arial" w:cs="Arial" w:eastAsia="Arial" w:hAnsi="Arial"/>
                <w:sz w:val="16"/>
                <w:szCs w:val="16"/>
                <w:color w:val="auto"/>
              </w:rPr>
              <w:t>​ ​</w:t>
            </w:r>
          </w:p>
        </w:tc>
        <w:tc>
          <w:tcPr>
            <w:tcW w:w="2300" w:type="dxa"/>
            <w:vAlign w:val="bottom"/>
            <w:tcBorders>
              <w:top w:val="single" w:sz="8" w:color="0000EE"/>
              <w:bottom w:val="single" w:sz="8" w:color="0000EE"/>
            </w:tcBorders>
            <w:gridSpan w:val="15"/>
          </w:tcPr>
          <w:p>
            <w:pPr>
              <w:spacing w:after="0" w:line="169" w:lineRule="exact"/>
              <w:rPr>
                <w:sz w:val="20"/>
                <w:szCs w:val="20"/>
                <w:color w:val="auto"/>
              </w:rPr>
            </w:pPr>
            <w:r>
              <w:rPr>
                <w:rFonts w:ascii="Arial" w:cs="Arial" w:eastAsia="Arial" w:hAnsi="Arial"/>
                <w:sz w:val="16"/>
                <w:szCs w:val="16"/>
                <w:color w:val="0000EE"/>
              </w:rPr>
              <w:t>Additional Governance Matters</w:t>
            </w:r>
          </w:p>
        </w:tc>
        <w:tc>
          <w:tcPr>
            <w:tcW w:w="120" w:type="dxa"/>
            <w:vAlign w:val="bottom"/>
            <w:tcBorders>
              <w:top w:val="single" w:sz="8" w:color="0000EE"/>
            </w:tcBorders>
            <w:gridSpan w:val="2"/>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3"/>
          </w:tcPr>
          <w:p>
            <w:pPr>
              <w:spacing w:after="0"/>
              <w:rPr>
                <w:sz w:val="14"/>
                <w:szCs w:val="14"/>
                <w:color w:val="auto"/>
              </w:rPr>
            </w:pPr>
          </w:p>
        </w:tc>
        <w:tc>
          <w:tcPr>
            <w:tcW w:w="220" w:type="dxa"/>
            <w:vAlign w:val="bottom"/>
            <w:gridSpan w:val="2"/>
          </w:tcPr>
          <w:p>
            <w:pPr>
              <w:spacing w:after="0"/>
              <w:rPr>
                <w:sz w:val="14"/>
                <w:szCs w:val="14"/>
                <w:color w:val="auto"/>
              </w:rPr>
            </w:pPr>
          </w:p>
        </w:tc>
        <w:tc>
          <w:tcPr>
            <w:tcW w:w="380" w:type="dxa"/>
            <w:vAlign w:val="bottom"/>
          </w:tcPr>
          <w:p>
            <w:pPr>
              <w:ind w:left="26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gridSpan w:val="3"/>
          </w:tcPr>
          <w:p>
            <w:pPr>
              <w:spacing w:after="0" w:line="169" w:lineRule="exact"/>
              <w:rPr>
                <w:sz w:val="20"/>
                <w:szCs w:val="20"/>
                <w:color w:val="auto"/>
              </w:rPr>
            </w:pPr>
            <w:r>
              <w:rPr>
                <w:rFonts w:ascii="Arial" w:cs="Arial" w:eastAsia="Arial" w:hAnsi="Arial"/>
                <w:sz w:val="16"/>
                <w:szCs w:val="16"/>
                <w:color w:val="0000EE"/>
                <w:w w:val="89"/>
              </w:rPr>
              <w:t>26</w:t>
            </w:r>
          </w:p>
        </w:tc>
        <w:tc>
          <w:tcPr>
            <w:tcW w:w="20" w:type="dxa"/>
            <w:vAlign w:val="bottom"/>
          </w:tcPr>
          <w:p>
            <w:pPr>
              <w:spacing w:after="0"/>
              <w:rPr>
                <w:sz w:val="14"/>
                <w:szCs w:val="14"/>
                <w:color w:val="auto"/>
              </w:rPr>
            </w:pPr>
          </w:p>
        </w:tc>
        <w:tc>
          <w:tcPr>
            <w:tcW w:w="340" w:type="dxa"/>
            <w:vAlign w:val="bottom"/>
          </w:tcPr>
          <w:p>
            <w:pPr>
              <w:ind w:left="120"/>
              <w:spacing w:after="0" w:line="169" w:lineRule="exact"/>
              <w:rPr>
                <w:sz w:val="20"/>
                <w:szCs w:val="20"/>
                <w:color w:val="auto"/>
              </w:rPr>
            </w:pPr>
            <w:r>
              <w:rPr>
                <w:rFonts w:ascii="Arial" w:cs="Arial" w:eastAsia="Arial" w:hAnsi="Arial"/>
                <w:sz w:val="16"/>
                <w:szCs w:val="16"/>
                <w:color w:val="auto"/>
              </w:rPr>
              <w:t>​ ​</w:t>
            </w:r>
          </w:p>
        </w:tc>
        <w:tc>
          <w:tcPr>
            <w:tcW w:w="3180" w:type="dxa"/>
            <w:vAlign w:val="bottom"/>
            <w:gridSpan w:val="24"/>
          </w:tcPr>
          <w:p>
            <w:pPr>
              <w:spacing w:after="0" w:line="169" w:lineRule="exact"/>
              <w:rPr>
                <w:sz w:val="20"/>
                <w:szCs w:val="20"/>
                <w:color w:val="auto"/>
              </w:rPr>
            </w:pPr>
            <w:r>
              <w:rPr>
                <w:rFonts w:ascii="Arial" w:cs="Arial" w:eastAsia="Arial" w:hAnsi="Arial"/>
                <w:sz w:val="16"/>
                <w:szCs w:val="16"/>
                <w:color w:val="0000EE"/>
              </w:rPr>
              <w:t>Transactions with Related Persons</w:t>
            </w:r>
          </w:p>
        </w:tc>
        <w:tc>
          <w:tcPr>
            <w:tcW w:w="380" w:type="dxa"/>
            <w:vAlign w:val="bottom"/>
          </w:tcPr>
          <w:p>
            <w:pPr>
              <w:ind w:left="26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20" w:type="dxa"/>
            <w:vAlign w:val="bottom"/>
          </w:tcPr>
          <w:p>
            <w:pPr>
              <w:spacing w:after="0" w:line="155"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bottom w:val="single" w:sz="8" w:color="0000EE"/>
            </w:tcBorders>
            <w:gridSpan w:val="3"/>
          </w:tcPr>
          <w:p>
            <w:pPr>
              <w:spacing w:after="0" w:line="155" w:lineRule="exact"/>
              <w:rPr>
                <w:sz w:val="20"/>
                <w:szCs w:val="20"/>
                <w:color w:val="auto"/>
              </w:rPr>
            </w:pPr>
            <w:r>
              <w:rPr>
                <w:rFonts w:ascii="Arial" w:cs="Arial" w:eastAsia="Arial" w:hAnsi="Arial"/>
                <w:sz w:val="16"/>
                <w:szCs w:val="16"/>
                <w:color w:val="0000EE"/>
                <w:w w:val="89"/>
              </w:rPr>
              <w:t>27</w:t>
            </w:r>
          </w:p>
        </w:tc>
        <w:tc>
          <w:tcPr>
            <w:tcW w:w="20" w:type="dxa"/>
            <w:vAlign w:val="bottom"/>
          </w:tcPr>
          <w:p>
            <w:pPr>
              <w:spacing w:after="0"/>
              <w:rPr>
                <w:sz w:val="14"/>
                <w:szCs w:val="14"/>
                <w:color w:val="auto"/>
              </w:rPr>
            </w:pPr>
          </w:p>
        </w:tc>
        <w:tc>
          <w:tcPr>
            <w:tcW w:w="340" w:type="dxa"/>
            <w:vAlign w:val="bottom"/>
          </w:tcPr>
          <w:p>
            <w:pPr>
              <w:ind w:left="120"/>
              <w:spacing w:after="0" w:line="155" w:lineRule="exact"/>
              <w:rPr>
                <w:sz w:val="20"/>
                <w:szCs w:val="20"/>
                <w:color w:val="auto"/>
              </w:rPr>
            </w:pPr>
            <w:r>
              <w:rPr>
                <w:rFonts w:ascii="Arial" w:cs="Arial" w:eastAsia="Arial" w:hAnsi="Arial"/>
                <w:sz w:val="16"/>
                <w:szCs w:val="16"/>
                <w:color w:val="auto"/>
              </w:rPr>
              <w:t>​ ​</w:t>
            </w:r>
          </w:p>
        </w:tc>
        <w:tc>
          <w:tcPr>
            <w:tcW w:w="1780" w:type="dxa"/>
            <w:vAlign w:val="bottom"/>
            <w:tcBorders>
              <w:top w:val="single" w:sz="8" w:color="0000EE"/>
              <w:bottom w:val="single" w:sz="8" w:color="0000EE"/>
            </w:tcBorders>
            <w:gridSpan w:val="9"/>
          </w:tcPr>
          <w:p>
            <w:pPr>
              <w:spacing w:after="0" w:line="155" w:lineRule="exact"/>
              <w:rPr>
                <w:sz w:val="20"/>
                <w:szCs w:val="20"/>
                <w:color w:val="auto"/>
              </w:rPr>
            </w:pPr>
            <w:r>
              <w:rPr>
                <w:rFonts w:ascii="Arial" w:cs="Arial" w:eastAsia="Arial" w:hAnsi="Arial"/>
                <w:sz w:val="16"/>
                <w:szCs w:val="16"/>
                <w:color w:val="0000EE"/>
              </w:rPr>
              <w:t>Director Compensation</w:t>
            </w:r>
          </w:p>
        </w:tc>
        <w:tc>
          <w:tcPr>
            <w:tcW w:w="800" w:type="dxa"/>
            <w:vAlign w:val="bottom"/>
            <w:tcBorders>
              <w:top w:val="single" w:sz="8" w:color="0000EE"/>
            </w:tcBorders>
            <w:gridSpan w:val="9"/>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3"/>
          </w:tcPr>
          <w:p>
            <w:pPr>
              <w:spacing w:after="0"/>
              <w:rPr>
                <w:sz w:val="14"/>
                <w:szCs w:val="14"/>
                <w:color w:val="auto"/>
              </w:rPr>
            </w:pPr>
          </w:p>
        </w:tc>
        <w:tc>
          <w:tcPr>
            <w:tcW w:w="220" w:type="dxa"/>
            <w:vAlign w:val="bottom"/>
            <w:gridSpan w:val="2"/>
          </w:tcPr>
          <w:p>
            <w:pPr>
              <w:spacing w:after="0"/>
              <w:rPr>
                <w:sz w:val="14"/>
                <w:szCs w:val="14"/>
                <w:color w:val="auto"/>
              </w:rPr>
            </w:pPr>
          </w:p>
        </w:tc>
        <w:tc>
          <w:tcPr>
            <w:tcW w:w="380" w:type="dxa"/>
            <w:vAlign w:val="bottom"/>
          </w:tcPr>
          <w:p>
            <w:pPr>
              <w:ind w:left="260"/>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120" w:type="dxa"/>
            <w:vAlign w:val="bottom"/>
          </w:tcPr>
          <w:p>
            <w:pPr>
              <w:spacing w:after="0"/>
              <w:rPr>
                <w:sz w:val="20"/>
                <w:szCs w:val="20"/>
                <w:color w:val="auto"/>
              </w:rPr>
            </w:pPr>
            <w:r>
              <w:rPr>
                <w:rFonts w:ascii="Arial" w:cs="Arial" w:eastAsia="Arial" w:hAnsi="Arial"/>
                <w:sz w:val="17"/>
                <w:szCs w:val="17"/>
                <w:b w:val="1"/>
                <w:bCs w:val="1"/>
                <w:color w:val="auto"/>
              </w:rPr>
              <w:t>​</w:t>
            </w:r>
          </w:p>
        </w:tc>
        <w:tc>
          <w:tcPr>
            <w:tcW w:w="200" w:type="dxa"/>
            <w:vAlign w:val="bottom"/>
            <w:gridSpan w:val="4"/>
            <w:vMerge w:val="restart"/>
          </w:tcPr>
          <w:p>
            <w:pPr>
              <w:spacing w:after="0"/>
              <w:rPr>
                <w:sz w:val="20"/>
                <w:szCs w:val="20"/>
                <w:color w:val="auto"/>
              </w:rPr>
            </w:pPr>
            <w:r>
              <w:rPr>
                <w:rFonts w:ascii="Arial" w:cs="Arial" w:eastAsia="Arial" w:hAnsi="Arial"/>
                <w:sz w:val="17"/>
                <w:szCs w:val="17"/>
                <w:b w:val="1"/>
                <w:bCs w:val="1"/>
                <w:color w:val="0000EE"/>
                <w:w w:val="94"/>
              </w:rPr>
              <w:t>30</w:t>
            </w:r>
          </w:p>
        </w:tc>
        <w:tc>
          <w:tcPr>
            <w:tcW w:w="340" w:type="dxa"/>
            <w:vAlign w:val="bottom"/>
          </w:tcPr>
          <w:p>
            <w:pPr>
              <w:ind w:left="120"/>
              <w:spacing w:after="0"/>
              <w:rPr>
                <w:sz w:val="20"/>
                <w:szCs w:val="20"/>
                <w:color w:val="auto"/>
              </w:rPr>
            </w:pPr>
            <w:r>
              <w:rPr>
                <w:rFonts w:ascii="Arial" w:cs="Arial" w:eastAsia="Arial" w:hAnsi="Arial"/>
                <w:sz w:val="17"/>
                <w:szCs w:val="17"/>
                <w:b w:val="1"/>
                <w:bCs w:val="1"/>
                <w:color w:val="auto"/>
              </w:rPr>
              <w:t>​ ​</w:t>
            </w:r>
          </w:p>
        </w:tc>
        <w:tc>
          <w:tcPr>
            <w:tcW w:w="3180" w:type="dxa"/>
            <w:vAlign w:val="bottom"/>
            <w:gridSpan w:val="24"/>
            <w:vMerge w:val="restart"/>
          </w:tcPr>
          <w:p>
            <w:pPr>
              <w:spacing w:after="0"/>
              <w:rPr>
                <w:sz w:val="20"/>
                <w:szCs w:val="20"/>
                <w:color w:val="auto"/>
              </w:rPr>
            </w:pPr>
            <w:r>
              <w:rPr>
                <w:rFonts w:ascii="Arial" w:cs="Arial" w:eastAsia="Arial" w:hAnsi="Arial"/>
                <w:sz w:val="17"/>
                <w:szCs w:val="17"/>
                <w:b w:val="1"/>
                <w:bCs w:val="1"/>
                <w:color w:val="0000EE"/>
              </w:rPr>
              <w:t>AUDIT MATTERS</w:t>
            </w:r>
          </w:p>
        </w:tc>
        <w:tc>
          <w:tcPr>
            <w:tcW w:w="380" w:type="dxa"/>
            <w:vAlign w:val="bottom"/>
          </w:tcPr>
          <w:p>
            <w:pPr>
              <w:ind w:left="26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200" w:type="dxa"/>
            <w:vAlign w:val="bottom"/>
            <w:gridSpan w:val="4"/>
            <w:vMerge w:val="continue"/>
          </w:tcPr>
          <w:p>
            <w:pPr>
              <w:spacing w:after="0"/>
              <w:rPr>
                <w:sz w:val="11"/>
                <w:szCs w:val="11"/>
                <w:color w:val="auto"/>
              </w:rPr>
            </w:pPr>
          </w:p>
        </w:tc>
        <w:tc>
          <w:tcPr>
            <w:tcW w:w="340" w:type="dxa"/>
            <w:vAlign w:val="bottom"/>
          </w:tcPr>
          <w:p>
            <w:pPr>
              <w:spacing w:after="0"/>
              <w:rPr>
                <w:sz w:val="11"/>
                <w:szCs w:val="11"/>
                <w:color w:val="auto"/>
              </w:rPr>
            </w:pPr>
          </w:p>
        </w:tc>
        <w:tc>
          <w:tcPr>
            <w:tcW w:w="3180" w:type="dxa"/>
            <w:vAlign w:val="bottom"/>
            <w:gridSpan w:val="24"/>
            <w:vMerge w:val="continue"/>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340" w:type="dxa"/>
            <w:vAlign w:val="bottom"/>
            <w:tcBorders>
              <w:bottom w:val="single" w:sz="8" w:color="E7417A"/>
            </w:tcBorders>
          </w:tcPr>
          <w:p>
            <w:pPr>
              <w:spacing w:after="0" w:line="20" w:lineRule="exact"/>
              <w:rPr>
                <w:sz w:val="1"/>
                <w:szCs w:val="1"/>
                <w:color w:val="auto"/>
              </w:rPr>
            </w:pPr>
          </w:p>
        </w:tc>
        <w:tc>
          <w:tcPr>
            <w:tcW w:w="820" w:type="dxa"/>
            <w:vAlign w:val="bottom"/>
            <w:tcBorders>
              <w:top w:val="single" w:sz="8" w:color="0000EE"/>
              <w:bottom w:val="single" w:sz="8" w:color="E7417A"/>
            </w:tcBorders>
          </w:tcPr>
          <w:p>
            <w:pPr>
              <w:spacing w:after="0" w:line="20" w:lineRule="exact"/>
              <w:rPr>
                <w:sz w:val="1"/>
                <w:szCs w:val="1"/>
                <w:color w:val="auto"/>
              </w:rPr>
            </w:pPr>
          </w:p>
        </w:tc>
        <w:tc>
          <w:tcPr>
            <w:tcW w:w="160" w:type="dxa"/>
            <w:vAlign w:val="bottom"/>
            <w:tcBorders>
              <w:top w:val="single" w:sz="8" w:color="0000EE"/>
              <w:bottom w:val="single" w:sz="8" w:color="E7417A"/>
            </w:tcBorders>
          </w:tcPr>
          <w:p>
            <w:pPr>
              <w:spacing w:after="0" w:line="20" w:lineRule="exact"/>
              <w:rPr>
                <w:sz w:val="1"/>
                <w:szCs w:val="1"/>
                <w:color w:val="auto"/>
              </w:rPr>
            </w:pPr>
          </w:p>
        </w:tc>
        <w:tc>
          <w:tcPr>
            <w:tcW w:w="40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80" w:type="dxa"/>
            <w:vAlign w:val="bottom"/>
            <w:tcBorders>
              <w:bottom w:val="single" w:sz="8" w:color="E7417A"/>
            </w:tcBorders>
          </w:tcPr>
          <w:p>
            <w:pPr>
              <w:spacing w:after="0" w:line="20" w:lineRule="exact"/>
              <w:rPr>
                <w:sz w:val="1"/>
                <w:szCs w:val="1"/>
                <w:color w:val="auto"/>
              </w:rPr>
            </w:pPr>
          </w:p>
        </w:tc>
        <w:tc>
          <w:tcPr>
            <w:tcW w:w="24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160" w:type="dxa"/>
            <w:vAlign w:val="bottom"/>
            <w:tcBorders>
              <w:bottom w:val="single" w:sz="8" w:color="E7417A"/>
            </w:tcBorders>
          </w:tcPr>
          <w:p>
            <w:pPr>
              <w:spacing w:after="0" w:line="20" w:lineRule="exact"/>
              <w:rPr>
                <w:sz w:val="1"/>
                <w:szCs w:val="1"/>
                <w:color w:val="auto"/>
              </w:rPr>
            </w:pPr>
          </w:p>
        </w:tc>
        <w:tc>
          <w:tcPr>
            <w:tcW w:w="8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16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38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line="155"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62259D"/>
            </w:tcBorders>
            <w:gridSpan w:val="3"/>
          </w:tcPr>
          <w:p>
            <w:pPr>
              <w:spacing w:after="0" w:line="155" w:lineRule="exact"/>
              <w:rPr>
                <w:sz w:val="20"/>
                <w:szCs w:val="20"/>
                <w:color w:val="auto"/>
              </w:rPr>
            </w:pPr>
            <w:r>
              <w:rPr>
                <w:rFonts w:ascii="Arial" w:cs="Arial" w:eastAsia="Arial" w:hAnsi="Arial"/>
                <w:sz w:val="16"/>
                <w:szCs w:val="16"/>
                <w:b w:val="1"/>
                <w:bCs w:val="1"/>
                <w:color w:val="62259D"/>
                <w:w w:val="89"/>
              </w:rPr>
              <w:t>30</w:t>
            </w:r>
          </w:p>
        </w:tc>
        <w:tc>
          <w:tcPr>
            <w:tcW w:w="20" w:type="dxa"/>
            <w:vAlign w:val="bottom"/>
          </w:tcPr>
          <w:p>
            <w:pPr>
              <w:spacing w:after="0"/>
              <w:rPr>
                <w:sz w:val="13"/>
                <w:szCs w:val="13"/>
                <w:color w:val="auto"/>
              </w:rPr>
            </w:pPr>
          </w:p>
        </w:tc>
        <w:tc>
          <w:tcPr>
            <w:tcW w:w="340" w:type="dxa"/>
            <w:vAlign w:val="bottom"/>
          </w:tcPr>
          <w:p>
            <w:pPr>
              <w:ind w:left="120"/>
              <w:spacing w:after="0" w:line="155" w:lineRule="exact"/>
              <w:rPr>
                <w:sz w:val="20"/>
                <w:szCs w:val="20"/>
                <w:color w:val="auto"/>
              </w:rPr>
            </w:pPr>
            <w:r>
              <w:rPr>
                <w:rFonts w:ascii="Arial" w:cs="Arial" w:eastAsia="Arial" w:hAnsi="Arial"/>
                <w:sz w:val="16"/>
                <w:szCs w:val="16"/>
                <w:color w:val="auto"/>
              </w:rPr>
              <w:t>​ ​</w:t>
            </w:r>
          </w:p>
        </w:tc>
        <w:tc>
          <w:tcPr>
            <w:tcW w:w="2660" w:type="dxa"/>
            <w:vAlign w:val="bottom"/>
            <w:tcBorders>
              <w:bottom w:val="single" w:sz="8" w:color="62259D"/>
            </w:tcBorders>
            <w:gridSpan w:val="19"/>
          </w:tcPr>
          <w:p>
            <w:pPr>
              <w:spacing w:after="0" w:line="155" w:lineRule="exact"/>
              <w:rPr>
                <w:sz w:val="20"/>
                <w:szCs w:val="20"/>
                <w:color w:val="auto"/>
              </w:rPr>
            </w:pPr>
            <w:r>
              <w:rPr>
                <w:rFonts w:ascii="Arial" w:cs="Arial" w:eastAsia="Arial" w:hAnsi="Arial"/>
                <w:sz w:val="16"/>
                <w:szCs w:val="16"/>
                <w:b w:val="1"/>
                <w:bCs w:val="1"/>
                <w:color w:val="62259D"/>
              </w:rPr>
              <w:t>PROPOSAL 2</w:t>
            </w:r>
            <w:r>
              <w:rPr>
                <w:rFonts w:ascii="Arial" w:cs="Arial" w:eastAsia="Arial" w:hAnsi="Arial"/>
                <w:sz w:val="16"/>
                <w:szCs w:val="16"/>
                <w:color w:val="62259D"/>
              </w:rPr>
              <w:t> — Ratification of the</w:t>
            </w:r>
          </w:p>
        </w:tc>
        <w:tc>
          <w:tcPr>
            <w:tcW w:w="520" w:type="dxa"/>
            <w:vAlign w:val="bottom"/>
            <w:gridSpan w:val="5"/>
          </w:tcPr>
          <w:p>
            <w:pPr>
              <w:spacing w:after="0"/>
              <w:rPr>
                <w:sz w:val="13"/>
                <w:szCs w:val="13"/>
                <w:color w:val="auto"/>
              </w:rPr>
            </w:pPr>
          </w:p>
        </w:tc>
        <w:tc>
          <w:tcPr>
            <w:tcW w:w="380" w:type="dxa"/>
            <w:vAlign w:val="bottom"/>
          </w:tcPr>
          <w:p>
            <w:pPr>
              <w:ind w:left="260"/>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80" w:type="dxa"/>
            <w:vAlign w:val="bottom"/>
            <w:gridSpan w:val="24"/>
          </w:tcPr>
          <w:p>
            <w:pPr>
              <w:spacing w:after="0" w:line="155" w:lineRule="exact"/>
              <w:rPr>
                <w:sz w:val="20"/>
                <w:szCs w:val="20"/>
                <w:color w:val="auto"/>
              </w:rPr>
            </w:pPr>
            <w:r>
              <w:rPr>
                <w:rFonts w:ascii="Arial" w:cs="Arial" w:eastAsia="Arial" w:hAnsi="Arial"/>
                <w:sz w:val="16"/>
                <w:szCs w:val="16"/>
                <w:color w:val="62259D"/>
              </w:rPr>
              <w:t>Appointment of Independent Registered</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Borders>
              <w:top w:val="single" w:sz="8" w:color="62259D"/>
            </w:tcBorders>
            <w:gridSpan w:val="22"/>
          </w:tcPr>
          <w:p>
            <w:pPr>
              <w:spacing w:after="0" w:line="169" w:lineRule="exact"/>
              <w:rPr>
                <w:sz w:val="20"/>
                <w:szCs w:val="20"/>
                <w:color w:val="auto"/>
              </w:rPr>
            </w:pPr>
            <w:r>
              <w:rPr>
                <w:rFonts w:ascii="Arial" w:cs="Arial" w:eastAsia="Arial" w:hAnsi="Arial"/>
                <w:sz w:val="16"/>
                <w:szCs w:val="16"/>
                <w:color w:val="62259D"/>
              </w:rPr>
              <w:t>Public Accounting Firm</w:t>
            </w:r>
          </w:p>
        </w:tc>
        <w:tc>
          <w:tcPr>
            <w:tcW w:w="22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4C4C4C"/>
            </w:tcBorders>
          </w:tcPr>
          <w:p>
            <w:pPr>
              <w:spacing w:after="0" w:line="20" w:lineRule="exact"/>
              <w:rPr>
                <w:sz w:val="1"/>
                <w:szCs w:val="1"/>
                <w:color w:val="auto"/>
              </w:rPr>
            </w:pPr>
          </w:p>
        </w:tc>
        <w:tc>
          <w:tcPr>
            <w:tcW w:w="8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8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340" w:type="dxa"/>
            <w:vAlign w:val="bottom"/>
            <w:tcBorders>
              <w:bottom w:val="single" w:sz="8" w:color="4C4C4C"/>
            </w:tcBorders>
          </w:tcPr>
          <w:p>
            <w:pPr>
              <w:spacing w:after="0" w:line="20" w:lineRule="exact"/>
              <w:rPr>
                <w:sz w:val="1"/>
                <w:szCs w:val="1"/>
                <w:color w:val="auto"/>
              </w:rPr>
            </w:pPr>
          </w:p>
        </w:tc>
        <w:tc>
          <w:tcPr>
            <w:tcW w:w="820" w:type="dxa"/>
            <w:vAlign w:val="bottom"/>
            <w:tcBorders>
              <w:top w:val="single" w:sz="8" w:color="62259D"/>
              <w:bottom w:val="single" w:sz="8" w:color="4C4C4C"/>
            </w:tcBorders>
          </w:tcPr>
          <w:p>
            <w:pPr>
              <w:spacing w:after="0" w:line="20" w:lineRule="exact"/>
              <w:rPr>
                <w:sz w:val="1"/>
                <w:szCs w:val="1"/>
                <w:color w:val="auto"/>
              </w:rPr>
            </w:pPr>
          </w:p>
        </w:tc>
        <w:tc>
          <w:tcPr>
            <w:tcW w:w="160" w:type="dxa"/>
            <w:vAlign w:val="bottom"/>
            <w:tcBorders>
              <w:top w:val="single" w:sz="8" w:color="62259D"/>
              <w:bottom w:val="single" w:sz="8" w:color="4C4C4C"/>
            </w:tcBorders>
          </w:tcPr>
          <w:p>
            <w:pPr>
              <w:spacing w:after="0" w:line="20" w:lineRule="exact"/>
              <w:rPr>
                <w:sz w:val="1"/>
                <w:szCs w:val="1"/>
                <w:color w:val="auto"/>
              </w:rPr>
            </w:pPr>
          </w:p>
        </w:tc>
        <w:tc>
          <w:tcPr>
            <w:tcW w:w="400" w:type="dxa"/>
            <w:vAlign w:val="bottom"/>
            <w:tcBorders>
              <w:top w:val="single" w:sz="8" w:color="62259D"/>
              <w:bottom w:val="single" w:sz="8" w:color="4C4C4C"/>
            </w:tcBorders>
          </w:tcPr>
          <w:p>
            <w:pPr>
              <w:spacing w:after="0" w:line="20" w:lineRule="exact"/>
              <w:rPr>
                <w:sz w:val="1"/>
                <w:szCs w:val="1"/>
                <w:color w:val="auto"/>
              </w:rPr>
            </w:pPr>
          </w:p>
        </w:tc>
        <w:tc>
          <w:tcPr>
            <w:tcW w:w="20" w:type="dxa"/>
            <w:vAlign w:val="bottom"/>
            <w:tcBorders>
              <w:top w:val="single" w:sz="8" w:color="62259D"/>
              <w:bottom w:val="single" w:sz="8" w:color="4C4C4C"/>
            </w:tcBorders>
          </w:tcPr>
          <w:p>
            <w:pPr>
              <w:spacing w:after="0" w:line="20" w:lineRule="exact"/>
              <w:rPr>
                <w:sz w:val="1"/>
                <w:szCs w:val="1"/>
                <w:color w:val="auto"/>
              </w:rPr>
            </w:pPr>
          </w:p>
        </w:tc>
        <w:tc>
          <w:tcPr>
            <w:tcW w:w="80" w:type="dxa"/>
            <w:vAlign w:val="bottom"/>
            <w:tcBorders>
              <w:top w:val="single" w:sz="8" w:color="62259D"/>
              <w:bottom w:val="single" w:sz="8" w:color="4C4C4C"/>
            </w:tcBorders>
          </w:tcPr>
          <w:p>
            <w:pPr>
              <w:spacing w:after="0" w:line="20" w:lineRule="exact"/>
              <w:rPr>
                <w:sz w:val="1"/>
                <w:szCs w:val="1"/>
                <w:color w:val="auto"/>
              </w:rPr>
            </w:pPr>
          </w:p>
        </w:tc>
        <w:tc>
          <w:tcPr>
            <w:tcW w:w="20" w:type="dxa"/>
            <w:vAlign w:val="bottom"/>
            <w:tcBorders>
              <w:top w:val="single" w:sz="8" w:color="62259D"/>
              <w:bottom w:val="single" w:sz="8" w:color="4C4C4C"/>
            </w:tcBorders>
          </w:tcPr>
          <w:p>
            <w:pPr>
              <w:spacing w:after="0" w:line="20" w:lineRule="exact"/>
              <w:rPr>
                <w:sz w:val="1"/>
                <w:szCs w:val="1"/>
                <w:color w:val="auto"/>
              </w:rPr>
            </w:pPr>
          </w:p>
        </w:tc>
        <w:tc>
          <w:tcPr>
            <w:tcW w:w="100" w:type="dxa"/>
            <w:vAlign w:val="bottom"/>
            <w:tcBorders>
              <w:top w:val="single" w:sz="8" w:color="62259D"/>
              <w:bottom w:val="single" w:sz="8" w:color="4C4C4C"/>
            </w:tcBorders>
          </w:tcPr>
          <w:p>
            <w:pPr>
              <w:spacing w:after="0" w:line="20" w:lineRule="exact"/>
              <w:rPr>
                <w:sz w:val="1"/>
                <w:szCs w:val="1"/>
                <w:color w:val="auto"/>
              </w:rPr>
            </w:pPr>
          </w:p>
        </w:tc>
        <w:tc>
          <w:tcPr>
            <w:tcW w:w="100" w:type="dxa"/>
            <w:vAlign w:val="bottom"/>
            <w:tcBorders>
              <w:top w:val="single" w:sz="8" w:color="62259D"/>
              <w:bottom w:val="single" w:sz="8" w:color="4C4C4C"/>
            </w:tcBorders>
          </w:tcPr>
          <w:p>
            <w:pPr>
              <w:spacing w:after="0" w:line="20" w:lineRule="exact"/>
              <w:rPr>
                <w:sz w:val="1"/>
                <w:szCs w:val="1"/>
                <w:color w:val="auto"/>
              </w:rPr>
            </w:pPr>
          </w:p>
        </w:tc>
        <w:tc>
          <w:tcPr>
            <w:tcW w:w="80" w:type="dxa"/>
            <w:vAlign w:val="bottom"/>
            <w:tcBorders>
              <w:top w:val="single" w:sz="8" w:color="62259D"/>
              <w:bottom w:val="single" w:sz="8" w:color="4C4C4C"/>
            </w:tcBorders>
          </w:tcPr>
          <w:p>
            <w:pPr>
              <w:spacing w:after="0" w:line="20" w:lineRule="exact"/>
              <w:rPr>
                <w:sz w:val="1"/>
                <w:szCs w:val="1"/>
                <w:color w:val="auto"/>
              </w:rPr>
            </w:pPr>
          </w:p>
        </w:tc>
        <w:tc>
          <w:tcPr>
            <w:tcW w:w="24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100" w:type="dxa"/>
            <w:vAlign w:val="bottom"/>
            <w:tcBorders>
              <w:bottom w:val="single" w:sz="8" w:color="4C4C4C"/>
            </w:tcBorders>
          </w:tcPr>
          <w:p>
            <w:pPr>
              <w:spacing w:after="0" w:line="20" w:lineRule="exact"/>
              <w:rPr>
                <w:sz w:val="1"/>
                <w:szCs w:val="1"/>
                <w:color w:val="auto"/>
              </w:rPr>
            </w:pPr>
          </w:p>
        </w:tc>
        <w:tc>
          <w:tcPr>
            <w:tcW w:w="4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10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160" w:type="dxa"/>
            <w:vAlign w:val="bottom"/>
            <w:tcBorders>
              <w:bottom w:val="single" w:sz="8" w:color="4C4C4C"/>
            </w:tcBorders>
          </w:tcPr>
          <w:p>
            <w:pPr>
              <w:spacing w:after="0" w:line="20" w:lineRule="exact"/>
              <w:rPr>
                <w:sz w:val="1"/>
                <w:szCs w:val="1"/>
                <w:color w:val="auto"/>
              </w:rPr>
            </w:pPr>
          </w:p>
        </w:tc>
        <w:tc>
          <w:tcPr>
            <w:tcW w:w="80" w:type="dxa"/>
            <w:vAlign w:val="bottom"/>
            <w:tcBorders>
              <w:bottom w:val="single" w:sz="8" w:color="4C4C4C"/>
            </w:tcBorders>
          </w:tcPr>
          <w:p>
            <w:pPr>
              <w:spacing w:after="0" w:line="20" w:lineRule="exact"/>
              <w:rPr>
                <w:sz w:val="1"/>
                <w:szCs w:val="1"/>
                <w:color w:val="auto"/>
              </w:rPr>
            </w:pPr>
          </w:p>
        </w:tc>
        <w:tc>
          <w:tcPr>
            <w:tcW w:w="100" w:type="dxa"/>
            <w:vAlign w:val="bottom"/>
            <w:tcBorders>
              <w:bottom w:val="single" w:sz="8" w:color="4C4C4C"/>
            </w:tcBorders>
          </w:tcPr>
          <w:p>
            <w:pPr>
              <w:spacing w:after="0" w:line="20" w:lineRule="exact"/>
              <w:rPr>
                <w:sz w:val="1"/>
                <w:szCs w:val="1"/>
                <w:color w:val="auto"/>
              </w:rPr>
            </w:pPr>
          </w:p>
        </w:tc>
        <w:tc>
          <w:tcPr>
            <w:tcW w:w="100" w:type="dxa"/>
            <w:vAlign w:val="bottom"/>
            <w:tcBorders>
              <w:bottom w:val="single" w:sz="8" w:color="4C4C4C"/>
            </w:tcBorders>
          </w:tcPr>
          <w:p>
            <w:pPr>
              <w:spacing w:after="0" w:line="20" w:lineRule="exact"/>
              <w:rPr>
                <w:sz w:val="1"/>
                <w:szCs w:val="1"/>
                <w:color w:val="auto"/>
              </w:rPr>
            </w:pPr>
          </w:p>
        </w:tc>
        <w:tc>
          <w:tcPr>
            <w:tcW w:w="100" w:type="dxa"/>
            <w:vAlign w:val="bottom"/>
            <w:tcBorders>
              <w:bottom w:val="single" w:sz="8" w:color="4C4C4C"/>
            </w:tcBorders>
          </w:tcPr>
          <w:p>
            <w:pPr>
              <w:spacing w:after="0" w:line="20" w:lineRule="exact"/>
              <w:rPr>
                <w:sz w:val="1"/>
                <w:szCs w:val="1"/>
                <w:color w:val="auto"/>
              </w:rPr>
            </w:pPr>
          </w:p>
        </w:tc>
        <w:tc>
          <w:tcPr>
            <w:tcW w:w="16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380" w:type="dxa"/>
            <w:vAlign w:val="bottom"/>
            <w:tcBorders>
              <w:bottom w:val="single" w:sz="8" w:color="4C4C4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Pr>
          <w:p>
            <w:pPr>
              <w:spacing w:after="0" w:line="156" w:lineRule="exact"/>
              <w:rPr>
                <w:sz w:val="20"/>
                <w:szCs w:val="20"/>
                <w:color w:val="auto"/>
              </w:rPr>
            </w:pPr>
            <w:r>
              <w:rPr>
                <w:rFonts w:ascii="Arial" w:cs="Arial" w:eastAsia="Arial" w:hAnsi="Arial"/>
                <w:sz w:val="16"/>
                <w:szCs w:val="16"/>
                <w:color w:val="auto"/>
              </w:rPr>
              <w:t>​</w:t>
            </w:r>
          </w:p>
        </w:tc>
        <w:tc>
          <w:tcPr>
            <w:tcW w:w="180" w:type="dxa"/>
            <w:vAlign w:val="bottom"/>
            <w:gridSpan w:val="3"/>
          </w:tcPr>
          <w:p>
            <w:pPr>
              <w:spacing w:after="0" w:line="156" w:lineRule="exact"/>
              <w:rPr>
                <w:sz w:val="20"/>
                <w:szCs w:val="20"/>
                <w:color w:val="auto"/>
              </w:rPr>
            </w:pPr>
            <w:r>
              <w:rPr>
                <w:rFonts w:ascii="Arial" w:cs="Arial" w:eastAsia="Arial" w:hAnsi="Arial"/>
                <w:sz w:val="16"/>
                <w:szCs w:val="16"/>
                <w:color w:val="0000EE"/>
                <w:w w:val="89"/>
              </w:rPr>
              <w:t>30</w:t>
            </w:r>
          </w:p>
        </w:tc>
        <w:tc>
          <w:tcPr>
            <w:tcW w:w="20" w:type="dxa"/>
            <w:vAlign w:val="bottom"/>
          </w:tcPr>
          <w:p>
            <w:pPr>
              <w:spacing w:after="0"/>
              <w:rPr>
                <w:sz w:val="13"/>
                <w:szCs w:val="13"/>
                <w:color w:val="auto"/>
              </w:rPr>
            </w:pPr>
          </w:p>
        </w:tc>
        <w:tc>
          <w:tcPr>
            <w:tcW w:w="340" w:type="dxa"/>
            <w:vAlign w:val="bottom"/>
          </w:tcPr>
          <w:p>
            <w:pPr>
              <w:ind w:left="120"/>
              <w:spacing w:after="0" w:line="156" w:lineRule="exact"/>
              <w:rPr>
                <w:sz w:val="20"/>
                <w:szCs w:val="20"/>
                <w:color w:val="auto"/>
              </w:rPr>
            </w:pPr>
            <w:r>
              <w:rPr>
                <w:rFonts w:ascii="Arial" w:cs="Arial" w:eastAsia="Arial" w:hAnsi="Arial"/>
                <w:sz w:val="16"/>
                <w:szCs w:val="16"/>
                <w:color w:val="auto"/>
              </w:rPr>
              <w:t>​ ​</w:t>
            </w:r>
          </w:p>
        </w:tc>
        <w:tc>
          <w:tcPr>
            <w:tcW w:w="3180" w:type="dxa"/>
            <w:vAlign w:val="bottom"/>
            <w:gridSpan w:val="24"/>
          </w:tcPr>
          <w:p>
            <w:pPr>
              <w:spacing w:after="0" w:line="156" w:lineRule="exact"/>
              <w:rPr>
                <w:sz w:val="20"/>
                <w:szCs w:val="20"/>
                <w:color w:val="auto"/>
              </w:rPr>
            </w:pPr>
            <w:r>
              <w:rPr>
                <w:rFonts w:ascii="Arial" w:cs="Arial" w:eastAsia="Arial" w:hAnsi="Arial"/>
                <w:sz w:val="16"/>
                <w:szCs w:val="16"/>
                <w:color w:val="0000EE"/>
              </w:rPr>
              <w:t>Deloitte Fees</w:t>
            </w:r>
          </w:p>
        </w:tc>
        <w:tc>
          <w:tcPr>
            <w:tcW w:w="380" w:type="dxa"/>
            <w:vAlign w:val="bottom"/>
          </w:tcPr>
          <w:p>
            <w:pPr>
              <w:ind w:left="260"/>
              <w:spacing w:after="0" w:line="15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175" w:lineRule="exact"/>
              <w:rPr>
                <w:sz w:val="20"/>
                <w:szCs w:val="20"/>
                <w:color w:val="auto"/>
              </w:rPr>
            </w:pPr>
            <w:r>
              <w:rPr>
                <w:rFonts w:ascii="Arial" w:cs="Arial" w:eastAsia="Arial" w:hAnsi="Arial"/>
                <w:sz w:val="16"/>
                <w:szCs w:val="16"/>
                <w:color w:val="auto"/>
              </w:rPr>
              <w:t>​</w:t>
            </w: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vMerge w:val="restart"/>
          </w:tcPr>
          <w:p>
            <w:pPr>
              <w:ind w:left="120"/>
              <w:spacing w:after="0" w:line="175" w:lineRule="exact"/>
              <w:rPr>
                <w:sz w:val="20"/>
                <w:szCs w:val="20"/>
                <w:color w:val="auto"/>
              </w:rPr>
            </w:pPr>
            <w:r>
              <w:rPr>
                <w:rFonts w:ascii="Arial" w:cs="Arial" w:eastAsia="Arial" w:hAnsi="Arial"/>
                <w:sz w:val="16"/>
                <w:szCs w:val="16"/>
                <w:color w:val="auto"/>
              </w:rPr>
              <w:t>​ ​</w:t>
            </w:r>
          </w:p>
        </w:tc>
        <w:tc>
          <w:tcPr>
            <w:tcW w:w="980" w:type="dxa"/>
            <w:vAlign w:val="bottom"/>
            <w:gridSpan w:val="2"/>
            <w:shd w:val="clear" w:color="auto" w:fill="0000EE"/>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380" w:type="dxa"/>
            <w:vAlign w:val="bottom"/>
            <w:vMerge w:val="restart"/>
          </w:tcPr>
          <w:p>
            <w:pPr>
              <w:ind w:left="26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56"/>
        </w:trPr>
        <w:tc>
          <w:tcPr>
            <w:tcW w:w="120" w:type="dxa"/>
            <w:vAlign w:val="bottom"/>
            <w:vMerge w:val="continue"/>
          </w:tcPr>
          <w:p>
            <w:pPr>
              <w:spacing w:after="0"/>
              <w:rPr>
                <w:sz w:val="13"/>
                <w:szCs w:val="13"/>
                <w:color w:val="auto"/>
              </w:rPr>
            </w:pPr>
          </w:p>
        </w:tc>
        <w:tc>
          <w:tcPr>
            <w:tcW w:w="180" w:type="dxa"/>
            <w:vAlign w:val="bottom"/>
            <w:tcBorders>
              <w:bottom w:val="single" w:sz="8" w:color="0000EE"/>
            </w:tcBorders>
            <w:gridSpan w:val="3"/>
          </w:tcPr>
          <w:p>
            <w:pPr>
              <w:spacing w:after="0" w:line="155" w:lineRule="exact"/>
              <w:rPr>
                <w:sz w:val="20"/>
                <w:szCs w:val="20"/>
                <w:color w:val="auto"/>
              </w:rPr>
            </w:pPr>
            <w:r>
              <w:rPr>
                <w:rFonts w:ascii="Arial" w:cs="Arial" w:eastAsia="Arial" w:hAnsi="Arial"/>
                <w:sz w:val="16"/>
                <w:szCs w:val="16"/>
                <w:color w:val="0000EE"/>
                <w:w w:val="89"/>
              </w:rPr>
              <w:t>31</w:t>
            </w:r>
          </w:p>
        </w:tc>
        <w:tc>
          <w:tcPr>
            <w:tcW w:w="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3180" w:type="dxa"/>
            <w:vAlign w:val="bottom"/>
            <w:tcBorders>
              <w:bottom w:val="single" w:sz="8" w:color="0000EE"/>
            </w:tcBorders>
            <w:gridSpan w:val="24"/>
          </w:tcPr>
          <w:p>
            <w:pPr>
              <w:spacing w:after="0" w:line="155" w:lineRule="exact"/>
              <w:rPr>
                <w:sz w:val="20"/>
                <w:szCs w:val="20"/>
                <w:color w:val="auto"/>
              </w:rPr>
            </w:pPr>
            <w:r>
              <w:rPr>
                <w:rFonts w:ascii="Arial" w:cs="Arial" w:eastAsia="Arial" w:hAnsi="Arial"/>
                <w:sz w:val="16"/>
                <w:szCs w:val="16"/>
                <w:color w:val="0000EE"/>
              </w:rPr>
              <w:t>Policy on Audit Committee Pre-Approval of</w:t>
            </w:r>
          </w:p>
        </w:tc>
        <w:tc>
          <w:tcPr>
            <w:tcW w:w="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vMerge w:val="restart"/>
          </w:tcPr>
          <w:p>
            <w:pPr>
              <w:ind w:left="120"/>
              <w:spacing w:after="0"/>
              <w:rPr>
                <w:sz w:val="20"/>
                <w:szCs w:val="20"/>
                <w:color w:val="auto"/>
              </w:rPr>
            </w:pPr>
            <w:r>
              <w:rPr>
                <w:rFonts w:ascii="Arial" w:cs="Arial" w:eastAsia="Arial" w:hAnsi="Arial"/>
                <w:sz w:val="16"/>
                <w:szCs w:val="16"/>
                <w:color w:val="auto"/>
              </w:rPr>
              <w:t>​ ​</w:t>
            </w:r>
          </w:p>
        </w:tc>
        <w:tc>
          <w:tcPr>
            <w:tcW w:w="2200" w:type="dxa"/>
            <w:vAlign w:val="bottom"/>
            <w:tcBorders>
              <w:bottom w:val="single" w:sz="8" w:color="0000EE"/>
            </w:tcBorders>
            <w:gridSpan w:val="14"/>
          </w:tcPr>
          <w:p>
            <w:pPr>
              <w:spacing w:after="0" w:line="155" w:lineRule="exact"/>
              <w:rPr>
                <w:sz w:val="20"/>
                <w:szCs w:val="20"/>
                <w:color w:val="auto"/>
              </w:rPr>
            </w:pPr>
            <w:r>
              <w:rPr>
                <w:rFonts w:ascii="Arial" w:cs="Arial" w:eastAsia="Arial" w:hAnsi="Arial"/>
                <w:sz w:val="16"/>
                <w:szCs w:val="16"/>
                <w:color w:val="0000EE"/>
              </w:rPr>
              <w:t>Audit and Non-Audit Services</w:t>
            </w:r>
          </w:p>
        </w:tc>
        <w:tc>
          <w:tcPr>
            <w:tcW w:w="980" w:type="dxa"/>
            <w:vAlign w:val="bottom"/>
            <w:gridSpan w:val="10"/>
          </w:tcPr>
          <w:p>
            <w:pPr>
              <w:spacing w:after="0"/>
              <w:rPr>
                <w:sz w:val="13"/>
                <w:szCs w:val="13"/>
                <w:color w:val="auto"/>
              </w:rPr>
            </w:pPr>
          </w:p>
        </w:tc>
        <w:tc>
          <w:tcPr>
            <w:tcW w:w="38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20" w:type="dxa"/>
            <w:vAlign w:val="bottom"/>
            <w:vMerge w:val="continue"/>
          </w:tcPr>
          <w:p>
            <w:pPr>
              <w:spacing w:after="0"/>
              <w:rPr>
                <w:sz w:val="15"/>
                <w:szCs w:val="15"/>
                <w:color w:val="auto"/>
              </w:rPr>
            </w:pPr>
          </w:p>
        </w:tc>
        <w:tc>
          <w:tcPr>
            <w:tcW w:w="180" w:type="dxa"/>
            <w:vAlign w:val="bottom"/>
            <w:gridSpan w:val="3"/>
          </w:tcPr>
          <w:p>
            <w:pPr>
              <w:spacing w:after="0" w:line="183" w:lineRule="exact"/>
              <w:rPr>
                <w:sz w:val="20"/>
                <w:szCs w:val="20"/>
                <w:color w:val="auto"/>
              </w:rPr>
            </w:pPr>
            <w:r>
              <w:rPr>
                <w:rFonts w:ascii="Arial" w:cs="Arial" w:eastAsia="Arial" w:hAnsi="Arial"/>
                <w:sz w:val="16"/>
                <w:szCs w:val="16"/>
                <w:color w:val="0000EE"/>
                <w:w w:val="89"/>
              </w:rPr>
              <w:t>32</w:t>
            </w: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3180" w:type="dxa"/>
            <w:vAlign w:val="bottom"/>
            <w:gridSpan w:val="24"/>
          </w:tcPr>
          <w:p>
            <w:pPr>
              <w:spacing w:after="0" w:line="183" w:lineRule="exact"/>
              <w:rPr>
                <w:sz w:val="20"/>
                <w:szCs w:val="20"/>
                <w:color w:val="auto"/>
              </w:rPr>
            </w:pPr>
            <w:r>
              <w:rPr>
                <w:rFonts w:ascii="Arial" w:cs="Arial" w:eastAsia="Arial" w:hAnsi="Arial"/>
                <w:sz w:val="16"/>
                <w:szCs w:val="16"/>
                <w:color w:val="0000EE"/>
              </w:rPr>
              <w:t>Audit Committee Report</w:t>
            </w: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0" w:type="dxa"/>
            <w:vAlign w:val="bottom"/>
            <w:vMerge w:val="restart"/>
          </w:tcPr>
          <w:p>
            <w:pPr>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vMerge w:val="restart"/>
          </w:tcPr>
          <w:p>
            <w:pPr>
              <w:ind w:left="120"/>
              <w:spacing w:after="0"/>
              <w:rPr>
                <w:sz w:val="20"/>
                <w:szCs w:val="20"/>
                <w:color w:val="auto"/>
              </w:rPr>
            </w:pPr>
            <w:r>
              <w:rPr>
                <w:rFonts w:ascii="Arial" w:cs="Arial" w:eastAsia="Arial" w:hAnsi="Arial"/>
                <w:sz w:val="17"/>
                <w:szCs w:val="17"/>
                <w:b w:val="1"/>
                <w:bCs w:val="1"/>
                <w:color w:val="auto"/>
              </w:rPr>
              <w:t>​ ​</w:t>
            </w:r>
          </w:p>
        </w:tc>
        <w:tc>
          <w:tcPr>
            <w:tcW w:w="8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vMerge w:val="restart"/>
          </w:tcPr>
          <w:p>
            <w:pPr>
              <w:ind w:left="26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line="20" w:lineRule="exact"/>
              <w:rPr>
                <w:sz w:val="1"/>
                <w:szCs w:val="1"/>
                <w:color w:val="auto"/>
              </w:rPr>
            </w:pPr>
          </w:p>
        </w:tc>
      </w:tr>
      <w:tr>
        <w:trPr>
          <w:trHeight w:val="208"/>
        </w:trPr>
        <w:tc>
          <w:tcPr>
            <w:tcW w:w="120" w:type="dxa"/>
            <w:vAlign w:val="bottom"/>
            <w:vMerge w:val="continue"/>
          </w:tcPr>
          <w:p>
            <w:pPr>
              <w:spacing w:after="0"/>
              <w:rPr>
                <w:sz w:val="18"/>
                <w:szCs w:val="18"/>
                <w:color w:val="auto"/>
              </w:rPr>
            </w:pPr>
          </w:p>
        </w:tc>
        <w:tc>
          <w:tcPr>
            <w:tcW w:w="200" w:type="dxa"/>
            <w:vAlign w:val="bottom"/>
            <w:gridSpan w:val="4"/>
            <w:vMerge w:val="restart"/>
          </w:tcPr>
          <w:p>
            <w:pPr>
              <w:spacing w:after="0"/>
              <w:rPr>
                <w:sz w:val="20"/>
                <w:szCs w:val="20"/>
                <w:color w:val="auto"/>
              </w:rPr>
            </w:pPr>
            <w:r>
              <w:rPr>
                <w:rFonts w:ascii="Arial" w:cs="Arial" w:eastAsia="Arial" w:hAnsi="Arial"/>
                <w:sz w:val="17"/>
                <w:szCs w:val="17"/>
                <w:b w:val="1"/>
                <w:bCs w:val="1"/>
                <w:color w:val="0000EE"/>
                <w:w w:val="94"/>
              </w:rPr>
              <w:t>33</w:t>
            </w:r>
          </w:p>
        </w:tc>
        <w:tc>
          <w:tcPr>
            <w:tcW w:w="340" w:type="dxa"/>
            <w:vAlign w:val="bottom"/>
            <w:vMerge w:val="continue"/>
          </w:tcPr>
          <w:p>
            <w:pPr>
              <w:spacing w:after="0"/>
              <w:rPr>
                <w:sz w:val="18"/>
                <w:szCs w:val="18"/>
                <w:color w:val="auto"/>
              </w:rPr>
            </w:pPr>
          </w:p>
        </w:tc>
        <w:tc>
          <w:tcPr>
            <w:tcW w:w="3180" w:type="dxa"/>
            <w:vAlign w:val="bottom"/>
            <w:gridSpan w:val="24"/>
            <w:vMerge w:val="restart"/>
          </w:tcPr>
          <w:p>
            <w:pPr>
              <w:spacing w:after="0"/>
              <w:rPr>
                <w:sz w:val="20"/>
                <w:szCs w:val="20"/>
                <w:color w:val="auto"/>
              </w:rPr>
            </w:pPr>
            <w:r>
              <w:rPr>
                <w:rFonts w:ascii="Arial" w:cs="Arial" w:eastAsia="Arial" w:hAnsi="Arial"/>
                <w:sz w:val="17"/>
                <w:szCs w:val="17"/>
                <w:b w:val="1"/>
                <w:bCs w:val="1"/>
                <w:color w:val="0000EE"/>
              </w:rPr>
              <w:t>EXECUTIVE OFFICERS</w:t>
            </w:r>
          </w:p>
        </w:tc>
        <w:tc>
          <w:tcPr>
            <w:tcW w:w="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200" w:type="dxa"/>
            <w:vAlign w:val="bottom"/>
            <w:gridSpan w:val="4"/>
            <w:vMerge w:val="continue"/>
          </w:tcPr>
          <w:p>
            <w:pPr>
              <w:spacing w:after="0"/>
              <w:rPr>
                <w:sz w:val="11"/>
                <w:szCs w:val="11"/>
                <w:color w:val="auto"/>
              </w:rPr>
            </w:pPr>
          </w:p>
        </w:tc>
        <w:tc>
          <w:tcPr>
            <w:tcW w:w="340" w:type="dxa"/>
            <w:vAlign w:val="bottom"/>
          </w:tcPr>
          <w:p>
            <w:pPr>
              <w:spacing w:after="0"/>
              <w:rPr>
                <w:sz w:val="11"/>
                <w:szCs w:val="11"/>
                <w:color w:val="auto"/>
              </w:rPr>
            </w:pPr>
          </w:p>
        </w:tc>
        <w:tc>
          <w:tcPr>
            <w:tcW w:w="3180" w:type="dxa"/>
            <w:vAlign w:val="bottom"/>
            <w:gridSpan w:val="24"/>
            <w:vMerge w:val="continue"/>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340" w:type="dxa"/>
            <w:vAlign w:val="bottom"/>
            <w:tcBorders>
              <w:bottom w:val="single" w:sz="8" w:color="E7417A"/>
            </w:tcBorders>
          </w:tcPr>
          <w:p>
            <w:pPr>
              <w:spacing w:after="0" w:line="20" w:lineRule="exact"/>
              <w:rPr>
                <w:sz w:val="1"/>
                <w:szCs w:val="1"/>
                <w:color w:val="auto"/>
              </w:rPr>
            </w:pPr>
          </w:p>
        </w:tc>
        <w:tc>
          <w:tcPr>
            <w:tcW w:w="820" w:type="dxa"/>
            <w:vAlign w:val="bottom"/>
            <w:tcBorders>
              <w:top w:val="single" w:sz="8" w:color="0000EE"/>
              <w:bottom w:val="single" w:sz="8" w:color="E7417A"/>
            </w:tcBorders>
          </w:tcPr>
          <w:p>
            <w:pPr>
              <w:spacing w:after="0" w:line="20" w:lineRule="exact"/>
              <w:rPr>
                <w:sz w:val="1"/>
                <w:szCs w:val="1"/>
                <w:color w:val="auto"/>
              </w:rPr>
            </w:pPr>
          </w:p>
        </w:tc>
        <w:tc>
          <w:tcPr>
            <w:tcW w:w="160" w:type="dxa"/>
            <w:vAlign w:val="bottom"/>
            <w:tcBorders>
              <w:top w:val="single" w:sz="8" w:color="0000EE"/>
              <w:bottom w:val="single" w:sz="8" w:color="E7417A"/>
            </w:tcBorders>
          </w:tcPr>
          <w:p>
            <w:pPr>
              <w:spacing w:after="0" w:line="20" w:lineRule="exact"/>
              <w:rPr>
                <w:sz w:val="1"/>
                <w:szCs w:val="1"/>
                <w:color w:val="auto"/>
              </w:rPr>
            </w:pPr>
          </w:p>
        </w:tc>
        <w:tc>
          <w:tcPr>
            <w:tcW w:w="40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100" w:type="dxa"/>
            <w:vAlign w:val="bottom"/>
            <w:tcBorders>
              <w:top w:val="single" w:sz="8" w:color="0000EE"/>
              <w:bottom w:val="single" w:sz="8" w:color="E7417A"/>
            </w:tcBorders>
          </w:tcPr>
          <w:p>
            <w:pPr>
              <w:spacing w:after="0" w:line="20" w:lineRule="exact"/>
              <w:rPr>
                <w:sz w:val="1"/>
                <w:szCs w:val="1"/>
                <w:color w:val="auto"/>
              </w:rPr>
            </w:pPr>
          </w:p>
        </w:tc>
        <w:tc>
          <w:tcPr>
            <w:tcW w:w="100" w:type="dxa"/>
            <w:vAlign w:val="bottom"/>
            <w:tcBorders>
              <w:top w:val="single" w:sz="8" w:color="0000EE"/>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24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160" w:type="dxa"/>
            <w:vAlign w:val="bottom"/>
            <w:tcBorders>
              <w:bottom w:val="single" w:sz="8" w:color="E7417A"/>
            </w:tcBorders>
          </w:tcPr>
          <w:p>
            <w:pPr>
              <w:spacing w:after="0" w:line="20" w:lineRule="exact"/>
              <w:rPr>
                <w:sz w:val="1"/>
                <w:szCs w:val="1"/>
                <w:color w:val="auto"/>
              </w:rPr>
            </w:pPr>
          </w:p>
        </w:tc>
        <w:tc>
          <w:tcPr>
            <w:tcW w:w="8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16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38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20" w:type="dxa"/>
            <w:vAlign w:val="bottom"/>
          </w:tcPr>
          <w:p>
            <w:pPr>
              <w:spacing w:after="0" w:line="163" w:lineRule="exact"/>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ind w:left="120"/>
              <w:spacing w:after="0" w:line="163" w:lineRule="exact"/>
              <w:rPr>
                <w:sz w:val="20"/>
                <w:szCs w:val="20"/>
                <w:color w:val="auto"/>
              </w:rPr>
            </w:pPr>
            <w:r>
              <w:rPr>
                <w:rFonts w:ascii="Arial" w:cs="Arial" w:eastAsia="Arial" w:hAnsi="Arial"/>
                <w:sz w:val="17"/>
                <w:szCs w:val="17"/>
                <w:b w:val="1"/>
                <w:bCs w:val="1"/>
                <w:color w:val="auto"/>
              </w:rPr>
              <w:t>​ ​</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ind w:left="260"/>
              <w:spacing w:after="0" w:line="163"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bl>
    <w:p>
      <w:pPr>
        <w:ind w:left="1580" w:hanging="548"/>
        <w:spacing w:after="0"/>
        <w:tabs>
          <w:tab w:leader="none" w:pos="1580" w:val="left"/>
        </w:tabs>
        <w:numPr>
          <w:ilvl w:val="1"/>
          <w:numId w:val="7"/>
        </w:numPr>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t>EXECUTIVE COMPENSATION</w:t>
      </w:r>
    </w:p>
    <w:p>
      <w:pPr>
        <w:spacing w:after="0" w:line="23" w:lineRule="exact"/>
        <w:rPr>
          <w:rFonts w:ascii="Arial" w:cs="Arial" w:eastAsia="Arial" w:hAnsi="Arial"/>
          <w:sz w:val="17"/>
          <w:szCs w:val="17"/>
          <w:b w:val="1"/>
          <w:bCs w:val="1"/>
          <w:u w:val="single" w:color="auto"/>
          <w:color w:val="0000EE"/>
        </w:rPr>
      </w:pPr>
    </w:p>
    <w:p>
      <w:pPr>
        <w:ind w:left="1580" w:right="60" w:hanging="656"/>
        <w:spacing w:after="0" w:line="241"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b w:val="1"/>
          <w:bCs w:val="1"/>
          <w:u w:val="single" w:color="auto"/>
          <w:color w:val="62259D"/>
        </w:rPr>
        <w:t>35</w:t>
      </w:r>
      <w:r>
        <w:rPr>
          <w:rFonts w:ascii="Arial" w:cs="Arial" w:eastAsia="Arial" w:hAnsi="Arial"/>
          <w:sz w:val="16"/>
          <w:szCs w:val="16"/>
          <w:b w:val="1"/>
          <w:bCs w:val="1"/>
          <w:color w:val="62259D"/>
        </w:rPr>
        <w:t xml:space="preserve"> </w:t>
      </w:r>
      <w:r>
        <w:rPr>
          <w:rFonts w:ascii="Arial" w:cs="Arial" w:eastAsia="Arial" w:hAnsi="Arial"/>
          <w:sz w:val="16"/>
          <w:szCs w:val="16"/>
          <w:color w:val="000000"/>
        </w:rPr>
        <w:t>​ ​</w:t>
      </w:r>
      <w:r>
        <w:rPr>
          <w:rFonts w:ascii="Arial" w:cs="Arial" w:eastAsia="Arial" w:hAnsi="Arial"/>
          <w:sz w:val="16"/>
          <w:szCs w:val="16"/>
          <w:b w:val="1"/>
          <w:bCs w:val="1"/>
          <w:color w:val="62259D"/>
        </w:rPr>
        <w:t xml:space="preserve"> </w:t>
      </w:r>
      <w:r>
        <w:rPr>
          <w:rFonts w:ascii="Arial" w:cs="Arial" w:eastAsia="Arial" w:hAnsi="Arial"/>
          <w:sz w:val="16"/>
          <w:szCs w:val="16"/>
          <w:b w:val="1"/>
          <w:bCs w:val="1"/>
          <w:u w:val="single" w:color="auto"/>
          <w:color w:val="62259D"/>
        </w:rPr>
        <w:t>PROPOSAL 3</w:t>
      </w:r>
      <w:r>
        <w:rPr>
          <w:rFonts w:ascii="Arial" w:cs="Arial" w:eastAsia="Arial" w:hAnsi="Arial"/>
          <w:sz w:val="16"/>
          <w:szCs w:val="16"/>
          <w:u w:val="single" w:color="auto"/>
          <w:color w:val="62259D"/>
        </w:rPr>
        <w:t> — Approval, on a Non-Binding</w:t>
      </w:r>
      <w:r>
        <w:rPr>
          <w:rFonts w:ascii="Arial" w:cs="Arial" w:eastAsia="Arial" w:hAnsi="Arial"/>
          <w:sz w:val="16"/>
          <w:szCs w:val="16"/>
          <w:b w:val="1"/>
          <w:bCs w:val="1"/>
          <w:color w:val="62259D"/>
        </w:rPr>
        <w:t xml:space="preserve"> </w:t>
      </w:r>
      <w:r>
        <w:rPr>
          <w:rFonts w:ascii="Arial" w:cs="Arial" w:eastAsia="Arial" w:hAnsi="Arial"/>
          <w:sz w:val="16"/>
          <w:szCs w:val="16"/>
          <w:color w:val="000000"/>
        </w:rPr>
        <w:t>​</w:t>
      </w:r>
      <w:r>
        <w:rPr>
          <w:rFonts w:ascii="Arial" w:cs="Arial" w:eastAsia="Arial" w:hAnsi="Arial"/>
          <w:sz w:val="16"/>
          <w:szCs w:val="16"/>
          <w:b w:val="1"/>
          <w:bCs w:val="1"/>
          <w:color w:val="62259D"/>
        </w:rPr>
        <w:t xml:space="preserve"> </w:t>
      </w:r>
      <w:r>
        <w:rPr>
          <w:rFonts w:ascii="Arial" w:cs="Arial" w:eastAsia="Arial" w:hAnsi="Arial"/>
          <w:sz w:val="16"/>
          <w:szCs w:val="16"/>
          <w:u w:val="single" w:color="auto"/>
          <w:color w:val="62259D"/>
        </w:rPr>
        <w:t>Advisory Basis, of the</w:t>
      </w:r>
    </w:p>
    <w:p>
      <w:pPr>
        <w:ind w:left="1580" w:right="660"/>
        <w:spacing w:after="0" w:line="218" w:lineRule="auto"/>
        <w:rPr>
          <w:rFonts w:ascii="Arial" w:cs="Arial" w:eastAsia="Arial" w:hAnsi="Arial"/>
          <w:sz w:val="16"/>
          <w:szCs w:val="16"/>
          <w:color w:val="auto"/>
        </w:rPr>
      </w:pPr>
      <w:r>
        <w:rPr>
          <w:rFonts w:ascii="Arial" w:cs="Arial" w:eastAsia="Arial" w:hAnsi="Arial"/>
          <w:sz w:val="16"/>
          <w:szCs w:val="16"/>
          <w:u w:val="single" w:color="auto"/>
          <w:color w:val="62259D"/>
        </w:rPr>
        <w:t xml:space="preserve">Compensation of our Named Executive </w:t>
      </w:r>
      <w:r>
        <w:rPr>
          <w:rFonts w:ascii="Arial" w:cs="Arial" w:eastAsia="Arial" w:hAnsi="Arial"/>
          <w:sz w:val="16"/>
          <w:szCs w:val="16"/>
          <w:color w:val="62259D"/>
        </w:rPr>
        <w:t>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-452755</wp:posOffset>
            </wp:positionV>
            <wp:extent cx="2674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196"/>
        </w:trPr>
        <w:tc>
          <w:tcPr>
            <w:tcW w:w="300" w:type="dxa"/>
            <w:vAlign w:val="bottom"/>
            <w:tcBorders>
              <w:top w:val="single" w:sz="8" w:color="4C4C4C"/>
            </w:tcBorders>
            <w:gridSpan w:val="2"/>
          </w:tcPr>
          <w:p>
            <w:pPr>
              <w:jc w:val="right"/>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36</w:t>
            </w:r>
          </w:p>
        </w:tc>
        <w:tc>
          <w:tcPr>
            <w:tcW w:w="360" w:type="dxa"/>
            <w:vAlign w:val="bottom"/>
            <w:tcBorders>
              <w:top w:val="single" w:sz="8" w:color="4C4C4C"/>
            </w:tcBorders>
          </w:tcPr>
          <w:p>
            <w:pPr>
              <w:ind w:left="140"/>
              <w:spacing w:after="0"/>
              <w:rPr>
                <w:sz w:val="20"/>
                <w:szCs w:val="20"/>
                <w:color w:val="auto"/>
              </w:rPr>
            </w:pPr>
            <w:r>
              <w:rPr>
                <w:rFonts w:ascii="Arial" w:cs="Arial" w:eastAsia="Arial" w:hAnsi="Arial"/>
                <w:sz w:val="16"/>
                <w:szCs w:val="16"/>
                <w:color w:val="auto"/>
              </w:rPr>
              <w:t>​ ​</w:t>
            </w:r>
          </w:p>
        </w:tc>
        <w:tc>
          <w:tcPr>
            <w:tcW w:w="3300" w:type="dxa"/>
            <w:vAlign w:val="bottom"/>
            <w:tcBorders>
              <w:top w:val="single" w:sz="8" w:color="4C4C4C"/>
            </w:tcBorders>
            <w:gridSpan w:val="7"/>
          </w:tcPr>
          <w:p>
            <w:pPr>
              <w:spacing w:after="0"/>
              <w:rPr>
                <w:sz w:val="20"/>
                <w:szCs w:val="20"/>
                <w:color w:val="auto"/>
              </w:rPr>
            </w:pPr>
            <w:r>
              <w:rPr>
                <w:rFonts w:ascii="Arial" w:cs="Arial" w:eastAsia="Arial" w:hAnsi="Arial"/>
                <w:sz w:val="16"/>
                <w:szCs w:val="16"/>
                <w:color w:val="0000EE"/>
              </w:rPr>
              <w:t>Compensation Discussion and Analysis</w:t>
            </w:r>
          </w:p>
        </w:tc>
        <w:tc>
          <w:tcPr>
            <w:tcW w:w="260" w:type="dxa"/>
            <w:vAlign w:val="bottom"/>
            <w:tcBorders>
              <w:top w:val="single" w:sz="8" w:color="4C4C4C"/>
            </w:tcBorders>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tcBorders>
          </w:tcPr>
          <w:p>
            <w:pPr>
              <w:jc w:val="right"/>
              <w:spacing w:after="0" w:line="169" w:lineRule="exact"/>
              <w:rPr>
                <w:sz w:val="20"/>
                <w:szCs w:val="20"/>
                <w:color w:val="auto"/>
              </w:rPr>
            </w:pPr>
            <w:r>
              <w:rPr>
                <w:rFonts w:ascii="Arial" w:cs="Arial" w:eastAsia="Arial" w:hAnsi="Arial"/>
                <w:sz w:val="16"/>
                <w:szCs w:val="16"/>
                <w:color w:val="0000EE"/>
                <w:w w:val="89"/>
              </w:rPr>
              <w:t>51</w:t>
            </w:r>
          </w:p>
        </w:tc>
        <w:tc>
          <w:tcPr>
            <w:tcW w:w="360" w:type="dxa"/>
            <w:vAlign w:val="bottom"/>
          </w:tcPr>
          <w:p>
            <w:pPr>
              <w:ind w:left="140"/>
              <w:spacing w:after="0" w:line="169" w:lineRule="exact"/>
              <w:rPr>
                <w:sz w:val="20"/>
                <w:szCs w:val="20"/>
                <w:color w:val="auto"/>
              </w:rPr>
            </w:pPr>
            <w:r>
              <w:rPr>
                <w:rFonts w:ascii="Arial" w:cs="Arial" w:eastAsia="Arial" w:hAnsi="Arial"/>
                <w:sz w:val="16"/>
                <w:szCs w:val="16"/>
                <w:color w:val="auto"/>
              </w:rPr>
              <w:t>​ ​</w:t>
            </w:r>
          </w:p>
        </w:tc>
        <w:tc>
          <w:tcPr>
            <w:tcW w:w="2940" w:type="dxa"/>
            <w:vAlign w:val="bottom"/>
            <w:tcBorders>
              <w:top w:val="single" w:sz="8" w:color="0000EE"/>
            </w:tcBorders>
            <w:gridSpan w:val="5"/>
          </w:tcPr>
          <w:p>
            <w:pPr>
              <w:spacing w:after="0" w:line="169" w:lineRule="exact"/>
              <w:rPr>
                <w:sz w:val="20"/>
                <w:szCs w:val="20"/>
                <w:color w:val="auto"/>
              </w:rPr>
            </w:pPr>
            <w:r>
              <w:rPr>
                <w:rFonts w:ascii="Arial" w:cs="Arial" w:eastAsia="Arial" w:hAnsi="Arial"/>
                <w:sz w:val="16"/>
                <w:szCs w:val="16"/>
                <w:color w:val="0000EE"/>
              </w:rPr>
              <w:t>Compensation Committee Report</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ind w:left="14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bottom w:val="single" w:sz="8" w:color="0000EE"/>
            </w:tcBorders>
          </w:tcPr>
          <w:p>
            <w:pPr>
              <w:jc w:val="right"/>
              <w:spacing w:after="0" w:line="169" w:lineRule="exact"/>
              <w:rPr>
                <w:sz w:val="20"/>
                <w:szCs w:val="20"/>
                <w:color w:val="auto"/>
              </w:rPr>
            </w:pPr>
            <w:r>
              <w:rPr>
                <w:rFonts w:ascii="Arial" w:cs="Arial" w:eastAsia="Arial" w:hAnsi="Arial"/>
                <w:sz w:val="16"/>
                <w:szCs w:val="16"/>
                <w:color w:val="0000EE"/>
                <w:w w:val="89"/>
              </w:rPr>
              <w:t>52</w:t>
            </w:r>
          </w:p>
        </w:tc>
        <w:tc>
          <w:tcPr>
            <w:tcW w:w="360" w:type="dxa"/>
            <w:vAlign w:val="bottom"/>
          </w:tcPr>
          <w:p>
            <w:pPr>
              <w:ind w:left="140"/>
              <w:spacing w:after="0" w:line="169" w:lineRule="exact"/>
              <w:rPr>
                <w:sz w:val="20"/>
                <w:szCs w:val="20"/>
                <w:color w:val="auto"/>
              </w:rPr>
            </w:pPr>
            <w:r>
              <w:rPr>
                <w:rFonts w:ascii="Arial" w:cs="Arial" w:eastAsia="Arial" w:hAnsi="Arial"/>
                <w:sz w:val="16"/>
                <w:szCs w:val="16"/>
                <w:color w:val="auto"/>
              </w:rPr>
              <w:t>​ ​</w:t>
            </w:r>
          </w:p>
        </w:tc>
        <w:tc>
          <w:tcPr>
            <w:tcW w:w="2380" w:type="dxa"/>
            <w:vAlign w:val="bottom"/>
            <w:tcBorders>
              <w:top w:val="single" w:sz="8" w:color="0000EE"/>
              <w:bottom w:val="single" w:sz="8" w:color="0000EE"/>
            </w:tcBorders>
            <w:gridSpan w:val="2"/>
          </w:tcPr>
          <w:p>
            <w:pPr>
              <w:spacing w:after="0" w:line="169" w:lineRule="exact"/>
              <w:rPr>
                <w:sz w:val="20"/>
                <w:szCs w:val="20"/>
                <w:color w:val="auto"/>
              </w:rPr>
            </w:pPr>
            <w:r>
              <w:rPr>
                <w:rFonts w:ascii="Arial" w:cs="Arial" w:eastAsia="Arial" w:hAnsi="Arial"/>
                <w:sz w:val="16"/>
                <w:szCs w:val="16"/>
                <w:color w:val="0000EE"/>
              </w:rPr>
              <w:t>Executive Compensation Tables</w:t>
            </w:r>
          </w:p>
        </w:tc>
        <w:tc>
          <w:tcPr>
            <w:tcW w:w="100" w:type="dxa"/>
            <w:vAlign w:val="bottom"/>
            <w:tcBorders>
              <w:top w:val="single" w:sz="8" w:color="0000EE"/>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ind w:left="14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i w:val="1"/>
                <w:iCs w:val="1"/>
                <w:color w:val="auto"/>
              </w:rPr>
              <w:t>​</w:t>
            </w:r>
          </w:p>
        </w:tc>
        <w:tc>
          <w:tcPr>
            <w:tcW w:w="180" w:type="dxa"/>
            <w:vAlign w:val="bottom"/>
          </w:tcPr>
          <w:p>
            <w:pPr>
              <w:jc w:val="right"/>
              <w:spacing w:after="0" w:line="169" w:lineRule="exact"/>
              <w:rPr>
                <w:sz w:val="20"/>
                <w:szCs w:val="20"/>
                <w:color w:val="auto"/>
              </w:rPr>
            </w:pPr>
            <w:r>
              <w:rPr>
                <w:rFonts w:ascii="Arial" w:cs="Arial" w:eastAsia="Arial" w:hAnsi="Arial"/>
                <w:sz w:val="16"/>
                <w:szCs w:val="16"/>
                <w:i w:val="1"/>
                <w:iCs w:val="1"/>
                <w:color w:val="0000EE"/>
                <w:w w:val="89"/>
              </w:rPr>
              <w:t>52</w:t>
            </w:r>
          </w:p>
        </w:tc>
        <w:tc>
          <w:tcPr>
            <w:tcW w:w="360" w:type="dxa"/>
            <w:vAlign w:val="bottom"/>
          </w:tcPr>
          <w:p>
            <w:pPr>
              <w:ind w:left="140"/>
              <w:spacing w:after="0" w:line="169" w:lineRule="exact"/>
              <w:rPr>
                <w:sz w:val="20"/>
                <w:szCs w:val="20"/>
                <w:color w:val="auto"/>
              </w:rPr>
            </w:pPr>
            <w:r>
              <w:rPr>
                <w:rFonts w:ascii="Arial" w:cs="Arial" w:eastAsia="Arial" w:hAnsi="Arial"/>
                <w:sz w:val="16"/>
                <w:szCs w:val="16"/>
                <w:i w:val="1"/>
                <w:iCs w:val="1"/>
                <w:color w:val="auto"/>
              </w:rPr>
              <w:t>​ ​</w:t>
            </w:r>
          </w:p>
        </w:tc>
        <w:tc>
          <w:tcPr>
            <w:tcW w:w="160" w:type="dxa"/>
            <w:vAlign w:val="bottom"/>
          </w:tcPr>
          <w:p>
            <w:pPr>
              <w:spacing w:after="0"/>
              <w:rPr>
                <w:sz w:val="14"/>
                <w:szCs w:val="14"/>
                <w:color w:val="auto"/>
              </w:rPr>
            </w:pPr>
          </w:p>
        </w:tc>
        <w:tc>
          <w:tcPr>
            <w:tcW w:w="3140" w:type="dxa"/>
            <w:vAlign w:val="bottom"/>
            <w:gridSpan w:val="6"/>
          </w:tcPr>
          <w:p>
            <w:pPr>
              <w:spacing w:after="0" w:line="169" w:lineRule="exact"/>
              <w:rPr>
                <w:sz w:val="20"/>
                <w:szCs w:val="20"/>
                <w:color w:val="auto"/>
              </w:rPr>
            </w:pPr>
            <w:r>
              <w:rPr>
                <w:rFonts w:ascii="Arial" w:cs="Arial" w:eastAsia="Arial" w:hAnsi="Arial"/>
                <w:sz w:val="16"/>
                <w:szCs w:val="16"/>
                <w:i w:val="1"/>
                <w:iCs w:val="1"/>
                <w:color w:val="0000EE"/>
              </w:rPr>
              <w:t>2024 Summary Compensation Table</w:t>
            </w:r>
          </w:p>
        </w:tc>
        <w:tc>
          <w:tcPr>
            <w:tcW w:w="260" w:type="dxa"/>
            <w:vAlign w:val="bottom"/>
          </w:tcPr>
          <w:p>
            <w:pPr>
              <w:ind w:left="140"/>
              <w:spacing w:after="0" w:line="169" w:lineRule="exact"/>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rPr>
                <w:sz w:val="20"/>
                <w:szCs w:val="20"/>
                <w:color w:val="auto"/>
              </w:rPr>
            </w:pPr>
            <w:r>
              <w:rPr>
                <w:rFonts w:ascii="Arial" w:cs="Arial" w:eastAsia="Arial" w:hAnsi="Arial"/>
                <w:sz w:val="16"/>
                <w:szCs w:val="16"/>
                <w:i w:val="1"/>
                <w:iCs w:val="1"/>
                <w:color w:val="auto"/>
              </w:rPr>
              <w:t>​</w:t>
            </w:r>
          </w:p>
        </w:tc>
        <w:tc>
          <w:tcPr>
            <w:tcW w:w="180" w:type="dxa"/>
            <w:vAlign w:val="bottom"/>
            <w:shd w:val="clear" w:color="auto" w:fill="0000EE"/>
          </w:tcPr>
          <w:p>
            <w:pPr>
              <w:spacing w:after="0" w:line="20" w:lineRule="exact"/>
              <w:rPr>
                <w:sz w:val="1"/>
                <w:szCs w:val="1"/>
                <w:color w:val="auto"/>
              </w:rPr>
            </w:pPr>
          </w:p>
        </w:tc>
        <w:tc>
          <w:tcPr>
            <w:tcW w:w="360" w:type="dxa"/>
            <w:vAlign w:val="bottom"/>
            <w:vMerge w:val="restart"/>
          </w:tcPr>
          <w:p>
            <w:pPr>
              <w:ind w:left="140"/>
              <w:spacing w:after="0"/>
              <w:rPr>
                <w:sz w:val="20"/>
                <w:szCs w:val="20"/>
                <w:color w:val="auto"/>
              </w:rPr>
            </w:pPr>
            <w:r>
              <w:rPr>
                <w:rFonts w:ascii="Arial" w:cs="Arial" w:eastAsia="Arial" w:hAnsi="Arial"/>
                <w:sz w:val="16"/>
                <w:szCs w:val="16"/>
                <w:i w:val="1"/>
                <w:iCs w:val="1"/>
                <w:color w:val="auto"/>
              </w:rPr>
              <w:t>​ ​</w:t>
            </w:r>
          </w:p>
        </w:tc>
        <w:tc>
          <w:tcPr>
            <w:tcW w:w="16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vMerge w:val="restart"/>
          </w:tcPr>
          <w:p>
            <w:pPr>
              <w:ind w:left="140"/>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line="20" w:lineRule="exact"/>
              <w:rPr>
                <w:sz w:val="1"/>
                <w:szCs w:val="1"/>
                <w:color w:val="auto"/>
              </w:rPr>
            </w:pPr>
          </w:p>
        </w:tc>
      </w:tr>
      <w:tr>
        <w:trPr>
          <w:trHeight w:val="169"/>
        </w:trPr>
        <w:tc>
          <w:tcPr>
            <w:tcW w:w="120" w:type="dxa"/>
            <w:vAlign w:val="bottom"/>
            <w:vMerge w:val="continue"/>
          </w:tcPr>
          <w:p>
            <w:pPr>
              <w:spacing w:after="0"/>
              <w:rPr>
                <w:sz w:val="14"/>
                <w:szCs w:val="14"/>
                <w:color w:val="auto"/>
              </w:rPr>
            </w:pPr>
          </w:p>
        </w:tc>
        <w:tc>
          <w:tcPr>
            <w:tcW w:w="180" w:type="dxa"/>
            <w:vAlign w:val="bottom"/>
          </w:tcPr>
          <w:p>
            <w:pPr>
              <w:jc w:val="right"/>
              <w:spacing w:after="0" w:line="169" w:lineRule="exact"/>
              <w:rPr>
                <w:sz w:val="20"/>
                <w:szCs w:val="20"/>
                <w:color w:val="auto"/>
              </w:rPr>
            </w:pPr>
            <w:r>
              <w:rPr>
                <w:rFonts w:ascii="Arial" w:cs="Arial" w:eastAsia="Arial" w:hAnsi="Arial"/>
                <w:sz w:val="16"/>
                <w:szCs w:val="16"/>
                <w:i w:val="1"/>
                <w:iCs w:val="1"/>
                <w:color w:val="0000EE"/>
                <w:w w:val="89"/>
              </w:rPr>
              <w:t>53</w:t>
            </w:r>
          </w:p>
        </w:tc>
        <w:tc>
          <w:tcPr>
            <w:tcW w:w="3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140" w:type="dxa"/>
            <w:vAlign w:val="bottom"/>
            <w:gridSpan w:val="6"/>
          </w:tcPr>
          <w:p>
            <w:pPr>
              <w:spacing w:after="0" w:line="169" w:lineRule="exact"/>
              <w:rPr>
                <w:sz w:val="20"/>
                <w:szCs w:val="20"/>
                <w:color w:val="auto"/>
              </w:rPr>
            </w:pPr>
            <w:r>
              <w:rPr>
                <w:rFonts w:ascii="Arial" w:cs="Arial" w:eastAsia="Arial" w:hAnsi="Arial"/>
                <w:sz w:val="16"/>
                <w:szCs w:val="16"/>
                <w:i w:val="1"/>
                <w:iCs w:val="1"/>
                <w:color w:val="0000EE"/>
              </w:rPr>
              <w:t>Grants of Plan-Based Awards in 2024</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line="155" w:lineRule="exact"/>
              <w:rPr>
                <w:sz w:val="20"/>
                <w:szCs w:val="20"/>
                <w:color w:val="auto"/>
              </w:rPr>
            </w:pPr>
            <w:r>
              <w:rPr>
                <w:rFonts w:ascii="Arial" w:cs="Arial" w:eastAsia="Arial" w:hAnsi="Arial"/>
                <w:sz w:val="16"/>
                <w:szCs w:val="16"/>
                <w:i w:val="1"/>
                <w:iCs w:val="1"/>
                <w:color w:val="auto"/>
              </w:rPr>
              <w:t>​</w:t>
            </w:r>
          </w:p>
        </w:tc>
        <w:tc>
          <w:tcPr>
            <w:tcW w:w="180" w:type="dxa"/>
            <w:vAlign w:val="bottom"/>
            <w:tcBorders>
              <w:top w:val="single" w:sz="8" w:color="0000EE"/>
              <w:bottom w:val="single" w:sz="8" w:color="0000EE"/>
            </w:tcBorders>
          </w:tcPr>
          <w:p>
            <w:pPr>
              <w:jc w:val="right"/>
              <w:spacing w:after="0" w:line="155" w:lineRule="exact"/>
              <w:rPr>
                <w:sz w:val="20"/>
                <w:szCs w:val="20"/>
                <w:color w:val="auto"/>
              </w:rPr>
            </w:pPr>
            <w:r>
              <w:rPr>
                <w:rFonts w:ascii="Arial" w:cs="Arial" w:eastAsia="Arial" w:hAnsi="Arial"/>
                <w:sz w:val="16"/>
                <w:szCs w:val="16"/>
                <w:i w:val="1"/>
                <w:iCs w:val="1"/>
                <w:color w:val="0000EE"/>
                <w:w w:val="89"/>
              </w:rPr>
              <w:t>55</w:t>
            </w:r>
          </w:p>
        </w:tc>
        <w:tc>
          <w:tcPr>
            <w:tcW w:w="360" w:type="dxa"/>
            <w:vAlign w:val="bottom"/>
          </w:tcPr>
          <w:p>
            <w:pPr>
              <w:ind w:left="140"/>
              <w:spacing w:after="0" w:line="155" w:lineRule="exact"/>
              <w:rPr>
                <w:sz w:val="20"/>
                <w:szCs w:val="20"/>
                <w:color w:val="auto"/>
              </w:rPr>
            </w:pPr>
            <w:r>
              <w:rPr>
                <w:rFonts w:ascii="Arial" w:cs="Arial" w:eastAsia="Arial" w:hAnsi="Arial"/>
                <w:sz w:val="16"/>
                <w:szCs w:val="16"/>
                <w:i w:val="1"/>
                <w:iCs w:val="1"/>
                <w:color w:val="auto"/>
              </w:rPr>
              <w:t>​ ​</w:t>
            </w:r>
          </w:p>
        </w:tc>
        <w:tc>
          <w:tcPr>
            <w:tcW w:w="160" w:type="dxa"/>
            <w:vAlign w:val="bottom"/>
          </w:tcPr>
          <w:p>
            <w:pPr>
              <w:spacing w:after="0"/>
              <w:rPr>
                <w:sz w:val="13"/>
                <w:szCs w:val="13"/>
                <w:color w:val="auto"/>
              </w:rPr>
            </w:pPr>
          </w:p>
        </w:tc>
        <w:tc>
          <w:tcPr>
            <w:tcW w:w="2800" w:type="dxa"/>
            <w:vAlign w:val="bottom"/>
            <w:tcBorders>
              <w:top w:val="single" w:sz="8" w:color="0000EE"/>
              <w:bottom w:val="single" w:sz="8" w:color="0000EE"/>
            </w:tcBorders>
            <w:gridSpan w:val="5"/>
          </w:tcPr>
          <w:p>
            <w:pPr>
              <w:spacing w:after="0" w:line="155" w:lineRule="exact"/>
              <w:rPr>
                <w:sz w:val="20"/>
                <w:szCs w:val="20"/>
                <w:color w:val="auto"/>
              </w:rPr>
            </w:pPr>
            <w:r>
              <w:rPr>
                <w:rFonts w:ascii="Arial" w:cs="Arial" w:eastAsia="Arial" w:hAnsi="Arial"/>
                <w:sz w:val="16"/>
                <w:szCs w:val="16"/>
                <w:i w:val="1"/>
                <w:iCs w:val="1"/>
                <w:color w:val="0000EE"/>
              </w:rPr>
              <w:t>Outstanding Equity Awards at Fiscal</w:t>
            </w:r>
          </w:p>
        </w:tc>
        <w:tc>
          <w:tcPr>
            <w:tcW w:w="340" w:type="dxa"/>
            <w:vAlign w:val="bottom"/>
            <w:tcBorders>
              <w:bottom w:val="single" w:sz="8" w:color="0000EE"/>
            </w:tcBorders>
          </w:tcPr>
          <w:p>
            <w:pPr>
              <w:spacing w:after="0" w:line="155" w:lineRule="exact"/>
              <w:rPr>
                <w:sz w:val="20"/>
                <w:szCs w:val="20"/>
                <w:color w:val="auto"/>
              </w:rPr>
            </w:pPr>
            <w:r>
              <w:rPr>
                <w:rFonts w:ascii="Arial" w:cs="Arial" w:eastAsia="Arial" w:hAnsi="Arial"/>
                <w:sz w:val="16"/>
                <w:szCs w:val="16"/>
                <w:i w:val="1"/>
                <w:iCs w:val="1"/>
                <w:color w:val="0000EE"/>
                <w:w w:val="81"/>
              </w:rPr>
              <w:t>Year-</w:t>
            </w:r>
          </w:p>
        </w:tc>
        <w:tc>
          <w:tcPr>
            <w:tcW w:w="260" w:type="dxa"/>
            <w:vAlign w:val="bottom"/>
          </w:tcPr>
          <w:p>
            <w:pPr>
              <w:ind w:left="140"/>
              <w:spacing w:after="0" w:line="155" w:lineRule="exact"/>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bl>
    <w:p>
      <w:pPr>
        <w:ind w:left="1740"/>
        <w:spacing w:after="0"/>
        <w:rPr>
          <w:sz w:val="20"/>
          <w:szCs w:val="20"/>
          <w:color w:val="auto"/>
        </w:rPr>
      </w:pPr>
      <w:r>
        <w:rPr>
          <w:rFonts w:ascii="Arial" w:cs="Arial" w:eastAsia="Arial" w:hAnsi="Arial"/>
          <w:sz w:val="16"/>
          <w:szCs w:val="16"/>
          <w:i w:val="1"/>
          <w:iCs w:val="1"/>
          <w:u w:val="single" w:color="auto"/>
          <w:color w:val="0000EE"/>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431800</wp:posOffset>
            </wp:positionV>
            <wp:extent cx="8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20"/>
                <w:szCs w:val="20"/>
                <w:color w:val="auto"/>
              </w:rPr>
            </w:pPr>
            <w:r>
              <w:rPr>
                <w:rFonts w:ascii="Arial" w:cs="Arial" w:eastAsia="Arial" w:hAnsi="Arial"/>
                <w:sz w:val="16"/>
                <w:szCs w:val="16"/>
                <w:i w:val="1"/>
                <w:iCs w:val="1"/>
                <w:color w:val="auto"/>
              </w:rPr>
              <w:t>​</w:t>
            </w:r>
          </w:p>
        </w:tc>
        <w:tc>
          <w:tcPr>
            <w:tcW w:w="180" w:type="dxa"/>
            <w:vAlign w:val="bottom"/>
            <w:tcBorders>
              <w:bottom w:val="single" w:sz="8" w:color="0000EE"/>
            </w:tcBorders>
          </w:tcPr>
          <w:p>
            <w:pPr>
              <w:spacing w:after="0"/>
              <w:rPr>
                <w:sz w:val="20"/>
                <w:szCs w:val="20"/>
                <w:color w:val="auto"/>
              </w:rPr>
            </w:pPr>
            <w:r>
              <w:rPr>
                <w:rFonts w:ascii="Arial" w:cs="Arial" w:eastAsia="Arial" w:hAnsi="Arial"/>
                <w:sz w:val="16"/>
                <w:szCs w:val="16"/>
                <w:i w:val="1"/>
                <w:iCs w:val="1"/>
                <w:color w:val="0000EE"/>
                <w:w w:val="89"/>
              </w:rPr>
              <w:t>57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i w:val="1"/>
                <w:iCs w:val="1"/>
                <w:color w:val="auto"/>
              </w:rPr>
              <w:t>​ ​</w:t>
            </w:r>
          </w:p>
        </w:tc>
        <w:tc>
          <w:tcPr>
            <w:tcW w:w="160" w:type="dxa"/>
            <w:vAlign w:val="bottom"/>
          </w:tcPr>
          <w:p>
            <w:pPr>
              <w:spacing w:after="0"/>
              <w:rPr>
                <w:sz w:val="16"/>
                <w:szCs w:val="16"/>
                <w:color w:val="auto"/>
              </w:rPr>
            </w:pPr>
          </w:p>
        </w:tc>
        <w:tc>
          <w:tcPr>
            <w:tcW w:w="140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i w:val="1"/>
                <w:iCs w:val="1"/>
                <w:color w:val="0000EE"/>
              </w:rPr>
              <w:t>2024 Stock Vested</w:t>
            </w:r>
          </w:p>
        </w:tc>
        <w:tc>
          <w:tcPr>
            <w:tcW w:w="1880" w:type="dxa"/>
            <w:vAlign w:val="bottom"/>
            <w:gridSpan w:val="26"/>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156"/>
        </w:trPr>
        <w:tc>
          <w:tcPr>
            <w:tcW w:w="120" w:type="dxa"/>
            <w:vAlign w:val="bottom"/>
          </w:tcPr>
          <w:p>
            <w:pPr>
              <w:spacing w:after="0" w:line="155" w:lineRule="exact"/>
              <w:rPr>
                <w:sz w:val="20"/>
                <w:szCs w:val="20"/>
                <w:color w:val="auto"/>
              </w:rPr>
            </w:pPr>
            <w:r>
              <w:rPr>
                <w:rFonts w:ascii="Arial" w:cs="Arial" w:eastAsia="Arial" w:hAnsi="Arial"/>
                <w:sz w:val="16"/>
                <w:szCs w:val="16"/>
                <w:i w:val="1"/>
                <w:iCs w:val="1"/>
                <w:color w:val="auto"/>
              </w:rPr>
              <w:t>​</w:t>
            </w:r>
          </w:p>
        </w:tc>
        <w:tc>
          <w:tcPr>
            <w:tcW w:w="180" w:type="dxa"/>
            <w:vAlign w:val="bottom"/>
            <w:tcBorders>
              <w:bottom w:val="single" w:sz="8" w:color="0000EE"/>
            </w:tcBorders>
          </w:tcPr>
          <w:p>
            <w:pPr>
              <w:spacing w:after="0" w:line="155" w:lineRule="exact"/>
              <w:rPr>
                <w:sz w:val="20"/>
                <w:szCs w:val="20"/>
                <w:color w:val="auto"/>
              </w:rPr>
            </w:pPr>
            <w:r>
              <w:rPr>
                <w:rFonts w:ascii="Arial" w:cs="Arial" w:eastAsia="Arial" w:hAnsi="Arial"/>
                <w:sz w:val="16"/>
                <w:szCs w:val="16"/>
                <w:i w:val="1"/>
                <w:iCs w:val="1"/>
                <w:color w:val="0000EE"/>
                <w:w w:val="89"/>
              </w:rPr>
              <w:t>58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jc w:val="right"/>
              <w:spacing w:after="0" w:line="155" w:lineRule="exact"/>
              <w:rPr>
                <w:sz w:val="20"/>
                <w:szCs w:val="20"/>
                <w:color w:val="auto"/>
              </w:rPr>
            </w:pPr>
            <w:r>
              <w:rPr>
                <w:rFonts w:ascii="Arial" w:cs="Arial" w:eastAsia="Arial" w:hAnsi="Arial"/>
                <w:sz w:val="16"/>
                <w:szCs w:val="16"/>
                <w:i w:val="1"/>
                <w:iCs w:val="1"/>
                <w:color w:val="auto"/>
              </w:rPr>
              <w:t>​ ​</w:t>
            </w:r>
          </w:p>
        </w:tc>
        <w:tc>
          <w:tcPr>
            <w:tcW w:w="160" w:type="dxa"/>
            <w:vAlign w:val="bottom"/>
          </w:tcPr>
          <w:p>
            <w:pPr>
              <w:spacing w:after="0"/>
              <w:rPr>
                <w:sz w:val="13"/>
                <w:szCs w:val="13"/>
                <w:color w:val="auto"/>
              </w:rPr>
            </w:pPr>
          </w:p>
        </w:tc>
        <w:tc>
          <w:tcPr>
            <w:tcW w:w="3280" w:type="dxa"/>
            <w:vAlign w:val="bottom"/>
            <w:tcBorders>
              <w:bottom w:val="single" w:sz="8" w:color="0000EE"/>
            </w:tcBorders>
            <w:gridSpan w:val="35"/>
          </w:tcPr>
          <w:p>
            <w:pPr>
              <w:spacing w:after="0" w:line="155" w:lineRule="exact"/>
              <w:rPr>
                <w:sz w:val="20"/>
                <w:szCs w:val="20"/>
                <w:color w:val="auto"/>
              </w:rPr>
            </w:pPr>
            <w:r>
              <w:rPr>
                <w:rFonts w:ascii="Arial" w:cs="Arial" w:eastAsia="Arial" w:hAnsi="Arial"/>
                <w:sz w:val="16"/>
                <w:szCs w:val="16"/>
                <w:i w:val="1"/>
                <w:iCs w:val="1"/>
                <w:color w:val="0000EE"/>
              </w:rPr>
              <w:t>Severance and Change of Control Benefits</w:t>
            </w:r>
          </w:p>
        </w:tc>
        <w:tc>
          <w:tcPr>
            <w:tcW w:w="120" w:type="dxa"/>
            <w:vAlign w:val="bottom"/>
          </w:tcPr>
          <w:p>
            <w:pPr>
              <w:jc w:val="right"/>
              <w:spacing w:after="0" w:line="155" w:lineRule="exact"/>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i w:val="1"/>
                <w:iCs w:val="1"/>
                <w:color w:val="auto"/>
              </w:rPr>
              <w:t>​</w:t>
            </w:r>
          </w:p>
        </w:tc>
        <w:tc>
          <w:tcPr>
            <w:tcW w:w="180" w:type="dxa"/>
            <w:vAlign w:val="bottom"/>
          </w:tcPr>
          <w:p>
            <w:pPr>
              <w:spacing w:after="0" w:line="169" w:lineRule="exact"/>
              <w:rPr>
                <w:sz w:val="20"/>
                <w:szCs w:val="20"/>
                <w:color w:val="auto"/>
              </w:rPr>
            </w:pPr>
            <w:r>
              <w:rPr>
                <w:rFonts w:ascii="Arial" w:cs="Arial" w:eastAsia="Arial" w:hAnsi="Arial"/>
                <w:sz w:val="16"/>
                <w:szCs w:val="16"/>
                <w:i w:val="1"/>
                <w:iCs w:val="1"/>
                <w:color w:val="0000EE"/>
                <w:w w:val="89"/>
              </w:rPr>
              <w:t>61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jc w:val="right"/>
              <w:spacing w:after="0" w:line="169" w:lineRule="exact"/>
              <w:rPr>
                <w:sz w:val="20"/>
                <w:szCs w:val="20"/>
                <w:color w:val="auto"/>
              </w:rPr>
            </w:pPr>
            <w:r>
              <w:rPr>
                <w:rFonts w:ascii="Arial" w:cs="Arial" w:eastAsia="Arial" w:hAnsi="Arial"/>
                <w:sz w:val="16"/>
                <w:szCs w:val="16"/>
                <w:i w:val="1"/>
                <w:iCs w:val="1"/>
                <w:color w:val="auto"/>
              </w:rPr>
              <w:t>​ ​</w:t>
            </w:r>
          </w:p>
        </w:tc>
        <w:tc>
          <w:tcPr>
            <w:tcW w:w="160" w:type="dxa"/>
            <w:vAlign w:val="bottom"/>
          </w:tcPr>
          <w:p>
            <w:pPr>
              <w:spacing w:after="0"/>
              <w:rPr>
                <w:sz w:val="14"/>
                <w:szCs w:val="14"/>
                <w:color w:val="auto"/>
              </w:rPr>
            </w:pPr>
          </w:p>
        </w:tc>
        <w:tc>
          <w:tcPr>
            <w:tcW w:w="3280" w:type="dxa"/>
            <w:vAlign w:val="bottom"/>
            <w:gridSpan w:val="35"/>
          </w:tcPr>
          <w:p>
            <w:pPr>
              <w:spacing w:after="0" w:line="169" w:lineRule="exact"/>
              <w:rPr>
                <w:sz w:val="20"/>
                <w:szCs w:val="20"/>
                <w:color w:val="auto"/>
              </w:rPr>
            </w:pPr>
            <w:r>
              <w:rPr>
                <w:rFonts w:ascii="Arial" w:cs="Arial" w:eastAsia="Arial" w:hAnsi="Arial"/>
                <w:sz w:val="16"/>
                <w:szCs w:val="16"/>
                <w:i w:val="1"/>
                <w:iCs w:val="1"/>
                <w:color w:val="0000EE"/>
              </w:rPr>
              <w:t>Potential Payments Upon Termination or</w:t>
            </w:r>
          </w:p>
        </w:tc>
        <w:tc>
          <w:tcPr>
            <w:tcW w:w="120" w:type="dxa"/>
            <w:vAlign w:val="bottom"/>
          </w:tcPr>
          <w:p>
            <w:pPr>
              <w:jc w:val="right"/>
              <w:spacing w:after="0" w:line="169" w:lineRule="exact"/>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155"/>
        </w:trPr>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3"/>
                <w:szCs w:val="13"/>
                <w:color w:val="auto"/>
              </w:rPr>
            </w:pPr>
          </w:p>
        </w:tc>
        <w:tc>
          <w:tcPr>
            <w:tcW w:w="1800" w:type="dxa"/>
            <w:vAlign w:val="bottom"/>
            <w:tcBorders>
              <w:top w:val="single" w:sz="8" w:color="0000EE"/>
              <w:bottom w:val="single" w:sz="8" w:color="0000EE"/>
            </w:tcBorders>
            <w:gridSpan w:val="11"/>
          </w:tcPr>
          <w:p>
            <w:pPr>
              <w:spacing w:after="0" w:line="155" w:lineRule="exact"/>
              <w:rPr>
                <w:sz w:val="20"/>
                <w:szCs w:val="20"/>
                <w:color w:val="auto"/>
              </w:rPr>
            </w:pPr>
            <w:r>
              <w:rPr>
                <w:rFonts w:ascii="Arial" w:cs="Arial" w:eastAsia="Arial" w:hAnsi="Arial"/>
                <w:sz w:val="16"/>
                <w:szCs w:val="16"/>
                <w:i w:val="1"/>
                <w:iCs w:val="1"/>
                <w:color w:val="0000EE"/>
              </w:rPr>
              <w:t>Upon Change in Control</w:t>
            </w:r>
          </w:p>
        </w:tc>
        <w:tc>
          <w:tcPr>
            <w:tcW w:w="1220" w:type="dxa"/>
            <w:vAlign w:val="bottom"/>
            <w:tcBorders>
              <w:top w:val="single" w:sz="8" w:color="0000EE"/>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20" w:type="dxa"/>
            <w:vAlign w:val="bottom"/>
            <w:vMerge w:val="continue"/>
          </w:tcPr>
          <w:p>
            <w:pPr>
              <w:spacing w:after="0"/>
              <w:rPr>
                <w:sz w:val="17"/>
                <w:szCs w:val="17"/>
                <w:color w:val="auto"/>
              </w:rPr>
            </w:pPr>
          </w:p>
        </w:tc>
        <w:tc>
          <w:tcPr>
            <w:tcW w:w="18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89"/>
              </w:rPr>
              <w:t>61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14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rPr>
              <w:t>CEO Pay Ratio</w:t>
            </w:r>
          </w:p>
        </w:tc>
        <w:tc>
          <w:tcPr>
            <w:tcW w:w="2300" w:type="dxa"/>
            <w:vAlign w:val="bottom"/>
            <w:gridSpan w:val="29"/>
          </w:tcPr>
          <w:p>
            <w:pPr>
              <w:spacing w:after="0"/>
              <w:rPr>
                <w:sz w:val="17"/>
                <w:szCs w:val="17"/>
                <w:color w:val="auto"/>
              </w:rPr>
            </w:pP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0000EE"/>
            </w:tcBorders>
          </w:tcPr>
          <w:p>
            <w:pPr>
              <w:spacing w:after="0" w:line="169" w:lineRule="exact"/>
              <w:rPr>
                <w:sz w:val="20"/>
                <w:szCs w:val="20"/>
                <w:color w:val="auto"/>
              </w:rPr>
            </w:pPr>
            <w:r>
              <w:rPr>
                <w:rFonts w:ascii="Arial" w:cs="Arial" w:eastAsia="Arial" w:hAnsi="Arial"/>
                <w:sz w:val="16"/>
                <w:szCs w:val="16"/>
                <w:color w:val="0000EE"/>
                <w:w w:val="89"/>
              </w:rPr>
              <w:t>63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jc w:val="right"/>
              <w:spacing w:after="0" w:line="169" w:lineRule="exact"/>
              <w:rPr>
                <w:sz w:val="20"/>
                <w:szCs w:val="20"/>
                <w:color w:val="auto"/>
              </w:rPr>
            </w:pPr>
            <w:r>
              <w:rPr>
                <w:rFonts w:ascii="Arial" w:cs="Arial" w:eastAsia="Arial" w:hAnsi="Arial"/>
                <w:sz w:val="16"/>
                <w:szCs w:val="16"/>
                <w:color w:val="auto"/>
              </w:rPr>
              <w:t>​ ​</w:t>
            </w:r>
          </w:p>
        </w:tc>
        <w:tc>
          <w:tcPr>
            <w:tcW w:w="2780" w:type="dxa"/>
            <w:vAlign w:val="bottom"/>
            <w:tcBorders>
              <w:bottom w:val="single" w:sz="8" w:color="0000EE"/>
            </w:tcBorders>
            <w:gridSpan w:val="20"/>
          </w:tcPr>
          <w:p>
            <w:pPr>
              <w:spacing w:after="0" w:line="169" w:lineRule="exact"/>
              <w:rPr>
                <w:sz w:val="20"/>
                <w:szCs w:val="20"/>
                <w:color w:val="auto"/>
              </w:rPr>
            </w:pPr>
            <w:r>
              <w:rPr>
                <w:rFonts w:ascii="Arial" w:cs="Arial" w:eastAsia="Arial" w:hAnsi="Arial"/>
                <w:sz w:val="16"/>
                <w:szCs w:val="16"/>
                <w:color w:val="0000EE"/>
              </w:rPr>
              <w:t>Pay Versus Performance Disclosures</w:t>
            </w:r>
          </w:p>
        </w:tc>
        <w:tc>
          <w:tcPr>
            <w:tcW w:w="660" w:type="dxa"/>
            <w:vAlign w:val="bottom"/>
            <w:gridSpan w:val="16"/>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gridSpan w:val="2"/>
          </w:tcPr>
          <w:p>
            <w:pPr>
              <w:spacing w:after="0"/>
              <w:rPr>
                <w:sz w:val="20"/>
                <w:szCs w:val="20"/>
                <w:color w:val="auto"/>
              </w:rPr>
            </w:pPr>
            <w:r>
              <w:rPr>
                <w:rFonts w:ascii="Arial" w:cs="Arial" w:eastAsia="Arial" w:hAnsi="Arial"/>
                <w:sz w:val="16"/>
                <w:szCs w:val="16"/>
                <w:b w:val="1"/>
                <w:bCs w:val="1"/>
                <w:color w:val="62259D"/>
              </w:rPr>
              <w:t>67</w:t>
            </w:r>
          </w:p>
        </w:tc>
        <w:tc>
          <w:tcPr>
            <w:tcW w:w="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 ​</w:t>
            </w:r>
          </w:p>
        </w:tc>
        <w:tc>
          <w:tcPr>
            <w:tcW w:w="3440" w:type="dxa"/>
            <w:vAlign w:val="bottom"/>
            <w:gridSpan w:val="36"/>
          </w:tcPr>
          <w:p>
            <w:pPr>
              <w:spacing w:after="0"/>
              <w:rPr>
                <w:sz w:val="20"/>
                <w:szCs w:val="20"/>
                <w:color w:val="auto"/>
              </w:rPr>
            </w:pPr>
            <w:r>
              <w:rPr>
                <w:rFonts w:ascii="Arial" w:cs="Arial" w:eastAsia="Arial" w:hAnsi="Arial"/>
                <w:sz w:val="16"/>
                <w:szCs w:val="16"/>
                <w:b w:val="1"/>
                <w:bCs w:val="1"/>
                <w:color w:val="62259D"/>
              </w:rPr>
              <w:t>Proposal 4</w:t>
            </w:r>
            <w:r>
              <w:rPr>
                <w:rFonts w:ascii="Arial" w:cs="Arial" w:eastAsia="Arial" w:hAnsi="Arial"/>
                <w:sz w:val="16"/>
                <w:szCs w:val="16"/>
                <w:color w:val="62259D"/>
              </w:rPr>
              <w:t> — Approval of an Amendment to</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80" w:type="dxa"/>
            <w:vAlign w:val="bottom"/>
            <w:tcBorders>
              <w:top w:val="single" w:sz="8" w:color="62259D"/>
            </w:tcBorders>
          </w:tcPr>
          <w:p>
            <w:pPr>
              <w:spacing w:after="0"/>
              <w:rPr>
                <w:sz w:val="13"/>
                <w:szCs w:val="13"/>
                <w:color w:val="auto"/>
              </w:rPr>
            </w:pPr>
          </w:p>
        </w:tc>
        <w:tc>
          <w:tcPr>
            <w:tcW w:w="80" w:type="dxa"/>
            <w:vAlign w:val="bottom"/>
            <w:tcBorders>
              <w:top w:val="single" w:sz="8" w:color="62259D"/>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360" w:type="dxa"/>
            <w:vAlign w:val="bottom"/>
            <w:tcBorders>
              <w:top w:val="single" w:sz="8" w:color="62259D"/>
            </w:tcBorders>
            <w:gridSpan w:val="35"/>
          </w:tcPr>
          <w:p>
            <w:pPr>
              <w:spacing w:after="0" w:line="155" w:lineRule="exact"/>
              <w:rPr>
                <w:sz w:val="20"/>
                <w:szCs w:val="20"/>
                <w:color w:val="auto"/>
              </w:rPr>
            </w:pPr>
            <w:r>
              <w:rPr>
                <w:rFonts w:ascii="Arial" w:cs="Arial" w:eastAsia="Arial" w:hAnsi="Arial"/>
                <w:sz w:val="16"/>
                <w:szCs w:val="16"/>
                <w:color w:val="62259D"/>
              </w:rPr>
              <w:t>Our Restated Certificate of Incorporation to</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40" w:type="dxa"/>
            <w:vAlign w:val="bottom"/>
            <w:tcBorders>
              <w:top w:val="single" w:sz="8" w:color="62259D"/>
              <w:bottom w:val="single" w:sz="8" w:color="62259D"/>
            </w:tcBorders>
            <w:gridSpan w:val="30"/>
          </w:tcPr>
          <w:p>
            <w:pPr>
              <w:spacing w:after="0" w:line="169" w:lineRule="exact"/>
              <w:rPr>
                <w:sz w:val="20"/>
                <w:szCs w:val="20"/>
                <w:color w:val="auto"/>
              </w:rPr>
            </w:pPr>
            <w:r>
              <w:rPr>
                <w:rFonts w:ascii="Arial" w:cs="Arial" w:eastAsia="Arial" w:hAnsi="Arial"/>
                <w:sz w:val="16"/>
                <w:szCs w:val="16"/>
                <w:color w:val="62259D"/>
              </w:rPr>
              <w:t>Increase the Number of Authorized Shares</w:t>
            </w:r>
          </w:p>
        </w:tc>
        <w:tc>
          <w:tcPr>
            <w:tcW w:w="20" w:type="dxa"/>
            <w:vAlign w:val="bottom"/>
            <w:tcBorders>
              <w:bottom w:val="single" w:sz="8" w:color="62259D"/>
            </w:tcBorders>
          </w:tcPr>
          <w:p>
            <w:pPr>
              <w:spacing w:after="0"/>
              <w:rPr>
                <w:sz w:val="14"/>
                <w:szCs w:val="14"/>
                <w:color w:val="auto"/>
              </w:rPr>
            </w:pPr>
          </w:p>
        </w:tc>
        <w:tc>
          <w:tcPr>
            <w:tcW w:w="20" w:type="dxa"/>
            <w:vAlign w:val="bottom"/>
            <w:tcBorders>
              <w:bottom w:val="single" w:sz="8" w:color="62259D"/>
            </w:tcBorders>
          </w:tcPr>
          <w:p>
            <w:pPr>
              <w:spacing w:after="0"/>
              <w:rPr>
                <w:sz w:val="14"/>
                <w:szCs w:val="14"/>
                <w:color w:val="auto"/>
              </w:rPr>
            </w:pPr>
          </w:p>
        </w:tc>
        <w:tc>
          <w:tcPr>
            <w:tcW w:w="160" w:type="dxa"/>
            <w:vAlign w:val="bottom"/>
            <w:tcBorders>
              <w:bottom w:val="single" w:sz="8" w:color="62259D"/>
            </w:tcBorders>
            <w:gridSpan w:val="4"/>
          </w:tcPr>
          <w:p>
            <w:pPr>
              <w:spacing w:after="0" w:line="169" w:lineRule="exact"/>
              <w:rPr>
                <w:sz w:val="20"/>
                <w:szCs w:val="20"/>
                <w:color w:val="auto"/>
              </w:rPr>
            </w:pPr>
            <w:r>
              <w:rPr>
                <w:rFonts w:ascii="Arial" w:cs="Arial" w:eastAsia="Arial" w:hAnsi="Arial"/>
                <w:sz w:val="16"/>
                <w:szCs w:val="16"/>
                <w:color w:val="62259D"/>
                <w:w w:val="89"/>
              </w:rPr>
              <w:t>of</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40" w:type="dxa"/>
            <w:vAlign w:val="bottom"/>
            <w:gridSpan w:val="36"/>
          </w:tcPr>
          <w:p>
            <w:pPr>
              <w:spacing w:after="0" w:line="155" w:lineRule="exact"/>
              <w:rPr>
                <w:sz w:val="20"/>
                <w:szCs w:val="20"/>
                <w:color w:val="auto"/>
              </w:rPr>
            </w:pPr>
            <w:r>
              <w:rPr>
                <w:rFonts w:ascii="Arial" w:cs="Arial" w:eastAsia="Arial" w:hAnsi="Arial"/>
                <w:sz w:val="16"/>
                <w:szCs w:val="16"/>
                <w:color w:val="62259D"/>
              </w:rPr>
              <w:t>our Common Stock from 240 Million to 390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0" w:type="dxa"/>
            <w:vAlign w:val="bottom"/>
            <w:tcBorders>
              <w:top w:val="single" w:sz="8" w:color="62259D"/>
            </w:tcBorders>
            <w:gridSpan w:val="28"/>
          </w:tcPr>
          <w:p>
            <w:pPr>
              <w:spacing w:after="0" w:line="155" w:lineRule="exact"/>
              <w:rPr>
                <w:sz w:val="20"/>
                <w:szCs w:val="20"/>
                <w:color w:val="auto"/>
              </w:rPr>
            </w:pPr>
            <w:r>
              <w:rPr>
                <w:rFonts w:ascii="Arial" w:cs="Arial" w:eastAsia="Arial" w:hAnsi="Arial"/>
                <w:sz w:val="16"/>
                <w:szCs w:val="16"/>
                <w:color w:val="62259D"/>
              </w:rPr>
              <w:t>Million</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4C4C4C"/>
            </w:tcBorders>
          </w:tcPr>
          <w:p>
            <w:pPr>
              <w:spacing w:after="0" w:line="20" w:lineRule="exact"/>
              <w:rPr>
                <w:sz w:val="1"/>
                <w:szCs w:val="1"/>
                <w:color w:val="auto"/>
              </w:rPr>
            </w:pPr>
          </w:p>
        </w:tc>
        <w:tc>
          <w:tcPr>
            <w:tcW w:w="180" w:type="dxa"/>
            <w:vAlign w:val="bottom"/>
            <w:tcBorders>
              <w:bottom w:val="single" w:sz="8" w:color="4C4C4C"/>
            </w:tcBorders>
          </w:tcPr>
          <w:p>
            <w:pPr>
              <w:spacing w:after="0" w:line="20" w:lineRule="exact"/>
              <w:rPr>
                <w:sz w:val="1"/>
                <w:szCs w:val="1"/>
                <w:color w:val="auto"/>
              </w:rPr>
            </w:pPr>
          </w:p>
        </w:tc>
        <w:tc>
          <w:tcPr>
            <w:tcW w:w="80" w:type="dxa"/>
            <w:vAlign w:val="bottom"/>
            <w:tcBorders>
              <w:bottom w:val="single" w:sz="8" w:color="4C4C4C"/>
            </w:tcBorders>
          </w:tcPr>
          <w:p>
            <w:pPr>
              <w:spacing w:after="0" w:line="20" w:lineRule="exact"/>
              <w:rPr>
                <w:sz w:val="1"/>
                <w:szCs w:val="1"/>
                <w:color w:val="auto"/>
              </w:rPr>
            </w:pPr>
          </w:p>
        </w:tc>
        <w:tc>
          <w:tcPr>
            <w:tcW w:w="40" w:type="dxa"/>
            <w:vAlign w:val="bottom"/>
            <w:tcBorders>
              <w:bottom w:val="single" w:sz="8" w:color="4C4C4C"/>
            </w:tcBorders>
          </w:tcPr>
          <w:p>
            <w:pPr>
              <w:spacing w:after="0" w:line="20" w:lineRule="exact"/>
              <w:rPr>
                <w:sz w:val="1"/>
                <w:szCs w:val="1"/>
                <w:color w:val="auto"/>
              </w:rPr>
            </w:pPr>
          </w:p>
        </w:tc>
        <w:tc>
          <w:tcPr>
            <w:tcW w:w="240" w:type="dxa"/>
            <w:vAlign w:val="bottom"/>
            <w:tcBorders>
              <w:bottom w:val="single" w:sz="8" w:color="4C4C4C"/>
            </w:tcBorders>
          </w:tcPr>
          <w:p>
            <w:pPr>
              <w:spacing w:after="0" w:line="20" w:lineRule="exact"/>
              <w:rPr>
                <w:sz w:val="1"/>
                <w:szCs w:val="1"/>
                <w:color w:val="auto"/>
              </w:rPr>
            </w:pPr>
          </w:p>
        </w:tc>
        <w:tc>
          <w:tcPr>
            <w:tcW w:w="160" w:type="dxa"/>
            <w:vAlign w:val="bottom"/>
            <w:tcBorders>
              <w:top w:val="single" w:sz="8" w:color="62259D"/>
              <w:bottom w:val="single" w:sz="8" w:color="4C4C4C"/>
            </w:tcBorders>
          </w:tcPr>
          <w:p>
            <w:pPr>
              <w:spacing w:after="0" w:line="20" w:lineRule="exact"/>
              <w:rPr>
                <w:sz w:val="1"/>
                <w:szCs w:val="1"/>
                <w:color w:val="auto"/>
              </w:rPr>
            </w:pPr>
          </w:p>
        </w:tc>
        <w:tc>
          <w:tcPr>
            <w:tcW w:w="180" w:type="dxa"/>
            <w:vAlign w:val="bottom"/>
            <w:tcBorders>
              <w:top w:val="single" w:sz="8" w:color="62259D"/>
              <w:bottom w:val="single" w:sz="8" w:color="4C4C4C"/>
            </w:tcBorders>
          </w:tcPr>
          <w:p>
            <w:pPr>
              <w:spacing w:after="0" w:line="20" w:lineRule="exact"/>
              <w:rPr>
                <w:sz w:val="1"/>
                <w:szCs w:val="1"/>
                <w:color w:val="auto"/>
              </w:rPr>
            </w:pPr>
          </w:p>
        </w:tc>
        <w:tc>
          <w:tcPr>
            <w:tcW w:w="140" w:type="dxa"/>
            <w:vAlign w:val="bottom"/>
            <w:tcBorders>
              <w:top w:val="single" w:sz="8" w:color="62259D"/>
              <w:bottom w:val="single" w:sz="8" w:color="4C4C4C"/>
            </w:tcBorders>
          </w:tcPr>
          <w:p>
            <w:pPr>
              <w:spacing w:after="0" w:line="20" w:lineRule="exact"/>
              <w:rPr>
                <w:sz w:val="1"/>
                <w:szCs w:val="1"/>
                <w:color w:val="auto"/>
              </w:rPr>
            </w:pPr>
          </w:p>
        </w:tc>
        <w:tc>
          <w:tcPr>
            <w:tcW w:w="140" w:type="dxa"/>
            <w:vAlign w:val="bottom"/>
            <w:tcBorders>
              <w:bottom w:val="single" w:sz="8" w:color="4C4C4C"/>
            </w:tcBorders>
          </w:tcPr>
          <w:p>
            <w:pPr>
              <w:spacing w:after="0" w:line="20" w:lineRule="exact"/>
              <w:rPr>
                <w:sz w:val="1"/>
                <w:szCs w:val="1"/>
                <w:color w:val="auto"/>
              </w:rPr>
            </w:pPr>
          </w:p>
        </w:tc>
        <w:tc>
          <w:tcPr>
            <w:tcW w:w="160" w:type="dxa"/>
            <w:vAlign w:val="bottom"/>
            <w:tcBorders>
              <w:bottom w:val="single" w:sz="8" w:color="4C4C4C"/>
            </w:tcBorders>
          </w:tcPr>
          <w:p>
            <w:pPr>
              <w:spacing w:after="0" w:line="20" w:lineRule="exact"/>
              <w:rPr>
                <w:sz w:val="1"/>
                <w:szCs w:val="1"/>
                <w:color w:val="auto"/>
              </w:rPr>
            </w:pPr>
          </w:p>
        </w:tc>
        <w:tc>
          <w:tcPr>
            <w:tcW w:w="240" w:type="dxa"/>
            <w:vAlign w:val="bottom"/>
            <w:tcBorders>
              <w:bottom w:val="single" w:sz="8" w:color="4C4C4C"/>
            </w:tcBorders>
          </w:tcPr>
          <w:p>
            <w:pPr>
              <w:spacing w:after="0" w:line="20" w:lineRule="exact"/>
              <w:rPr>
                <w:sz w:val="1"/>
                <w:szCs w:val="1"/>
                <w:color w:val="auto"/>
              </w:rPr>
            </w:pPr>
          </w:p>
        </w:tc>
        <w:tc>
          <w:tcPr>
            <w:tcW w:w="12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40" w:type="dxa"/>
            <w:vAlign w:val="bottom"/>
            <w:tcBorders>
              <w:bottom w:val="single" w:sz="8" w:color="4C4C4C"/>
            </w:tcBorders>
          </w:tcPr>
          <w:p>
            <w:pPr>
              <w:spacing w:after="0" w:line="20" w:lineRule="exact"/>
              <w:rPr>
                <w:sz w:val="1"/>
                <w:szCs w:val="1"/>
                <w:color w:val="auto"/>
              </w:rPr>
            </w:pPr>
          </w:p>
        </w:tc>
        <w:tc>
          <w:tcPr>
            <w:tcW w:w="320" w:type="dxa"/>
            <w:vAlign w:val="bottom"/>
            <w:tcBorders>
              <w:bottom w:val="single" w:sz="8" w:color="4C4C4C"/>
            </w:tcBorders>
          </w:tcPr>
          <w:p>
            <w:pPr>
              <w:spacing w:after="0" w:line="20" w:lineRule="exact"/>
              <w:rPr>
                <w:sz w:val="1"/>
                <w:szCs w:val="1"/>
                <w:color w:val="auto"/>
              </w:rPr>
            </w:pPr>
          </w:p>
        </w:tc>
        <w:tc>
          <w:tcPr>
            <w:tcW w:w="38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200" w:type="dxa"/>
            <w:vAlign w:val="bottom"/>
            <w:tcBorders>
              <w:bottom w:val="single" w:sz="8" w:color="4C4C4C"/>
            </w:tcBorders>
          </w:tcPr>
          <w:p>
            <w:pPr>
              <w:spacing w:after="0" w:line="20" w:lineRule="exact"/>
              <w:rPr>
                <w:sz w:val="1"/>
                <w:szCs w:val="1"/>
                <w:color w:val="auto"/>
              </w:rPr>
            </w:pPr>
          </w:p>
        </w:tc>
        <w:tc>
          <w:tcPr>
            <w:tcW w:w="280" w:type="dxa"/>
            <w:vAlign w:val="bottom"/>
            <w:tcBorders>
              <w:bottom w:val="single" w:sz="8" w:color="4C4C4C"/>
            </w:tcBorders>
          </w:tcPr>
          <w:p>
            <w:pPr>
              <w:spacing w:after="0" w:line="20" w:lineRule="exact"/>
              <w:rPr>
                <w:sz w:val="1"/>
                <w:szCs w:val="1"/>
                <w:color w:val="auto"/>
              </w:rPr>
            </w:pPr>
          </w:p>
        </w:tc>
        <w:tc>
          <w:tcPr>
            <w:tcW w:w="16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4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8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16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40" w:type="dxa"/>
            <w:vAlign w:val="bottom"/>
            <w:tcBorders>
              <w:bottom w:val="single" w:sz="8" w:color="4C4C4C"/>
            </w:tcBorders>
          </w:tcPr>
          <w:p>
            <w:pPr>
              <w:spacing w:after="0" w:line="20" w:lineRule="exact"/>
              <w:rPr>
                <w:sz w:val="1"/>
                <w:szCs w:val="1"/>
                <w:color w:val="auto"/>
              </w:rPr>
            </w:pPr>
          </w:p>
        </w:tc>
        <w:tc>
          <w:tcPr>
            <w:tcW w:w="80" w:type="dxa"/>
            <w:vAlign w:val="bottom"/>
            <w:tcBorders>
              <w:bottom w:val="single" w:sz="8" w:color="4C4C4C"/>
            </w:tcBorders>
          </w:tcPr>
          <w:p>
            <w:pPr>
              <w:spacing w:after="0" w:line="20" w:lineRule="exact"/>
              <w:rPr>
                <w:sz w:val="1"/>
                <w:szCs w:val="1"/>
                <w:color w:val="auto"/>
              </w:rPr>
            </w:pPr>
          </w:p>
        </w:tc>
        <w:tc>
          <w:tcPr>
            <w:tcW w:w="120" w:type="dxa"/>
            <w:vAlign w:val="bottom"/>
            <w:tcBorders>
              <w:bottom w:val="single" w:sz="8" w:color="4C4C4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Pr>
          <w:p>
            <w:pPr>
              <w:spacing w:after="0" w:line="169" w:lineRule="exact"/>
              <w:rPr>
                <w:sz w:val="20"/>
                <w:szCs w:val="20"/>
                <w:color w:val="auto"/>
              </w:rPr>
            </w:pPr>
            <w:r>
              <w:rPr>
                <w:rFonts w:ascii="Arial" w:cs="Arial" w:eastAsia="Arial" w:hAnsi="Arial"/>
                <w:sz w:val="16"/>
                <w:szCs w:val="16"/>
                <w:color w:val="0000EE"/>
                <w:w w:val="89"/>
              </w:rPr>
              <w:t>68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jc w:val="right"/>
              <w:spacing w:after="0" w:line="169" w:lineRule="exact"/>
              <w:rPr>
                <w:sz w:val="20"/>
                <w:szCs w:val="20"/>
                <w:color w:val="auto"/>
              </w:rPr>
            </w:pPr>
            <w:r>
              <w:rPr>
                <w:rFonts w:ascii="Arial" w:cs="Arial" w:eastAsia="Arial" w:hAnsi="Arial"/>
                <w:sz w:val="16"/>
                <w:szCs w:val="16"/>
                <w:color w:val="auto"/>
              </w:rPr>
              <w:t>​ ​</w:t>
            </w:r>
          </w:p>
        </w:tc>
        <w:tc>
          <w:tcPr>
            <w:tcW w:w="3440" w:type="dxa"/>
            <w:vAlign w:val="bottom"/>
            <w:gridSpan w:val="36"/>
          </w:tcPr>
          <w:p>
            <w:pPr>
              <w:spacing w:after="0" w:line="169" w:lineRule="exact"/>
              <w:rPr>
                <w:sz w:val="20"/>
                <w:szCs w:val="20"/>
                <w:color w:val="auto"/>
              </w:rPr>
            </w:pPr>
            <w:r>
              <w:rPr>
                <w:rFonts w:ascii="Arial" w:cs="Arial" w:eastAsia="Arial" w:hAnsi="Arial"/>
                <w:sz w:val="16"/>
                <w:szCs w:val="16"/>
                <w:color w:val="0000EE"/>
              </w:rPr>
              <w:t>Purpose of the Proposed Amendment</w:t>
            </w:r>
          </w:p>
        </w:tc>
        <w:tc>
          <w:tcPr>
            <w:tcW w:w="12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tcBorders>
          </w:tcPr>
          <w:p>
            <w:pPr>
              <w:spacing w:after="0" w:line="169" w:lineRule="exact"/>
              <w:rPr>
                <w:sz w:val="20"/>
                <w:szCs w:val="20"/>
                <w:color w:val="auto"/>
              </w:rPr>
            </w:pPr>
            <w:r>
              <w:rPr>
                <w:rFonts w:ascii="Arial" w:cs="Arial" w:eastAsia="Arial" w:hAnsi="Arial"/>
                <w:sz w:val="16"/>
                <w:szCs w:val="16"/>
                <w:color w:val="0000EE"/>
                <w:w w:val="89"/>
              </w:rPr>
              <w:t>68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jc w:val="right"/>
              <w:spacing w:after="0" w:line="169" w:lineRule="exact"/>
              <w:rPr>
                <w:sz w:val="20"/>
                <w:szCs w:val="20"/>
                <w:color w:val="auto"/>
              </w:rPr>
            </w:pPr>
            <w:r>
              <w:rPr>
                <w:rFonts w:ascii="Arial" w:cs="Arial" w:eastAsia="Arial" w:hAnsi="Arial"/>
                <w:sz w:val="16"/>
                <w:szCs w:val="16"/>
                <w:color w:val="auto"/>
              </w:rPr>
              <w:t>​ ​</w:t>
            </w:r>
          </w:p>
        </w:tc>
        <w:tc>
          <w:tcPr>
            <w:tcW w:w="2800" w:type="dxa"/>
            <w:vAlign w:val="bottom"/>
            <w:tcBorders>
              <w:top w:val="single" w:sz="8" w:color="0000EE"/>
            </w:tcBorders>
            <w:gridSpan w:val="21"/>
          </w:tcPr>
          <w:p>
            <w:pPr>
              <w:spacing w:after="0" w:line="169" w:lineRule="exact"/>
              <w:rPr>
                <w:sz w:val="20"/>
                <w:szCs w:val="20"/>
                <w:color w:val="auto"/>
              </w:rPr>
            </w:pPr>
            <w:r>
              <w:rPr>
                <w:rFonts w:ascii="Arial" w:cs="Arial" w:eastAsia="Arial" w:hAnsi="Arial"/>
                <w:sz w:val="16"/>
                <w:szCs w:val="16"/>
                <w:color w:val="0000EE"/>
              </w:rPr>
              <w:t>Effects of the Proposed Amendment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tcBorders>
          </w:tcPr>
          <w:p>
            <w:pPr>
              <w:spacing w:after="0" w:line="169" w:lineRule="exact"/>
              <w:rPr>
                <w:sz w:val="20"/>
                <w:szCs w:val="20"/>
                <w:color w:val="auto"/>
              </w:rPr>
            </w:pPr>
            <w:r>
              <w:rPr>
                <w:rFonts w:ascii="Arial" w:cs="Arial" w:eastAsia="Arial" w:hAnsi="Arial"/>
                <w:sz w:val="16"/>
                <w:szCs w:val="16"/>
                <w:color w:val="0000EE"/>
                <w:w w:val="89"/>
              </w:rPr>
              <w:t>69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jc w:val="right"/>
              <w:spacing w:after="0" w:line="169" w:lineRule="exact"/>
              <w:rPr>
                <w:sz w:val="20"/>
                <w:szCs w:val="20"/>
                <w:color w:val="auto"/>
              </w:rPr>
            </w:pPr>
            <w:r>
              <w:rPr>
                <w:rFonts w:ascii="Arial" w:cs="Arial" w:eastAsia="Arial" w:hAnsi="Arial"/>
                <w:sz w:val="16"/>
                <w:szCs w:val="16"/>
                <w:color w:val="auto"/>
              </w:rPr>
              <w:t>​ ​</w:t>
            </w:r>
          </w:p>
        </w:tc>
        <w:tc>
          <w:tcPr>
            <w:tcW w:w="2700" w:type="dxa"/>
            <w:vAlign w:val="bottom"/>
            <w:tcBorders>
              <w:top w:val="single" w:sz="8" w:color="0000EE"/>
            </w:tcBorders>
            <w:gridSpan w:val="18"/>
          </w:tcPr>
          <w:p>
            <w:pPr>
              <w:spacing w:after="0" w:line="169" w:lineRule="exact"/>
              <w:rPr>
                <w:sz w:val="20"/>
                <w:szCs w:val="20"/>
                <w:color w:val="auto"/>
              </w:rPr>
            </w:pPr>
            <w:r>
              <w:rPr>
                <w:rFonts w:ascii="Arial" w:cs="Arial" w:eastAsia="Arial" w:hAnsi="Arial"/>
                <w:sz w:val="16"/>
                <w:szCs w:val="16"/>
                <w:color w:val="0000EE"/>
              </w:rPr>
              <w:t>Dissenters’ Right of Appraisal</w:t>
            </w:r>
          </w:p>
        </w:tc>
        <w:tc>
          <w:tcPr>
            <w:tcW w:w="6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209"/>
        </w:trPr>
        <w:tc>
          <w:tcPr>
            <w:tcW w:w="120" w:type="dxa"/>
            <w:vAlign w:val="bottom"/>
            <w:vMerge w:val="continue"/>
          </w:tcPr>
          <w:p>
            <w:pPr>
              <w:spacing w:after="0"/>
              <w:rPr>
                <w:sz w:val="18"/>
                <w:szCs w:val="18"/>
                <w:color w:val="auto"/>
              </w:rPr>
            </w:pPr>
          </w:p>
        </w:tc>
        <w:tc>
          <w:tcPr>
            <w:tcW w:w="260" w:type="dxa"/>
            <w:vAlign w:val="bottom"/>
            <w:gridSpan w:val="2"/>
          </w:tcPr>
          <w:p>
            <w:pPr>
              <w:spacing w:after="0"/>
              <w:rPr>
                <w:sz w:val="20"/>
                <w:szCs w:val="20"/>
                <w:color w:val="auto"/>
              </w:rPr>
            </w:pPr>
            <w:r>
              <w:rPr>
                <w:rFonts w:ascii="Arial" w:cs="Arial" w:eastAsia="Arial" w:hAnsi="Arial"/>
                <w:sz w:val="16"/>
                <w:szCs w:val="16"/>
                <w:b w:val="1"/>
                <w:bCs w:val="1"/>
                <w:color w:val="62259D"/>
              </w:rPr>
              <w:t>70</w:t>
            </w:r>
          </w:p>
        </w:tc>
        <w:tc>
          <w:tcPr>
            <w:tcW w:w="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3440" w:type="dxa"/>
            <w:vAlign w:val="bottom"/>
            <w:gridSpan w:val="36"/>
          </w:tcPr>
          <w:p>
            <w:pPr>
              <w:spacing w:after="0"/>
              <w:rPr>
                <w:sz w:val="20"/>
                <w:szCs w:val="20"/>
                <w:color w:val="auto"/>
              </w:rPr>
            </w:pPr>
            <w:r>
              <w:rPr>
                <w:rFonts w:ascii="Arial" w:cs="Arial" w:eastAsia="Arial" w:hAnsi="Arial"/>
                <w:sz w:val="16"/>
                <w:szCs w:val="16"/>
                <w:b w:val="1"/>
                <w:bCs w:val="1"/>
                <w:color w:val="62259D"/>
              </w:rPr>
              <w:t>Proposal 5</w:t>
            </w:r>
            <w:r>
              <w:rPr>
                <w:rFonts w:ascii="Arial" w:cs="Arial" w:eastAsia="Arial" w:hAnsi="Arial"/>
                <w:sz w:val="16"/>
                <w:szCs w:val="16"/>
                <w:color w:val="62259D"/>
              </w:rPr>
              <w:t> — Adoption of the Ribbon</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80" w:type="dxa"/>
            <w:vAlign w:val="bottom"/>
            <w:tcBorders>
              <w:top w:val="single" w:sz="8" w:color="62259D"/>
            </w:tcBorders>
          </w:tcPr>
          <w:p>
            <w:pPr>
              <w:spacing w:after="0"/>
              <w:rPr>
                <w:sz w:val="13"/>
                <w:szCs w:val="13"/>
                <w:color w:val="auto"/>
              </w:rPr>
            </w:pPr>
          </w:p>
        </w:tc>
        <w:tc>
          <w:tcPr>
            <w:tcW w:w="80" w:type="dxa"/>
            <w:vAlign w:val="bottom"/>
            <w:tcBorders>
              <w:top w:val="single" w:sz="8" w:color="62259D"/>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40" w:type="dxa"/>
            <w:vAlign w:val="bottom"/>
            <w:tcBorders>
              <w:top w:val="single" w:sz="8" w:color="62259D"/>
            </w:tcBorders>
            <w:gridSpan w:val="22"/>
          </w:tcPr>
          <w:p>
            <w:pPr>
              <w:spacing w:after="0" w:line="155" w:lineRule="exact"/>
              <w:rPr>
                <w:sz w:val="20"/>
                <w:szCs w:val="20"/>
                <w:color w:val="auto"/>
              </w:rPr>
            </w:pPr>
            <w:r>
              <w:rPr>
                <w:rFonts w:ascii="Arial" w:cs="Arial" w:eastAsia="Arial" w:hAnsi="Arial"/>
                <w:sz w:val="16"/>
                <w:szCs w:val="16"/>
                <w:color w:val="62259D"/>
              </w:rPr>
              <w:t>Communications Inc. 2025 Incentive</w:t>
            </w:r>
          </w:p>
        </w:tc>
        <w:tc>
          <w:tcPr>
            <w:tcW w:w="600" w:type="dxa"/>
            <w:vAlign w:val="bottom"/>
            <w:gridSpan w:val="14"/>
          </w:tcPr>
          <w:p>
            <w:pPr>
              <w:jc w:val="center"/>
              <w:ind w:right="220"/>
              <w:spacing w:after="0" w:line="155" w:lineRule="exact"/>
              <w:rPr>
                <w:sz w:val="20"/>
                <w:szCs w:val="20"/>
                <w:color w:val="auto"/>
              </w:rPr>
            </w:pPr>
            <w:r>
              <w:rPr>
                <w:rFonts w:ascii="Arial" w:cs="Arial" w:eastAsia="Arial" w:hAnsi="Arial"/>
                <w:sz w:val="16"/>
                <w:szCs w:val="16"/>
                <w:color w:val="62259D"/>
                <w:w w:val="83"/>
              </w:rPr>
              <w:t>Award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60" w:type="dxa"/>
            <w:vAlign w:val="bottom"/>
            <w:tcBorders>
              <w:top w:val="single" w:sz="8" w:color="62259D"/>
            </w:tcBorders>
            <w:gridSpan w:val="31"/>
          </w:tcPr>
          <w:p>
            <w:pPr>
              <w:spacing w:after="0" w:line="169" w:lineRule="exact"/>
              <w:rPr>
                <w:sz w:val="20"/>
                <w:szCs w:val="20"/>
                <w:color w:val="auto"/>
              </w:rPr>
            </w:pPr>
            <w:r>
              <w:rPr>
                <w:rFonts w:ascii="Arial" w:cs="Arial" w:eastAsia="Arial" w:hAnsi="Arial"/>
                <w:sz w:val="16"/>
                <w:szCs w:val="16"/>
                <w:color w:val="62259D"/>
              </w:rPr>
              <w:t>Plan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4C4C4C"/>
            </w:tcBorders>
          </w:tcPr>
          <w:p>
            <w:pPr>
              <w:spacing w:after="0" w:line="20" w:lineRule="exact"/>
              <w:rPr>
                <w:sz w:val="1"/>
                <w:szCs w:val="1"/>
                <w:color w:val="auto"/>
              </w:rPr>
            </w:pPr>
          </w:p>
        </w:tc>
        <w:tc>
          <w:tcPr>
            <w:tcW w:w="180" w:type="dxa"/>
            <w:vAlign w:val="bottom"/>
            <w:tcBorders>
              <w:bottom w:val="single" w:sz="8" w:color="4C4C4C"/>
            </w:tcBorders>
          </w:tcPr>
          <w:p>
            <w:pPr>
              <w:spacing w:after="0" w:line="20" w:lineRule="exact"/>
              <w:rPr>
                <w:sz w:val="1"/>
                <w:szCs w:val="1"/>
                <w:color w:val="auto"/>
              </w:rPr>
            </w:pPr>
          </w:p>
        </w:tc>
        <w:tc>
          <w:tcPr>
            <w:tcW w:w="80" w:type="dxa"/>
            <w:vAlign w:val="bottom"/>
            <w:tcBorders>
              <w:bottom w:val="single" w:sz="8" w:color="4C4C4C"/>
            </w:tcBorders>
          </w:tcPr>
          <w:p>
            <w:pPr>
              <w:spacing w:after="0" w:line="20" w:lineRule="exact"/>
              <w:rPr>
                <w:sz w:val="1"/>
                <w:szCs w:val="1"/>
                <w:color w:val="auto"/>
              </w:rPr>
            </w:pPr>
          </w:p>
        </w:tc>
        <w:tc>
          <w:tcPr>
            <w:tcW w:w="40" w:type="dxa"/>
            <w:vAlign w:val="bottom"/>
            <w:tcBorders>
              <w:bottom w:val="single" w:sz="8" w:color="4C4C4C"/>
            </w:tcBorders>
          </w:tcPr>
          <w:p>
            <w:pPr>
              <w:spacing w:after="0" w:line="20" w:lineRule="exact"/>
              <w:rPr>
                <w:sz w:val="1"/>
                <w:szCs w:val="1"/>
                <w:color w:val="auto"/>
              </w:rPr>
            </w:pPr>
          </w:p>
        </w:tc>
        <w:tc>
          <w:tcPr>
            <w:tcW w:w="240" w:type="dxa"/>
            <w:vAlign w:val="bottom"/>
            <w:tcBorders>
              <w:bottom w:val="single" w:sz="8" w:color="4C4C4C"/>
            </w:tcBorders>
          </w:tcPr>
          <w:p>
            <w:pPr>
              <w:spacing w:after="0" w:line="20" w:lineRule="exact"/>
              <w:rPr>
                <w:sz w:val="1"/>
                <w:szCs w:val="1"/>
                <w:color w:val="auto"/>
              </w:rPr>
            </w:pPr>
          </w:p>
        </w:tc>
        <w:tc>
          <w:tcPr>
            <w:tcW w:w="160" w:type="dxa"/>
            <w:vAlign w:val="bottom"/>
            <w:tcBorders>
              <w:top w:val="single" w:sz="8" w:color="62259D"/>
              <w:bottom w:val="single" w:sz="8" w:color="4C4C4C"/>
            </w:tcBorders>
          </w:tcPr>
          <w:p>
            <w:pPr>
              <w:spacing w:after="0" w:line="20" w:lineRule="exact"/>
              <w:rPr>
                <w:sz w:val="1"/>
                <w:szCs w:val="1"/>
                <w:color w:val="auto"/>
              </w:rPr>
            </w:pPr>
          </w:p>
        </w:tc>
        <w:tc>
          <w:tcPr>
            <w:tcW w:w="180" w:type="dxa"/>
            <w:vAlign w:val="bottom"/>
            <w:tcBorders>
              <w:top w:val="single" w:sz="8" w:color="62259D"/>
              <w:bottom w:val="single" w:sz="8" w:color="4C4C4C"/>
            </w:tcBorders>
          </w:tcPr>
          <w:p>
            <w:pPr>
              <w:spacing w:after="0" w:line="20" w:lineRule="exact"/>
              <w:rPr>
                <w:sz w:val="1"/>
                <w:szCs w:val="1"/>
                <w:color w:val="auto"/>
              </w:rPr>
            </w:pPr>
          </w:p>
        </w:tc>
        <w:tc>
          <w:tcPr>
            <w:tcW w:w="140" w:type="dxa"/>
            <w:vAlign w:val="bottom"/>
            <w:tcBorders>
              <w:bottom w:val="single" w:sz="8" w:color="4C4C4C"/>
            </w:tcBorders>
          </w:tcPr>
          <w:p>
            <w:pPr>
              <w:spacing w:after="0" w:line="20" w:lineRule="exact"/>
              <w:rPr>
                <w:sz w:val="1"/>
                <w:szCs w:val="1"/>
                <w:color w:val="auto"/>
              </w:rPr>
            </w:pPr>
          </w:p>
        </w:tc>
        <w:tc>
          <w:tcPr>
            <w:tcW w:w="140" w:type="dxa"/>
            <w:vAlign w:val="bottom"/>
            <w:tcBorders>
              <w:bottom w:val="single" w:sz="8" w:color="4C4C4C"/>
            </w:tcBorders>
          </w:tcPr>
          <w:p>
            <w:pPr>
              <w:spacing w:after="0" w:line="20" w:lineRule="exact"/>
              <w:rPr>
                <w:sz w:val="1"/>
                <w:szCs w:val="1"/>
                <w:color w:val="auto"/>
              </w:rPr>
            </w:pPr>
          </w:p>
        </w:tc>
        <w:tc>
          <w:tcPr>
            <w:tcW w:w="160" w:type="dxa"/>
            <w:vAlign w:val="bottom"/>
            <w:tcBorders>
              <w:bottom w:val="single" w:sz="8" w:color="4C4C4C"/>
            </w:tcBorders>
          </w:tcPr>
          <w:p>
            <w:pPr>
              <w:spacing w:after="0" w:line="20" w:lineRule="exact"/>
              <w:rPr>
                <w:sz w:val="1"/>
                <w:szCs w:val="1"/>
                <w:color w:val="auto"/>
              </w:rPr>
            </w:pPr>
          </w:p>
        </w:tc>
        <w:tc>
          <w:tcPr>
            <w:tcW w:w="240" w:type="dxa"/>
            <w:vAlign w:val="bottom"/>
            <w:tcBorders>
              <w:bottom w:val="single" w:sz="8" w:color="4C4C4C"/>
            </w:tcBorders>
          </w:tcPr>
          <w:p>
            <w:pPr>
              <w:spacing w:after="0" w:line="20" w:lineRule="exact"/>
              <w:rPr>
                <w:sz w:val="1"/>
                <w:szCs w:val="1"/>
                <w:color w:val="auto"/>
              </w:rPr>
            </w:pPr>
          </w:p>
        </w:tc>
        <w:tc>
          <w:tcPr>
            <w:tcW w:w="12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40" w:type="dxa"/>
            <w:vAlign w:val="bottom"/>
            <w:tcBorders>
              <w:bottom w:val="single" w:sz="8" w:color="4C4C4C"/>
            </w:tcBorders>
          </w:tcPr>
          <w:p>
            <w:pPr>
              <w:spacing w:after="0" w:line="20" w:lineRule="exact"/>
              <w:rPr>
                <w:sz w:val="1"/>
                <w:szCs w:val="1"/>
                <w:color w:val="auto"/>
              </w:rPr>
            </w:pPr>
          </w:p>
        </w:tc>
        <w:tc>
          <w:tcPr>
            <w:tcW w:w="320" w:type="dxa"/>
            <w:vAlign w:val="bottom"/>
            <w:tcBorders>
              <w:bottom w:val="single" w:sz="8" w:color="4C4C4C"/>
            </w:tcBorders>
          </w:tcPr>
          <w:p>
            <w:pPr>
              <w:spacing w:after="0" w:line="20" w:lineRule="exact"/>
              <w:rPr>
                <w:sz w:val="1"/>
                <w:szCs w:val="1"/>
                <w:color w:val="auto"/>
              </w:rPr>
            </w:pPr>
          </w:p>
        </w:tc>
        <w:tc>
          <w:tcPr>
            <w:tcW w:w="38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200" w:type="dxa"/>
            <w:vAlign w:val="bottom"/>
            <w:tcBorders>
              <w:bottom w:val="single" w:sz="8" w:color="4C4C4C"/>
            </w:tcBorders>
          </w:tcPr>
          <w:p>
            <w:pPr>
              <w:spacing w:after="0" w:line="20" w:lineRule="exact"/>
              <w:rPr>
                <w:sz w:val="1"/>
                <w:szCs w:val="1"/>
                <w:color w:val="auto"/>
              </w:rPr>
            </w:pPr>
          </w:p>
        </w:tc>
        <w:tc>
          <w:tcPr>
            <w:tcW w:w="280" w:type="dxa"/>
            <w:vAlign w:val="bottom"/>
            <w:tcBorders>
              <w:bottom w:val="single" w:sz="8" w:color="4C4C4C"/>
            </w:tcBorders>
          </w:tcPr>
          <w:p>
            <w:pPr>
              <w:spacing w:after="0" w:line="20" w:lineRule="exact"/>
              <w:rPr>
                <w:sz w:val="1"/>
                <w:szCs w:val="1"/>
                <w:color w:val="auto"/>
              </w:rPr>
            </w:pPr>
          </w:p>
        </w:tc>
        <w:tc>
          <w:tcPr>
            <w:tcW w:w="16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4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8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16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40" w:type="dxa"/>
            <w:vAlign w:val="bottom"/>
            <w:tcBorders>
              <w:bottom w:val="single" w:sz="8" w:color="4C4C4C"/>
            </w:tcBorders>
          </w:tcPr>
          <w:p>
            <w:pPr>
              <w:spacing w:after="0" w:line="20" w:lineRule="exact"/>
              <w:rPr>
                <w:sz w:val="1"/>
                <w:szCs w:val="1"/>
                <w:color w:val="auto"/>
              </w:rPr>
            </w:pPr>
          </w:p>
        </w:tc>
        <w:tc>
          <w:tcPr>
            <w:tcW w:w="80" w:type="dxa"/>
            <w:vAlign w:val="bottom"/>
            <w:tcBorders>
              <w:bottom w:val="single" w:sz="8" w:color="4C4C4C"/>
            </w:tcBorders>
          </w:tcPr>
          <w:p>
            <w:pPr>
              <w:spacing w:after="0" w:line="20" w:lineRule="exact"/>
              <w:rPr>
                <w:sz w:val="1"/>
                <w:szCs w:val="1"/>
                <w:color w:val="auto"/>
              </w:rPr>
            </w:pPr>
          </w:p>
        </w:tc>
        <w:tc>
          <w:tcPr>
            <w:tcW w:w="120" w:type="dxa"/>
            <w:vAlign w:val="bottom"/>
            <w:tcBorders>
              <w:bottom w:val="single" w:sz="8" w:color="4C4C4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Pr>
          <w:p>
            <w:pPr>
              <w:spacing w:after="0" w:line="156" w:lineRule="exact"/>
              <w:rPr>
                <w:sz w:val="20"/>
                <w:szCs w:val="20"/>
                <w:color w:val="auto"/>
              </w:rPr>
            </w:pPr>
            <w:r>
              <w:rPr>
                <w:rFonts w:ascii="Arial" w:cs="Arial" w:eastAsia="Arial" w:hAnsi="Arial"/>
                <w:sz w:val="16"/>
                <w:szCs w:val="16"/>
                <w:color w:val="auto"/>
              </w:rPr>
              <w:t>​</w:t>
            </w:r>
          </w:p>
        </w:tc>
        <w:tc>
          <w:tcPr>
            <w:tcW w:w="180" w:type="dxa"/>
            <w:vAlign w:val="bottom"/>
          </w:tcPr>
          <w:p>
            <w:pPr>
              <w:spacing w:after="0" w:line="156" w:lineRule="exact"/>
              <w:rPr>
                <w:sz w:val="20"/>
                <w:szCs w:val="20"/>
                <w:color w:val="auto"/>
              </w:rPr>
            </w:pPr>
            <w:r>
              <w:rPr>
                <w:rFonts w:ascii="Arial" w:cs="Arial" w:eastAsia="Arial" w:hAnsi="Arial"/>
                <w:sz w:val="16"/>
                <w:szCs w:val="16"/>
                <w:color w:val="0000EE"/>
                <w:w w:val="89"/>
              </w:rPr>
              <w:t>71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jc w:val="right"/>
              <w:spacing w:after="0" w:line="156" w:lineRule="exact"/>
              <w:rPr>
                <w:sz w:val="20"/>
                <w:szCs w:val="20"/>
                <w:color w:val="auto"/>
              </w:rPr>
            </w:pPr>
            <w:r>
              <w:rPr>
                <w:rFonts w:ascii="Arial" w:cs="Arial" w:eastAsia="Arial" w:hAnsi="Arial"/>
                <w:sz w:val="16"/>
                <w:szCs w:val="16"/>
                <w:color w:val="auto"/>
              </w:rPr>
              <w:t>​ ​</w:t>
            </w:r>
          </w:p>
        </w:tc>
        <w:tc>
          <w:tcPr>
            <w:tcW w:w="3440" w:type="dxa"/>
            <w:vAlign w:val="bottom"/>
            <w:gridSpan w:val="36"/>
          </w:tcPr>
          <w:p>
            <w:pPr>
              <w:spacing w:after="0" w:line="156" w:lineRule="exact"/>
              <w:rPr>
                <w:sz w:val="20"/>
                <w:szCs w:val="20"/>
                <w:color w:val="auto"/>
              </w:rPr>
            </w:pPr>
            <w:r>
              <w:rPr>
                <w:rFonts w:ascii="Arial" w:cs="Arial" w:eastAsia="Arial" w:hAnsi="Arial"/>
                <w:sz w:val="16"/>
                <w:szCs w:val="16"/>
                <w:color w:val="0000EE"/>
              </w:rPr>
              <w:t>Highlights of the New Plan</w:t>
            </w:r>
          </w:p>
        </w:tc>
        <w:tc>
          <w:tcPr>
            <w:tcW w:w="120" w:type="dxa"/>
            <w:vAlign w:val="bottom"/>
          </w:tcPr>
          <w:p>
            <w:pPr>
              <w:jc w:val="right"/>
              <w:spacing w:after="0" w:line="15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bottom w:val="single" w:sz="8" w:color="0000EE"/>
            </w:tcBorders>
          </w:tcPr>
          <w:p>
            <w:pPr>
              <w:spacing w:after="0" w:line="169" w:lineRule="exact"/>
              <w:rPr>
                <w:sz w:val="20"/>
                <w:szCs w:val="20"/>
                <w:color w:val="auto"/>
              </w:rPr>
            </w:pPr>
            <w:r>
              <w:rPr>
                <w:rFonts w:ascii="Arial" w:cs="Arial" w:eastAsia="Arial" w:hAnsi="Arial"/>
                <w:sz w:val="16"/>
                <w:szCs w:val="16"/>
                <w:color w:val="0000EE"/>
                <w:w w:val="89"/>
              </w:rPr>
              <w:t>71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jc w:val="right"/>
              <w:spacing w:after="0" w:line="169" w:lineRule="exact"/>
              <w:rPr>
                <w:sz w:val="20"/>
                <w:szCs w:val="20"/>
                <w:color w:val="auto"/>
              </w:rPr>
            </w:pPr>
            <w:r>
              <w:rPr>
                <w:rFonts w:ascii="Arial" w:cs="Arial" w:eastAsia="Arial" w:hAnsi="Arial"/>
                <w:sz w:val="16"/>
                <w:szCs w:val="16"/>
                <w:color w:val="auto"/>
              </w:rPr>
              <w:t>​ ​</w:t>
            </w:r>
          </w:p>
        </w:tc>
        <w:tc>
          <w:tcPr>
            <w:tcW w:w="1980" w:type="dxa"/>
            <w:vAlign w:val="bottom"/>
            <w:tcBorders>
              <w:top w:val="single" w:sz="8" w:color="0000EE"/>
              <w:bottom w:val="single" w:sz="8" w:color="0000EE"/>
            </w:tcBorders>
            <w:gridSpan w:val="13"/>
          </w:tcPr>
          <w:p>
            <w:pPr>
              <w:spacing w:after="0" w:line="169" w:lineRule="exact"/>
              <w:rPr>
                <w:sz w:val="20"/>
                <w:szCs w:val="20"/>
                <w:color w:val="auto"/>
              </w:rPr>
            </w:pPr>
            <w:r>
              <w:rPr>
                <w:rFonts w:ascii="Arial" w:cs="Arial" w:eastAsia="Arial" w:hAnsi="Arial"/>
                <w:sz w:val="16"/>
                <w:szCs w:val="16"/>
                <w:color w:val="0000EE"/>
              </w:rPr>
              <w:t>Analysis of Share Reserve</w:t>
            </w:r>
          </w:p>
        </w:tc>
        <w:tc>
          <w:tcPr>
            <w:tcW w:w="20" w:type="dxa"/>
            <w:vAlign w:val="bottom"/>
            <w:tcBorders>
              <w:bottom w:val="single" w:sz="8" w:color="0000EE"/>
            </w:tcBorders>
          </w:tcPr>
          <w:p>
            <w:pPr>
              <w:spacing w:after="0"/>
              <w:rPr>
                <w:sz w:val="14"/>
                <w:szCs w:val="14"/>
                <w:color w:val="auto"/>
              </w:rPr>
            </w:pPr>
          </w:p>
        </w:tc>
        <w:tc>
          <w:tcPr>
            <w:tcW w:w="48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Pr>
          <w:p>
            <w:pPr>
              <w:spacing w:after="0" w:line="169" w:lineRule="exact"/>
              <w:rPr>
                <w:sz w:val="20"/>
                <w:szCs w:val="20"/>
                <w:color w:val="auto"/>
              </w:rPr>
            </w:pPr>
            <w:r>
              <w:rPr>
                <w:rFonts w:ascii="Arial" w:cs="Arial" w:eastAsia="Arial" w:hAnsi="Arial"/>
                <w:sz w:val="16"/>
                <w:szCs w:val="16"/>
                <w:color w:val="0000EE"/>
                <w:w w:val="89"/>
              </w:rPr>
              <w:t>73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jc w:val="right"/>
              <w:spacing w:after="0" w:line="169" w:lineRule="exact"/>
              <w:rPr>
                <w:sz w:val="20"/>
                <w:szCs w:val="20"/>
                <w:color w:val="auto"/>
              </w:rPr>
            </w:pPr>
            <w:r>
              <w:rPr>
                <w:rFonts w:ascii="Arial" w:cs="Arial" w:eastAsia="Arial" w:hAnsi="Arial"/>
                <w:sz w:val="16"/>
                <w:szCs w:val="16"/>
                <w:color w:val="auto"/>
              </w:rPr>
              <w:t>​ ​</w:t>
            </w:r>
          </w:p>
        </w:tc>
        <w:tc>
          <w:tcPr>
            <w:tcW w:w="2000" w:type="dxa"/>
            <w:vAlign w:val="bottom"/>
            <w:gridSpan w:val="14"/>
          </w:tcPr>
          <w:p>
            <w:pPr>
              <w:spacing w:after="0" w:line="169" w:lineRule="exact"/>
              <w:rPr>
                <w:sz w:val="20"/>
                <w:szCs w:val="20"/>
                <w:color w:val="auto"/>
              </w:rPr>
            </w:pPr>
            <w:r>
              <w:rPr>
                <w:rFonts w:ascii="Arial" w:cs="Arial" w:eastAsia="Arial" w:hAnsi="Arial"/>
                <w:sz w:val="16"/>
                <w:szCs w:val="16"/>
                <w:color w:val="0000EE"/>
              </w:rPr>
              <w:t>Equity Compensation Plan</w:t>
            </w:r>
          </w:p>
        </w:tc>
        <w:tc>
          <w:tcPr>
            <w:tcW w:w="1440" w:type="dxa"/>
            <w:vAlign w:val="bottom"/>
            <w:gridSpan w:val="22"/>
          </w:tcPr>
          <w:p>
            <w:pPr>
              <w:ind w:left="20"/>
              <w:spacing w:after="0" w:line="169" w:lineRule="exact"/>
              <w:rPr>
                <w:sz w:val="20"/>
                <w:szCs w:val="20"/>
                <w:color w:val="auto"/>
              </w:rPr>
            </w:pPr>
            <w:r>
              <w:rPr>
                <w:rFonts w:ascii="Arial" w:cs="Arial" w:eastAsia="Arial" w:hAnsi="Arial"/>
                <w:sz w:val="16"/>
                <w:szCs w:val="16"/>
                <w:color w:val="0000EE"/>
              </w:rPr>
              <w:t>Information</w:t>
            </w:r>
          </w:p>
        </w:tc>
        <w:tc>
          <w:tcPr>
            <w:tcW w:w="12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tcBorders>
          </w:tcPr>
          <w:p>
            <w:pPr>
              <w:spacing w:after="0" w:line="169" w:lineRule="exact"/>
              <w:rPr>
                <w:sz w:val="20"/>
                <w:szCs w:val="20"/>
                <w:color w:val="auto"/>
              </w:rPr>
            </w:pPr>
            <w:r>
              <w:rPr>
                <w:rFonts w:ascii="Arial" w:cs="Arial" w:eastAsia="Arial" w:hAnsi="Arial"/>
                <w:sz w:val="16"/>
                <w:szCs w:val="16"/>
                <w:color w:val="0000EE"/>
                <w:w w:val="89"/>
              </w:rPr>
              <w:t>73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jc w:val="right"/>
              <w:spacing w:after="0" w:line="169" w:lineRule="exact"/>
              <w:rPr>
                <w:sz w:val="20"/>
                <w:szCs w:val="20"/>
                <w:color w:val="auto"/>
              </w:rPr>
            </w:pPr>
            <w:r>
              <w:rPr>
                <w:rFonts w:ascii="Arial" w:cs="Arial" w:eastAsia="Arial" w:hAnsi="Arial"/>
                <w:sz w:val="16"/>
                <w:szCs w:val="16"/>
                <w:color w:val="auto"/>
              </w:rPr>
              <w:t>​ ​</w:t>
            </w:r>
          </w:p>
        </w:tc>
        <w:tc>
          <w:tcPr>
            <w:tcW w:w="2880" w:type="dxa"/>
            <w:vAlign w:val="bottom"/>
            <w:tcBorders>
              <w:top w:val="single" w:sz="8" w:color="0000EE"/>
            </w:tcBorders>
            <w:gridSpan w:val="24"/>
          </w:tcPr>
          <w:p>
            <w:pPr>
              <w:spacing w:after="0" w:line="169" w:lineRule="exact"/>
              <w:rPr>
                <w:sz w:val="20"/>
                <w:szCs w:val="20"/>
                <w:color w:val="auto"/>
              </w:rPr>
            </w:pPr>
            <w:r>
              <w:rPr>
                <w:rFonts w:ascii="Arial" w:cs="Arial" w:eastAsia="Arial" w:hAnsi="Arial"/>
                <w:sz w:val="16"/>
                <w:szCs w:val="16"/>
                <w:color w:val="0000EE"/>
              </w:rPr>
              <w:t>Summary of the New Plan</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120" w:type="dxa"/>
            <w:vAlign w:val="bottom"/>
          </w:tcPr>
          <w:p>
            <w:pPr>
              <w:spacing w:after="0" w:line="155"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tcBorders>
          </w:tcPr>
          <w:p>
            <w:pPr>
              <w:spacing w:after="0" w:line="155" w:lineRule="exact"/>
              <w:rPr>
                <w:sz w:val="20"/>
                <w:szCs w:val="20"/>
                <w:color w:val="auto"/>
              </w:rPr>
            </w:pPr>
            <w:r>
              <w:rPr>
                <w:rFonts w:ascii="Arial" w:cs="Arial" w:eastAsia="Arial" w:hAnsi="Arial"/>
                <w:sz w:val="16"/>
                <w:szCs w:val="16"/>
                <w:color w:val="0000EE"/>
                <w:w w:val="89"/>
              </w:rPr>
              <w:t>80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jc w:val="right"/>
              <w:spacing w:after="0" w:line="155" w:lineRule="exact"/>
              <w:rPr>
                <w:sz w:val="20"/>
                <w:szCs w:val="20"/>
                <w:color w:val="auto"/>
              </w:rPr>
            </w:pPr>
            <w:r>
              <w:rPr>
                <w:rFonts w:ascii="Arial" w:cs="Arial" w:eastAsia="Arial" w:hAnsi="Arial"/>
                <w:sz w:val="16"/>
                <w:szCs w:val="16"/>
                <w:color w:val="auto"/>
              </w:rPr>
              <w:t>​ ​</w:t>
            </w:r>
          </w:p>
        </w:tc>
        <w:tc>
          <w:tcPr>
            <w:tcW w:w="1940" w:type="dxa"/>
            <w:vAlign w:val="bottom"/>
            <w:tcBorders>
              <w:top w:val="single" w:sz="8" w:color="0000EE"/>
            </w:tcBorders>
            <w:gridSpan w:val="11"/>
          </w:tcPr>
          <w:p>
            <w:pPr>
              <w:spacing w:after="0" w:line="155" w:lineRule="exact"/>
              <w:rPr>
                <w:sz w:val="20"/>
                <w:szCs w:val="20"/>
                <w:color w:val="auto"/>
              </w:rPr>
            </w:pPr>
            <w:r>
              <w:rPr>
                <w:rFonts w:ascii="Arial" w:cs="Arial" w:eastAsia="Arial" w:hAnsi="Arial"/>
                <w:sz w:val="16"/>
                <w:szCs w:val="16"/>
                <w:color w:val="0000EE"/>
                <w:w w:val="97"/>
              </w:rPr>
              <w:t>New Plan Benefits / Interest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23"/>
          </w:tcPr>
          <w:p>
            <w:pPr>
              <w:ind w:left="140"/>
              <w:spacing w:after="0" w:line="155" w:lineRule="exact"/>
              <w:rPr>
                <w:sz w:val="20"/>
                <w:szCs w:val="20"/>
                <w:color w:val="auto"/>
              </w:rPr>
            </w:pPr>
            <w:r>
              <w:rPr>
                <w:rFonts w:ascii="Arial" w:cs="Arial" w:eastAsia="Arial" w:hAnsi="Arial"/>
                <w:sz w:val="16"/>
                <w:szCs w:val="16"/>
                <w:color w:val="0000EE"/>
              </w:rPr>
              <w:t>of Certain</w:t>
            </w:r>
          </w:p>
        </w:tc>
        <w:tc>
          <w:tcPr>
            <w:tcW w:w="120" w:type="dxa"/>
            <w:vAlign w:val="bottom"/>
          </w:tcPr>
          <w:p>
            <w:pPr>
              <w:jc w:val="right"/>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620" w:type="dxa"/>
            <w:vAlign w:val="bottom"/>
            <w:tcBorders>
              <w:top w:val="single" w:sz="8" w:color="0000EE"/>
              <w:bottom w:val="single" w:sz="8" w:color="0000EE"/>
            </w:tcBorders>
            <w:gridSpan w:val="4"/>
          </w:tcPr>
          <w:p>
            <w:pPr>
              <w:spacing w:after="0" w:line="155" w:lineRule="exact"/>
              <w:rPr>
                <w:sz w:val="20"/>
                <w:szCs w:val="20"/>
                <w:color w:val="auto"/>
              </w:rPr>
            </w:pPr>
            <w:r>
              <w:rPr>
                <w:rFonts w:ascii="Arial" w:cs="Arial" w:eastAsia="Arial" w:hAnsi="Arial"/>
                <w:sz w:val="16"/>
                <w:szCs w:val="16"/>
                <w:color w:val="0000EE"/>
              </w:rPr>
              <w:t>Persons</w:t>
            </w:r>
          </w:p>
        </w:tc>
        <w:tc>
          <w:tcPr>
            <w:tcW w:w="2240" w:type="dxa"/>
            <w:vAlign w:val="bottom"/>
            <w:tcBorders>
              <w:top w:val="single" w:sz="8" w:color="0000EE"/>
            </w:tcBorders>
            <w:gridSpan w:val="19"/>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120" w:type="dxa"/>
            <w:vAlign w:val="bottom"/>
            <w:vMerge w:val="continue"/>
          </w:tcPr>
          <w:p>
            <w:pPr>
              <w:spacing w:after="0"/>
              <w:rPr>
                <w:sz w:val="16"/>
                <w:szCs w:val="16"/>
                <w:color w:val="auto"/>
              </w:rPr>
            </w:pPr>
          </w:p>
        </w:tc>
        <w:tc>
          <w:tcPr>
            <w:tcW w:w="180" w:type="dxa"/>
            <w:vAlign w:val="bottom"/>
            <w:tcBorders>
              <w:bottom w:val="single" w:sz="8" w:color="0000EE"/>
            </w:tcBorders>
          </w:tcPr>
          <w:p>
            <w:pPr>
              <w:spacing w:after="0" w:line="183" w:lineRule="exact"/>
              <w:rPr>
                <w:sz w:val="20"/>
                <w:szCs w:val="20"/>
                <w:color w:val="auto"/>
              </w:rPr>
            </w:pPr>
            <w:r>
              <w:rPr>
                <w:rFonts w:ascii="Arial" w:cs="Arial" w:eastAsia="Arial" w:hAnsi="Arial"/>
                <w:sz w:val="16"/>
                <w:szCs w:val="16"/>
                <w:color w:val="0000EE"/>
                <w:w w:val="89"/>
              </w:rPr>
              <w:t>81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2640" w:type="dxa"/>
            <w:vAlign w:val="bottom"/>
            <w:tcBorders>
              <w:bottom w:val="single" w:sz="8" w:color="0000EE"/>
            </w:tcBorders>
            <w:gridSpan w:val="17"/>
          </w:tcPr>
          <w:p>
            <w:pPr>
              <w:spacing w:after="0" w:line="183" w:lineRule="exact"/>
              <w:rPr>
                <w:sz w:val="20"/>
                <w:szCs w:val="20"/>
                <w:color w:val="auto"/>
              </w:rPr>
            </w:pPr>
            <w:r>
              <w:rPr>
                <w:rFonts w:ascii="Arial" w:cs="Arial" w:eastAsia="Arial" w:hAnsi="Arial"/>
                <w:sz w:val="16"/>
                <w:szCs w:val="16"/>
                <w:color w:val="0000EE"/>
              </w:rPr>
              <w:t>Federal Income Tax Consequences</w:t>
            </w:r>
          </w:p>
        </w:tc>
        <w:tc>
          <w:tcPr>
            <w:tcW w:w="800" w:type="dxa"/>
            <w:vAlign w:val="bottom"/>
            <w:gridSpan w:val="19"/>
          </w:tcPr>
          <w:p>
            <w:pPr>
              <w:spacing w:after="0"/>
              <w:rPr>
                <w:sz w:val="16"/>
                <w:szCs w:val="16"/>
                <w:color w:val="auto"/>
              </w:rPr>
            </w:pP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20"/>
                <w:szCs w:val="20"/>
                <w:color w:val="auto"/>
              </w:rPr>
            </w:pPr>
            <w:r>
              <w:rPr>
                <w:rFonts w:ascii="Arial" w:cs="Arial" w:eastAsia="Arial" w:hAnsi="Arial"/>
                <w:sz w:val="17"/>
                <w:szCs w:val="17"/>
                <w:b w:val="1"/>
                <w:bCs w:val="1"/>
                <w:color w:val="auto"/>
              </w:rPr>
              <w:t>​</w:t>
            </w:r>
          </w:p>
        </w:tc>
        <w:tc>
          <w:tcPr>
            <w:tcW w:w="260" w:type="dxa"/>
            <w:vAlign w:val="bottom"/>
            <w:gridSpan w:val="2"/>
            <w:vMerge w:val="restart"/>
          </w:tcPr>
          <w:p>
            <w:pPr>
              <w:spacing w:after="0"/>
              <w:rPr>
                <w:sz w:val="20"/>
                <w:szCs w:val="20"/>
                <w:color w:val="auto"/>
              </w:rPr>
            </w:pPr>
            <w:r>
              <w:rPr>
                <w:rFonts w:ascii="Arial" w:cs="Arial" w:eastAsia="Arial" w:hAnsi="Arial"/>
                <w:sz w:val="17"/>
                <w:szCs w:val="17"/>
                <w:b w:val="1"/>
                <w:bCs w:val="1"/>
                <w:color w:val="0000EE"/>
              </w:rPr>
              <w:t>83</w:t>
            </w:r>
          </w:p>
        </w:tc>
        <w:tc>
          <w:tcPr>
            <w:tcW w:w="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3440" w:type="dxa"/>
            <w:vAlign w:val="bottom"/>
            <w:gridSpan w:val="36"/>
            <w:vMerge w:val="restart"/>
          </w:tcPr>
          <w:p>
            <w:pPr>
              <w:spacing w:after="0"/>
              <w:rPr>
                <w:sz w:val="20"/>
                <w:szCs w:val="20"/>
                <w:color w:val="auto"/>
              </w:rPr>
            </w:pPr>
            <w:r>
              <w:rPr>
                <w:rFonts w:ascii="Arial" w:cs="Arial" w:eastAsia="Arial" w:hAnsi="Arial"/>
                <w:sz w:val="17"/>
                <w:szCs w:val="17"/>
                <w:b w:val="1"/>
                <w:bCs w:val="1"/>
                <w:color w:val="0000EE"/>
              </w:rPr>
              <w:t>STOCK INFORMATION</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40" w:type="dxa"/>
            <w:vAlign w:val="bottom"/>
            <w:gridSpan w:val="36"/>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7417A"/>
            </w:tcBorders>
          </w:tcPr>
          <w:p>
            <w:pPr>
              <w:spacing w:after="0" w:line="20" w:lineRule="exact"/>
              <w:rPr>
                <w:sz w:val="1"/>
                <w:szCs w:val="1"/>
                <w:color w:val="auto"/>
              </w:rPr>
            </w:pPr>
          </w:p>
        </w:tc>
        <w:tc>
          <w:tcPr>
            <w:tcW w:w="180" w:type="dxa"/>
            <w:vAlign w:val="bottom"/>
            <w:tcBorders>
              <w:top w:val="single" w:sz="8" w:color="0000EE"/>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240" w:type="dxa"/>
            <w:vAlign w:val="bottom"/>
            <w:tcBorders>
              <w:bottom w:val="single" w:sz="8" w:color="E7417A"/>
            </w:tcBorders>
          </w:tcPr>
          <w:p>
            <w:pPr>
              <w:spacing w:after="0" w:line="20" w:lineRule="exact"/>
              <w:rPr>
                <w:sz w:val="1"/>
                <w:szCs w:val="1"/>
                <w:color w:val="auto"/>
              </w:rPr>
            </w:pPr>
          </w:p>
        </w:tc>
        <w:tc>
          <w:tcPr>
            <w:tcW w:w="160" w:type="dxa"/>
            <w:vAlign w:val="bottom"/>
            <w:tcBorders>
              <w:top w:val="single" w:sz="8" w:color="0000EE"/>
              <w:bottom w:val="single" w:sz="8" w:color="E7417A"/>
            </w:tcBorders>
          </w:tcPr>
          <w:p>
            <w:pPr>
              <w:spacing w:after="0" w:line="20" w:lineRule="exact"/>
              <w:rPr>
                <w:sz w:val="1"/>
                <w:szCs w:val="1"/>
                <w:color w:val="auto"/>
              </w:rPr>
            </w:pPr>
          </w:p>
        </w:tc>
        <w:tc>
          <w:tcPr>
            <w:tcW w:w="1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160" w:type="dxa"/>
            <w:vAlign w:val="bottom"/>
            <w:tcBorders>
              <w:top w:val="single" w:sz="8" w:color="0000EE"/>
              <w:bottom w:val="single" w:sz="8" w:color="E7417A"/>
            </w:tcBorders>
          </w:tcPr>
          <w:p>
            <w:pPr>
              <w:spacing w:after="0" w:line="20" w:lineRule="exact"/>
              <w:rPr>
                <w:sz w:val="1"/>
                <w:szCs w:val="1"/>
                <w:color w:val="auto"/>
              </w:rPr>
            </w:pPr>
          </w:p>
        </w:tc>
        <w:tc>
          <w:tcPr>
            <w:tcW w:w="240" w:type="dxa"/>
            <w:vAlign w:val="bottom"/>
            <w:tcBorders>
              <w:top w:val="single" w:sz="8" w:color="0000EE"/>
              <w:bottom w:val="single" w:sz="8" w:color="E7417A"/>
            </w:tcBorders>
          </w:tcPr>
          <w:p>
            <w:pPr>
              <w:spacing w:after="0" w:line="20" w:lineRule="exact"/>
              <w:rPr>
                <w:sz w:val="1"/>
                <w:szCs w:val="1"/>
                <w:color w:val="auto"/>
              </w:rPr>
            </w:pPr>
          </w:p>
        </w:tc>
        <w:tc>
          <w:tcPr>
            <w:tcW w:w="120" w:type="dxa"/>
            <w:vAlign w:val="bottom"/>
            <w:tcBorders>
              <w:top w:val="single" w:sz="8" w:color="0000EE"/>
              <w:bottom w:val="single" w:sz="8" w:color="E7417A"/>
            </w:tcBorders>
          </w:tcPr>
          <w:p>
            <w:pPr>
              <w:spacing w:after="0" w:line="20" w:lineRule="exact"/>
              <w:rPr>
                <w:sz w:val="1"/>
                <w:szCs w:val="1"/>
                <w:color w:val="auto"/>
              </w:rPr>
            </w:pPr>
          </w:p>
        </w:tc>
        <w:tc>
          <w:tcPr>
            <w:tcW w:w="6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320" w:type="dxa"/>
            <w:vAlign w:val="bottom"/>
            <w:tcBorders>
              <w:top w:val="single" w:sz="8" w:color="0000EE"/>
              <w:bottom w:val="single" w:sz="8" w:color="E7417A"/>
            </w:tcBorders>
          </w:tcPr>
          <w:p>
            <w:pPr>
              <w:spacing w:after="0" w:line="20" w:lineRule="exact"/>
              <w:rPr>
                <w:sz w:val="1"/>
                <w:szCs w:val="1"/>
                <w:color w:val="auto"/>
              </w:rPr>
            </w:pPr>
          </w:p>
        </w:tc>
        <w:tc>
          <w:tcPr>
            <w:tcW w:w="38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200" w:type="dxa"/>
            <w:vAlign w:val="bottom"/>
            <w:tcBorders>
              <w:bottom w:val="single" w:sz="8" w:color="E7417A"/>
            </w:tcBorders>
          </w:tcPr>
          <w:p>
            <w:pPr>
              <w:spacing w:after="0" w:line="20" w:lineRule="exact"/>
              <w:rPr>
                <w:sz w:val="1"/>
                <w:szCs w:val="1"/>
                <w:color w:val="auto"/>
              </w:rPr>
            </w:pPr>
          </w:p>
        </w:tc>
        <w:tc>
          <w:tcPr>
            <w:tcW w:w="280" w:type="dxa"/>
            <w:vAlign w:val="bottom"/>
            <w:tcBorders>
              <w:bottom w:val="single" w:sz="8" w:color="E7417A"/>
            </w:tcBorders>
          </w:tcPr>
          <w:p>
            <w:pPr>
              <w:spacing w:after="0" w:line="20" w:lineRule="exact"/>
              <w:rPr>
                <w:sz w:val="1"/>
                <w:szCs w:val="1"/>
                <w:color w:val="auto"/>
              </w:rPr>
            </w:pPr>
          </w:p>
        </w:tc>
        <w:tc>
          <w:tcPr>
            <w:tcW w:w="16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8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1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80" w:type="dxa"/>
            <w:vAlign w:val="bottom"/>
            <w:tcBorders>
              <w:bottom w:val="single" w:sz="8" w:color="E7417A"/>
            </w:tcBorders>
          </w:tcPr>
          <w:p>
            <w:pPr>
              <w:spacing w:after="0" w:line="20" w:lineRule="exact"/>
              <w:rPr>
                <w:sz w:val="1"/>
                <w:szCs w:val="1"/>
                <w:color w:val="auto"/>
              </w:rPr>
            </w:pPr>
          </w:p>
        </w:tc>
        <w:tc>
          <w:tcPr>
            <w:tcW w:w="12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line="155"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0000EE"/>
            </w:tcBorders>
          </w:tcPr>
          <w:p>
            <w:pPr>
              <w:spacing w:after="0" w:line="155" w:lineRule="exact"/>
              <w:rPr>
                <w:sz w:val="20"/>
                <w:szCs w:val="20"/>
                <w:color w:val="auto"/>
              </w:rPr>
            </w:pPr>
            <w:r>
              <w:rPr>
                <w:rFonts w:ascii="Arial" w:cs="Arial" w:eastAsia="Arial" w:hAnsi="Arial"/>
                <w:sz w:val="16"/>
                <w:szCs w:val="16"/>
                <w:color w:val="0000EE"/>
                <w:w w:val="89"/>
              </w:rPr>
              <w:t>83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jc w:val="right"/>
              <w:spacing w:after="0" w:line="155" w:lineRule="exact"/>
              <w:rPr>
                <w:sz w:val="20"/>
                <w:szCs w:val="20"/>
                <w:color w:val="auto"/>
              </w:rPr>
            </w:pPr>
            <w:r>
              <w:rPr>
                <w:rFonts w:ascii="Arial" w:cs="Arial" w:eastAsia="Arial" w:hAnsi="Arial"/>
                <w:sz w:val="16"/>
                <w:szCs w:val="16"/>
                <w:color w:val="auto"/>
              </w:rPr>
              <w:t>​ ​</w:t>
            </w:r>
          </w:p>
        </w:tc>
        <w:tc>
          <w:tcPr>
            <w:tcW w:w="3320" w:type="dxa"/>
            <w:vAlign w:val="bottom"/>
            <w:tcBorders>
              <w:bottom w:val="single" w:sz="8" w:color="0000EE"/>
            </w:tcBorders>
            <w:gridSpan w:val="34"/>
          </w:tcPr>
          <w:p>
            <w:pPr>
              <w:spacing w:after="0" w:line="155" w:lineRule="exact"/>
              <w:rPr>
                <w:sz w:val="20"/>
                <w:szCs w:val="20"/>
                <w:color w:val="auto"/>
              </w:rPr>
            </w:pPr>
            <w:r>
              <w:rPr>
                <w:rFonts w:ascii="Arial" w:cs="Arial" w:eastAsia="Arial" w:hAnsi="Arial"/>
                <w:sz w:val="16"/>
                <w:szCs w:val="16"/>
                <w:color w:val="0000EE"/>
              </w:rPr>
              <w:t>Beneficial Ownership of Our Common Stock</w:t>
            </w:r>
          </w:p>
        </w:tc>
        <w:tc>
          <w:tcPr>
            <w:tcW w:w="120" w:type="dxa"/>
            <w:vAlign w:val="bottom"/>
            <w:gridSpan w:val="2"/>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20"/>
                <w:szCs w:val="20"/>
                <w:color w:val="auto"/>
              </w:rPr>
            </w:pPr>
            <w:r>
              <w:rPr>
                <w:rFonts w:ascii="Arial" w:cs="Arial" w:eastAsia="Arial" w:hAnsi="Arial"/>
                <w:sz w:val="17"/>
                <w:szCs w:val="17"/>
                <w:b w:val="1"/>
                <w:bCs w:val="1"/>
                <w:color w:val="auto"/>
              </w:rPr>
              <w:t>​</w:t>
            </w:r>
          </w:p>
        </w:tc>
        <w:tc>
          <w:tcPr>
            <w:tcW w:w="260" w:type="dxa"/>
            <w:vAlign w:val="bottom"/>
            <w:gridSpan w:val="2"/>
            <w:vMerge w:val="restart"/>
          </w:tcPr>
          <w:p>
            <w:pPr>
              <w:spacing w:after="0"/>
              <w:rPr>
                <w:sz w:val="20"/>
                <w:szCs w:val="20"/>
                <w:color w:val="auto"/>
              </w:rPr>
            </w:pPr>
            <w:r>
              <w:rPr>
                <w:rFonts w:ascii="Arial" w:cs="Arial" w:eastAsia="Arial" w:hAnsi="Arial"/>
                <w:sz w:val="17"/>
                <w:szCs w:val="17"/>
                <w:b w:val="1"/>
                <w:bCs w:val="1"/>
                <w:color w:val="0000EE"/>
              </w:rPr>
              <w:t>86</w:t>
            </w:r>
          </w:p>
        </w:tc>
        <w:tc>
          <w:tcPr>
            <w:tcW w:w="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3440" w:type="dxa"/>
            <w:vAlign w:val="bottom"/>
            <w:gridSpan w:val="36"/>
            <w:vMerge w:val="restart"/>
          </w:tcPr>
          <w:p>
            <w:pPr>
              <w:spacing w:after="0"/>
              <w:rPr>
                <w:sz w:val="20"/>
                <w:szCs w:val="20"/>
                <w:color w:val="auto"/>
              </w:rPr>
            </w:pPr>
            <w:r>
              <w:rPr>
                <w:rFonts w:ascii="Arial" w:cs="Arial" w:eastAsia="Arial" w:hAnsi="Arial"/>
                <w:sz w:val="17"/>
                <w:szCs w:val="17"/>
                <w:b w:val="1"/>
                <w:bCs w:val="1"/>
                <w:color w:val="0000EE"/>
              </w:rPr>
              <w:t>ADDITIONAL INFORMATION</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40" w:type="dxa"/>
            <w:vAlign w:val="bottom"/>
            <w:gridSpan w:val="36"/>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7417A"/>
            </w:tcBorders>
          </w:tcPr>
          <w:p>
            <w:pPr>
              <w:spacing w:after="0" w:line="20" w:lineRule="exact"/>
              <w:rPr>
                <w:sz w:val="1"/>
                <w:szCs w:val="1"/>
                <w:color w:val="auto"/>
              </w:rPr>
            </w:pPr>
          </w:p>
        </w:tc>
        <w:tc>
          <w:tcPr>
            <w:tcW w:w="180" w:type="dxa"/>
            <w:vAlign w:val="bottom"/>
            <w:tcBorders>
              <w:top w:val="single" w:sz="8" w:color="0000EE"/>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240" w:type="dxa"/>
            <w:vAlign w:val="bottom"/>
            <w:tcBorders>
              <w:bottom w:val="single" w:sz="8" w:color="E7417A"/>
            </w:tcBorders>
          </w:tcPr>
          <w:p>
            <w:pPr>
              <w:spacing w:after="0" w:line="20" w:lineRule="exact"/>
              <w:rPr>
                <w:sz w:val="1"/>
                <w:szCs w:val="1"/>
                <w:color w:val="auto"/>
              </w:rPr>
            </w:pPr>
          </w:p>
        </w:tc>
        <w:tc>
          <w:tcPr>
            <w:tcW w:w="160" w:type="dxa"/>
            <w:vAlign w:val="bottom"/>
            <w:tcBorders>
              <w:top w:val="single" w:sz="8" w:color="0000EE"/>
              <w:bottom w:val="single" w:sz="8" w:color="E7417A"/>
            </w:tcBorders>
          </w:tcPr>
          <w:p>
            <w:pPr>
              <w:spacing w:after="0" w:line="20" w:lineRule="exact"/>
              <w:rPr>
                <w:sz w:val="1"/>
                <w:szCs w:val="1"/>
                <w:color w:val="auto"/>
              </w:rPr>
            </w:pPr>
          </w:p>
        </w:tc>
        <w:tc>
          <w:tcPr>
            <w:tcW w:w="1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160" w:type="dxa"/>
            <w:vAlign w:val="bottom"/>
            <w:tcBorders>
              <w:top w:val="single" w:sz="8" w:color="0000EE"/>
              <w:bottom w:val="single" w:sz="8" w:color="E7417A"/>
            </w:tcBorders>
          </w:tcPr>
          <w:p>
            <w:pPr>
              <w:spacing w:after="0" w:line="20" w:lineRule="exact"/>
              <w:rPr>
                <w:sz w:val="1"/>
                <w:szCs w:val="1"/>
                <w:color w:val="auto"/>
              </w:rPr>
            </w:pPr>
          </w:p>
        </w:tc>
        <w:tc>
          <w:tcPr>
            <w:tcW w:w="240" w:type="dxa"/>
            <w:vAlign w:val="bottom"/>
            <w:tcBorders>
              <w:top w:val="single" w:sz="8" w:color="0000EE"/>
              <w:bottom w:val="single" w:sz="8" w:color="E7417A"/>
            </w:tcBorders>
          </w:tcPr>
          <w:p>
            <w:pPr>
              <w:spacing w:after="0" w:line="20" w:lineRule="exact"/>
              <w:rPr>
                <w:sz w:val="1"/>
                <w:szCs w:val="1"/>
                <w:color w:val="auto"/>
              </w:rPr>
            </w:pPr>
          </w:p>
        </w:tc>
        <w:tc>
          <w:tcPr>
            <w:tcW w:w="120" w:type="dxa"/>
            <w:vAlign w:val="bottom"/>
            <w:tcBorders>
              <w:top w:val="single" w:sz="8" w:color="0000EE"/>
              <w:bottom w:val="single" w:sz="8" w:color="E7417A"/>
            </w:tcBorders>
          </w:tcPr>
          <w:p>
            <w:pPr>
              <w:spacing w:after="0" w:line="20" w:lineRule="exact"/>
              <w:rPr>
                <w:sz w:val="1"/>
                <w:szCs w:val="1"/>
                <w:color w:val="auto"/>
              </w:rPr>
            </w:pPr>
          </w:p>
        </w:tc>
        <w:tc>
          <w:tcPr>
            <w:tcW w:w="6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320" w:type="dxa"/>
            <w:vAlign w:val="bottom"/>
            <w:tcBorders>
              <w:top w:val="single" w:sz="8" w:color="0000EE"/>
              <w:bottom w:val="single" w:sz="8" w:color="E7417A"/>
            </w:tcBorders>
          </w:tcPr>
          <w:p>
            <w:pPr>
              <w:spacing w:after="0" w:line="20" w:lineRule="exact"/>
              <w:rPr>
                <w:sz w:val="1"/>
                <w:szCs w:val="1"/>
                <w:color w:val="auto"/>
              </w:rPr>
            </w:pPr>
          </w:p>
        </w:tc>
        <w:tc>
          <w:tcPr>
            <w:tcW w:w="38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200" w:type="dxa"/>
            <w:vAlign w:val="bottom"/>
            <w:tcBorders>
              <w:top w:val="single" w:sz="8" w:color="0000EE"/>
              <w:bottom w:val="single" w:sz="8" w:color="E7417A"/>
            </w:tcBorders>
          </w:tcPr>
          <w:p>
            <w:pPr>
              <w:spacing w:after="0" w:line="20" w:lineRule="exact"/>
              <w:rPr>
                <w:sz w:val="1"/>
                <w:szCs w:val="1"/>
                <w:color w:val="auto"/>
              </w:rPr>
            </w:pPr>
          </w:p>
        </w:tc>
        <w:tc>
          <w:tcPr>
            <w:tcW w:w="280" w:type="dxa"/>
            <w:vAlign w:val="bottom"/>
            <w:tcBorders>
              <w:top w:val="single" w:sz="8" w:color="0000EE"/>
              <w:bottom w:val="single" w:sz="8" w:color="E7417A"/>
            </w:tcBorders>
          </w:tcPr>
          <w:p>
            <w:pPr>
              <w:spacing w:after="0" w:line="20" w:lineRule="exact"/>
              <w:rPr>
                <w:sz w:val="1"/>
                <w:szCs w:val="1"/>
                <w:color w:val="auto"/>
              </w:rPr>
            </w:pPr>
          </w:p>
        </w:tc>
        <w:tc>
          <w:tcPr>
            <w:tcW w:w="16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8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1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80" w:type="dxa"/>
            <w:vAlign w:val="bottom"/>
            <w:tcBorders>
              <w:bottom w:val="single" w:sz="8" w:color="E7417A"/>
            </w:tcBorders>
          </w:tcPr>
          <w:p>
            <w:pPr>
              <w:spacing w:after="0" w:line="20" w:lineRule="exact"/>
              <w:rPr>
                <w:sz w:val="1"/>
                <w:szCs w:val="1"/>
                <w:color w:val="auto"/>
              </w:rPr>
            </w:pPr>
          </w:p>
        </w:tc>
        <w:tc>
          <w:tcPr>
            <w:tcW w:w="12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Pr>
          <w:p>
            <w:pPr>
              <w:spacing w:after="0" w:line="169" w:lineRule="exact"/>
              <w:rPr>
                <w:sz w:val="20"/>
                <w:szCs w:val="20"/>
                <w:color w:val="auto"/>
              </w:rPr>
            </w:pPr>
            <w:r>
              <w:rPr>
                <w:rFonts w:ascii="Arial" w:cs="Arial" w:eastAsia="Arial" w:hAnsi="Arial"/>
                <w:sz w:val="16"/>
                <w:szCs w:val="16"/>
                <w:color w:val="0000EE"/>
                <w:w w:val="89"/>
              </w:rPr>
              <w:t>86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jc w:val="right"/>
              <w:spacing w:after="0" w:line="169" w:lineRule="exact"/>
              <w:rPr>
                <w:sz w:val="20"/>
                <w:szCs w:val="20"/>
                <w:color w:val="auto"/>
              </w:rPr>
            </w:pPr>
            <w:r>
              <w:rPr>
                <w:rFonts w:ascii="Arial" w:cs="Arial" w:eastAsia="Arial" w:hAnsi="Arial"/>
                <w:sz w:val="16"/>
                <w:szCs w:val="16"/>
                <w:color w:val="auto"/>
              </w:rPr>
              <w:t>​ ​</w:t>
            </w:r>
          </w:p>
        </w:tc>
        <w:tc>
          <w:tcPr>
            <w:tcW w:w="3440" w:type="dxa"/>
            <w:vAlign w:val="bottom"/>
            <w:gridSpan w:val="36"/>
          </w:tcPr>
          <w:p>
            <w:pPr>
              <w:spacing w:after="0" w:line="169" w:lineRule="exact"/>
              <w:rPr>
                <w:sz w:val="20"/>
                <w:szCs w:val="20"/>
                <w:color w:val="auto"/>
              </w:rPr>
            </w:pPr>
            <w:r>
              <w:rPr>
                <w:rFonts w:ascii="Arial" w:cs="Arial" w:eastAsia="Arial" w:hAnsi="Arial"/>
                <w:sz w:val="16"/>
                <w:szCs w:val="16"/>
                <w:color w:val="0000EE"/>
              </w:rPr>
              <w:t>Information about the Annual Meeting</w:t>
            </w:r>
          </w:p>
        </w:tc>
        <w:tc>
          <w:tcPr>
            <w:tcW w:w="12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120" w:type="dxa"/>
            <w:vAlign w:val="bottom"/>
          </w:tcPr>
          <w:p>
            <w:pPr>
              <w:spacing w:after="0" w:line="155"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bottom w:val="single" w:sz="8" w:color="0000EE"/>
            </w:tcBorders>
          </w:tcPr>
          <w:p>
            <w:pPr>
              <w:spacing w:after="0" w:line="155" w:lineRule="exact"/>
              <w:rPr>
                <w:sz w:val="20"/>
                <w:szCs w:val="20"/>
                <w:color w:val="auto"/>
              </w:rPr>
            </w:pPr>
            <w:r>
              <w:rPr>
                <w:rFonts w:ascii="Arial" w:cs="Arial" w:eastAsia="Arial" w:hAnsi="Arial"/>
                <w:sz w:val="16"/>
                <w:szCs w:val="16"/>
                <w:color w:val="0000EE"/>
                <w:w w:val="89"/>
              </w:rPr>
              <w:t>91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jc w:val="right"/>
              <w:spacing w:after="0" w:line="155" w:lineRule="exact"/>
              <w:rPr>
                <w:sz w:val="20"/>
                <w:szCs w:val="20"/>
                <w:color w:val="auto"/>
              </w:rPr>
            </w:pPr>
            <w:r>
              <w:rPr>
                <w:rFonts w:ascii="Arial" w:cs="Arial" w:eastAsia="Arial" w:hAnsi="Arial"/>
                <w:sz w:val="16"/>
                <w:szCs w:val="16"/>
                <w:color w:val="auto"/>
              </w:rPr>
              <w:t>​ ​</w:t>
            </w:r>
          </w:p>
        </w:tc>
        <w:tc>
          <w:tcPr>
            <w:tcW w:w="2800" w:type="dxa"/>
            <w:vAlign w:val="bottom"/>
            <w:tcBorders>
              <w:top w:val="single" w:sz="8" w:color="0000EE"/>
              <w:bottom w:val="single" w:sz="8" w:color="0000EE"/>
            </w:tcBorders>
            <w:gridSpan w:val="21"/>
          </w:tcPr>
          <w:p>
            <w:pPr>
              <w:spacing w:after="0" w:line="155" w:lineRule="exact"/>
              <w:rPr>
                <w:sz w:val="20"/>
                <w:szCs w:val="20"/>
                <w:color w:val="auto"/>
              </w:rPr>
            </w:pPr>
            <w:r>
              <w:rPr>
                <w:rFonts w:ascii="Arial" w:cs="Arial" w:eastAsia="Arial" w:hAnsi="Arial"/>
                <w:sz w:val="16"/>
                <w:szCs w:val="16"/>
                <w:color w:val="0000EE"/>
              </w:rPr>
              <w:t>Stockholder Proposals for Inclusion in</w:t>
            </w:r>
          </w:p>
        </w:tc>
        <w:tc>
          <w:tcPr>
            <w:tcW w:w="500" w:type="dxa"/>
            <w:vAlign w:val="bottom"/>
            <w:tcBorders>
              <w:bottom w:val="single" w:sz="8" w:color="0000EE"/>
            </w:tcBorders>
            <w:gridSpan w:val="12"/>
          </w:tcPr>
          <w:p>
            <w:pPr>
              <w:jc w:val="right"/>
              <w:spacing w:after="0" w:line="155" w:lineRule="exact"/>
              <w:rPr>
                <w:sz w:val="20"/>
                <w:szCs w:val="20"/>
                <w:color w:val="auto"/>
              </w:rPr>
            </w:pPr>
            <w:r>
              <w:rPr>
                <w:rFonts w:ascii="Arial" w:cs="Arial" w:eastAsia="Arial" w:hAnsi="Arial"/>
                <w:sz w:val="16"/>
                <w:szCs w:val="16"/>
                <w:color w:val="0000EE"/>
              </w:rPr>
              <w:t>2025</w:t>
            </w:r>
          </w:p>
        </w:tc>
        <w:tc>
          <w:tcPr>
            <w:tcW w:w="140" w:type="dxa"/>
            <w:vAlign w:val="bottom"/>
            <w:gridSpan w:val="3"/>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1240" w:type="dxa"/>
            <w:vAlign w:val="bottom"/>
            <w:tcBorders>
              <w:bottom w:val="single" w:sz="8" w:color="0000EE"/>
            </w:tcBorders>
            <w:gridSpan w:val="9"/>
          </w:tcPr>
          <w:p>
            <w:pPr>
              <w:spacing w:after="0" w:line="155" w:lineRule="exact"/>
              <w:rPr>
                <w:sz w:val="20"/>
                <w:szCs w:val="20"/>
                <w:color w:val="auto"/>
              </w:rPr>
            </w:pPr>
            <w:r>
              <w:rPr>
                <w:rFonts w:ascii="Arial" w:cs="Arial" w:eastAsia="Arial" w:hAnsi="Arial"/>
                <w:sz w:val="16"/>
                <w:szCs w:val="16"/>
                <w:color w:val="0000EE"/>
              </w:rPr>
              <w:t>Proxy Statement</w:t>
            </w:r>
          </w:p>
        </w:tc>
        <w:tc>
          <w:tcPr>
            <w:tcW w:w="2060" w:type="dxa"/>
            <w:vAlign w:val="bottom"/>
            <w:gridSpan w:val="24"/>
          </w:tcPr>
          <w:p>
            <w:pPr>
              <w:spacing w:after="0"/>
              <w:rPr>
                <w:sz w:val="13"/>
                <w:szCs w:val="13"/>
                <w:color w:val="auto"/>
              </w:rPr>
            </w:pPr>
          </w:p>
        </w:tc>
        <w:tc>
          <w:tcPr>
            <w:tcW w:w="140" w:type="dxa"/>
            <w:vAlign w:val="bottom"/>
            <w:gridSpan w:val="3"/>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20" w:type="dxa"/>
            <w:vAlign w:val="bottom"/>
            <w:vMerge w:val="continue"/>
          </w:tcPr>
          <w:p>
            <w:pPr>
              <w:spacing w:after="0"/>
              <w:rPr>
                <w:sz w:val="15"/>
                <w:szCs w:val="15"/>
                <w:color w:val="auto"/>
              </w:rPr>
            </w:pPr>
          </w:p>
        </w:tc>
        <w:tc>
          <w:tcPr>
            <w:tcW w:w="180" w:type="dxa"/>
            <w:vAlign w:val="bottom"/>
          </w:tcPr>
          <w:p>
            <w:pPr>
              <w:spacing w:after="0" w:line="183" w:lineRule="exact"/>
              <w:rPr>
                <w:sz w:val="20"/>
                <w:szCs w:val="20"/>
                <w:color w:val="auto"/>
              </w:rPr>
            </w:pPr>
            <w:r>
              <w:rPr>
                <w:rFonts w:ascii="Arial" w:cs="Arial" w:eastAsia="Arial" w:hAnsi="Arial"/>
                <w:sz w:val="16"/>
                <w:szCs w:val="16"/>
                <w:color w:val="0000EE"/>
                <w:w w:val="89"/>
              </w:rPr>
              <w:t>91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3440" w:type="dxa"/>
            <w:vAlign w:val="bottom"/>
            <w:gridSpan w:val="36"/>
          </w:tcPr>
          <w:p>
            <w:pPr>
              <w:spacing w:after="0" w:line="183" w:lineRule="exact"/>
              <w:rPr>
                <w:sz w:val="20"/>
                <w:szCs w:val="20"/>
                <w:color w:val="auto"/>
              </w:rPr>
            </w:pPr>
            <w:r>
              <w:rPr>
                <w:rFonts w:ascii="Arial" w:cs="Arial" w:eastAsia="Arial" w:hAnsi="Arial"/>
                <w:sz w:val="16"/>
                <w:szCs w:val="16"/>
                <w:color w:val="0000EE"/>
              </w:rPr>
              <w:t>Stockholder Nominations and Proposals for</w:t>
            </w: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3280" w:type="dxa"/>
            <w:vAlign w:val="bottom"/>
            <w:tcBorders>
              <w:top w:val="single" w:sz="8" w:color="0000EE"/>
            </w:tcBorders>
            <w:gridSpan w:val="32"/>
          </w:tcPr>
          <w:p>
            <w:pPr>
              <w:spacing w:after="0" w:line="155" w:lineRule="exact"/>
              <w:rPr>
                <w:sz w:val="20"/>
                <w:szCs w:val="20"/>
                <w:color w:val="auto"/>
              </w:rPr>
            </w:pPr>
            <w:r>
              <w:rPr>
                <w:rFonts w:ascii="Arial" w:cs="Arial" w:eastAsia="Arial" w:hAnsi="Arial"/>
                <w:sz w:val="16"/>
                <w:szCs w:val="16"/>
                <w:color w:val="0000EE"/>
              </w:rPr>
              <w:t>Presentation at 2025 Annual Meeting</w:t>
            </w:r>
          </w:p>
        </w:tc>
        <w:tc>
          <w:tcPr>
            <w:tcW w:w="160" w:type="dxa"/>
            <w:vAlign w:val="bottom"/>
            <w:gridSpan w:val="4"/>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800" w:type="dxa"/>
            <w:vAlign w:val="bottom"/>
            <w:gridSpan w:val="7"/>
            <w:shd w:val="clear" w:color="auto" w:fill="0000EE"/>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continue"/>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0000EE"/>
                <w:w w:val="89"/>
              </w:rPr>
              <w:t>92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3440" w:type="dxa"/>
            <w:vAlign w:val="bottom"/>
            <w:gridSpan w:val="36"/>
          </w:tcPr>
          <w:p>
            <w:pPr>
              <w:spacing w:after="0"/>
              <w:rPr>
                <w:sz w:val="20"/>
                <w:szCs w:val="20"/>
                <w:color w:val="auto"/>
              </w:rPr>
            </w:pPr>
            <w:r>
              <w:rPr>
                <w:rFonts w:ascii="Arial" w:cs="Arial" w:eastAsia="Arial" w:hAnsi="Arial"/>
                <w:sz w:val="16"/>
                <w:szCs w:val="16"/>
                <w:color w:val="0000EE"/>
              </w:rPr>
              <w:t>Stockholders Sharing the Same Address</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tcBorders>
          </w:tcPr>
          <w:p>
            <w:pPr>
              <w:spacing w:after="0" w:line="169" w:lineRule="exact"/>
              <w:rPr>
                <w:sz w:val="20"/>
                <w:szCs w:val="20"/>
                <w:color w:val="auto"/>
              </w:rPr>
            </w:pPr>
            <w:r>
              <w:rPr>
                <w:rFonts w:ascii="Arial" w:cs="Arial" w:eastAsia="Arial" w:hAnsi="Arial"/>
                <w:sz w:val="16"/>
                <w:szCs w:val="16"/>
                <w:color w:val="0000EE"/>
                <w:w w:val="89"/>
              </w:rPr>
              <w:t>93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jc w:val="right"/>
              <w:spacing w:after="0" w:line="169" w:lineRule="exact"/>
              <w:rPr>
                <w:sz w:val="20"/>
                <w:szCs w:val="20"/>
                <w:color w:val="auto"/>
              </w:rPr>
            </w:pPr>
            <w:r>
              <w:rPr>
                <w:rFonts w:ascii="Arial" w:cs="Arial" w:eastAsia="Arial" w:hAnsi="Arial"/>
                <w:sz w:val="16"/>
                <w:szCs w:val="16"/>
                <w:color w:val="auto"/>
              </w:rPr>
              <w:t>​ ​</w:t>
            </w:r>
          </w:p>
        </w:tc>
        <w:tc>
          <w:tcPr>
            <w:tcW w:w="3020" w:type="dxa"/>
            <w:vAlign w:val="bottom"/>
            <w:tcBorders>
              <w:top w:val="single" w:sz="8" w:color="0000EE"/>
            </w:tcBorders>
            <w:gridSpan w:val="26"/>
          </w:tcPr>
          <w:p>
            <w:pPr>
              <w:spacing w:after="0" w:line="169" w:lineRule="exact"/>
              <w:rPr>
                <w:sz w:val="20"/>
                <w:szCs w:val="20"/>
                <w:color w:val="auto"/>
              </w:rPr>
            </w:pPr>
            <w:r>
              <w:rPr>
                <w:rFonts w:ascii="Arial" w:cs="Arial" w:eastAsia="Arial" w:hAnsi="Arial"/>
                <w:sz w:val="16"/>
                <w:szCs w:val="16"/>
                <w:color w:val="0000EE"/>
              </w:rPr>
              <w:t>Form 10-K</w:t>
            </w:r>
          </w:p>
        </w:tc>
        <w:tc>
          <w:tcPr>
            <w:tcW w:w="200" w:type="dxa"/>
            <w:vAlign w:val="bottom"/>
            <w:gridSpan w:val="3"/>
          </w:tcPr>
          <w:p>
            <w:pPr>
              <w:spacing w:after="0"/>
              <w:rPr>
                <w:sz w:val="14"/>
                <w:szCs w:val="14"/>
                <w:color w:val="auto"/>
              </w:rPr>
            </w:pPr>
          </w:p>
        </w:tc>
        <w:tc>
          <w:tcPr>
            <w:tcW w:w="220" w:type="dxa"/>
            <w:vAlign w:val="bottom"/>
            <w:gridSpan w:val="7"/>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175" w:lineRule="exact"/>
              <w:rPr>
                <w:sz w:val="20"/>
                <w:szCs w:val="20"/>
                <w:color w:val="auto"/>
              </w:rPr>
            </w:pPr>
            <w:r>
              <w:rPr>
                <w:rFonts w:ascii="Arial" w:cs="Arial" w:eastAsia="Arial" w:hAnsi="Arial"/>
                <w:sz w:val="16"/>
                <w:szCs w:val="16"/>
                <w:color w:val="auto"/>
              </w:rPr>
              <w:t>​</w:t>
            </w: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vMerge w:val="restart"/>
          </w:tcPr>
          <w:p>
            <w:pPr>
              <w:jc w:val="right"/>
              <w:spacing w:after="0" w:line="175" w:lineRule="exact"/>
              <w:rPr>
                <w:sz w:val="20"/>
                <w:szCs w:val="20"/>
                <w:color w:val="auto"/>
              </w:rPr>
            </w:pPr>
            <w:r>
              <w:rPr>
                <w:rFonts w:ascii="Arial" w:cs="Arial" w:eastAsia="Arial" w:hAnsi="Arial"/>
                <w:sz w:val="16"/>
                <w:szCs w:val="16"/>
                <w:color w:val="auto"/>
              </w:rPr>
              <w:t>​ ​</w:t>
            </w:r>
          </w:p>
        </w:tc>
        <w:tc>
          <w:tcPr>
            <w:tcW w:w="78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000" w:type="dxa"/>
            <w:vAlign w:val="bottom"/>
            <w:gridSpan w:val="1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20" w:type="dxa"/>
            <w:vAlign w:val="bottom"/>
            <w:vMerge w:val="restart"/>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55"/>
        </w:trPr>
        <w:tc>
          <w:tcPr>
            <w:tcW w:w="120" w:type="dxa"/>
            <w:vAlign w:val="bottom"/>
            <w:vMerge w:val="continue"/>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6"/>
                <w:szCs w:val="16"/>
                <w:color w:val="0000EE"/>
                <w:w w:val="89"/>
              </w:rPr>
              <w:t>93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3440" w:type="dxa"/>
            <w:vAlign w:val="bottom"/>
            <w:gridSpan w:val="36"/>
          </w:tcPr>
          <w:p>
            <w:pPr>
              <w:spacing w:after="0" w:line="155" w:lineRule="exact"/>
              <w:rPr>
                <w:sz w:val="20"/>
                <w:szCs w:val="20"/>
                <w:color w:val="auto"/>
              </w:rPr>
            </w:pPr>
            <w:r>
              <w:rPr>
                <w:rFonts w:ascii="Arial" w:cs="Arial" w:eastAsia="Arial" w:hAnsi="Arial"/>
                <w:sz w:val="16"/>
                <w:szCs w:val="16"/>
                <w:color w:val="0000EE"/>
              </w:rPr>
              <w:t>Other Matters</w:t>
            </w: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 w:type="dxa"/>
            <w:vAlign w:val="bottom"/>
            <w:vMerge w:val="restart"/>
          </w:tcPr>
          <w:p>
            <w:pPr>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 ​</w:t>
            </w:r>
          </w:p>
        </w:tc>
        <w:tc>
          <w:tcPr>
            <w:tcW w:w="1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line="20" w:lineRule="exact"/>
              <w:rPr>
                <w:sz w:val="1"/>
                <w:szCs w:val="1"/>
                <w:color w:val="auto"/>
              </w:rPr>
            </w:pPr>
          </w:p>
        </w:tc>
      </w:tr>
      <w:tr>
        <w:trPr>
          <w:trHeight w:val="208"/>
        </w:trPr>
        <w:tc>
          <w:tcPr>
            <w:tcW w:w="120" w:type="dxa"/>
            <w:vAlign w:val="bottom"/>
            <w:vMerge w:val="continue"/>
          </w:tcPr>
          <w:p>
            <w:pPr>
              <w:spacing w:after="0"/>
              <w:rPr>
                <w:sz w:val="18"/>
                <w:szCs w:val="18"/>
                <w:color w:val="auto"/>
              </w:rPr>
            </w:pPr>
          </w:p>
        </w:tc>
        <w:tc>
          <w:tcPr>
            <w:tcW w:w="300" w:type="dxa"/>
            <w:vAlign w:val="bottom"/>
            <w:gridSpan w:val="3"/>
            <w:vMerge w:val="restart"/>
          </w:tcPr>
          <w:p>
            <w:pPr>
              <w:spacing w:after="0"/>
              <w:rPr>
                <w:sz w:val="20"/>
                <w:szCs w:val="20"/>
                <w:color w:val="auto"/>
              </w:rPr>
            </w:pPr>
            <w:r>
              <w:rPr>
                <w:rFonts w:ascii="Arial" w:cs="Arial" w:eastAsia="Arial" w:hAnsi="Arial"/>
                <w:sz w:val="17"/>
                <w:szCs w:val="17"/>
                <w:b w:val="1"/>
                <w:bCs w:val="1"/>
                <w:color w:val="0000EE"/>
              </w:rPr>
              <w:t>A-1</w:t>
            </w:r>
          </w:p>
        </w:tc>
        <w:tc>
          <w:tcPr>
            <w:tcW w:w="240" w:type="dxa"/>
            <w:vAlign w:val="bottom"/>
            <w:vMerge w:val="continue"/>
          </w:tcPr>
          <w:p>
            <w:pPr>
              <w:spacing w:after="0"/>
              <w:rPr>
                <w:sz w:val="18"/>
                <w:szCs w:val="18"/>
                <w:color w:val="auto"/>
              </w:rPr>
            </w:pPr>
          </w:p>
        </w:tc>
        <w:tc>
          <w:tcPr>
            <w:tcW w:w="3440" w:type="dxa"/>
            <w:vAlign w:val="bottom"/>
            <w:gridSpan w:val="36"/>
            <w:vMerge w:val="restart"/>
          </w:tcPr>
          <w:p>
            <w:pPr>
              <w:spacing w:after="0"/>
              <w:rPr>
                <w:sz w:val="20"/>
                <w:szCs w:val="20"/>
                <w:color w:val="auto"/>
              </w:rPr>
            </w:pPr>
            <w:r>
              <w:rPr>
                <w:rFonts w:ascii="Arial" w:cs="Arial" w:eastAsia="Arial" w:hAnsi="Arial"/>
                <w:sz w:val="17"/>
                <w:szCs w:val="17"/>
                <w:b w:val="1"/>
                <w:bCs w:val="1"/>
                <w:color w:val="0000EE"/>
              </w:rPr>
              <w:t>APPENDICES</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3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3440" w:type="dxa"/>
            <w:vAlign w:val="bottom"/>
            <w:gridSpan w:val="36"/>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7417A"/>
            </w:tcBorders>
          </w:tcPr>
          <w:p>
            <w:pPr>
              <w:spacing w:after="0" w:line="20" w:lineRule="exact"/>
              <w:rPr>
                <w:sz w:val="1"/>
                <w:szCs w:val="1"/>
                <w:color w:val="auto"/>
              </w:rPr>
            </w:pPr>
          </w:p>
        </w:tc>
        <w:tc>
          <w:tcPr>
            <w:tcW w:w="180" w:type="dxa"/>
            <w:vAlign w:val="bottom"/>
            <w:tcBorders>
              <w:top w:val="single" w:sz="8" w:color="0000EE"/>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240" w:type="dxa"/>
            <w:vAlign w:val="bottom"/>
            <w:tcBorders>
              <w:bottom w:val="single" w:sz="8" w:color="E7417A"/>
            </w:tcBorders>
          </w:tcPr>
          <w:p>
            <w:pPr>
              <w:spacing w:after="0" w:line="20" w:lineRule="exact"/>
              <w:rPr>
                <w:sz w:val="1"/>
                <w:szCs w:val="1"/>
                <w:color w:val="auto"/>
              </w:rPr>
            </w:pPr>
          </w:p>
        </w:tc>
        <w:tc>
          <w:tcPr>
            <w:tcW w:w="160" w:type="dxa"/>
            <w:vAlign w:val="bottom"/>
            <w:tcBorders>
              <w:top w:val="single" w:sz="8" w:color="0000EE"/>
              <w:bottom w:val="single" w:sz="8" w:color="E7417A"/>
            </w:tcBorders>
          </w:tcPr>
          <w:p>
            <w:pPr>
              <w:spacing w:after="0" w:line="20" w:lineRule="exact"/>
              <w:rPr>
                <w:sz w:val="1"/>
                <w:szCs w:val="1"/>
                <w:color w:val="auto"/>
              </w:rPr>
            </w:pPr>
          </w:p>
        </w:tc>
        <w:tc>
          <w:tcPr>
            <w:tcW w:w="1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160" w:type="dxa"/>
            <w:vAlign w:val="bottom"/>
            <w:tcBorders>
              <w:top w:val="single" w:sz="8" w:color="0000EE"/>
              <w:bottom w:val="single" w:sz="8" w:color="E7417A"/>
            </w:tcBorders>
          </w:tcPr>
          <w:p>
            <w:pPr>
              <w:spacing w:after="0" w:line="20" w:lineRule="exact"/>
              <w:rPr>
                <w:sz w:val="1"/>
                <w:szCs w:val="1"/>
                <w:color w:val="auto"/>
              </w:rPr>
            </w:pPr>
          </w:p>
        </w:tc>
        <w:tc>
          <w:tcPr>
            <w:tcW w:w="240" w:type="dxa"/>
            <w:vAlign w:val="bottom"/>
            <w:tcBorders>
              <w:top w:val="single" w:sz="8" w:color="0000EE"/>
              <w:bottom w:val="single" w:sz="8" w:color="E7417A"/>
            </w:tcBorders>
          </w:tcPr>
          <w:p>
            <w:pPr>
              <w:spacing w:after="0" w:line="20" w:lineRule="exact"/>
              <w:rPr>
                <w:sz w:val="1"/>
                <w:szCs w:val="1"/>
                <w:color w:val="auto"/>
              </w:rPr>
            </w:pPr>
          </w:p>
        </w:tc>
        <w:tc>
          <w:tcPr>
            <w:tcW w:w="120" w:type="dxa"/>
            <w:vAlign w:val="bottom"/>
            <w:tcBorders>
              <w:top w:val="single" w:sz="8" w:color="0000EE"/>
              <w:bottom w:val="single" w:sz="8" w:color="E7417A"/>
            </w:tcBorders>
          </w:tcPr>
          <w:p>
            <w:pPr>
              <w:spacing w:after="0" w:line="20" w:lineRule="exact"/>
              <w:rPr>
                <w:sz w:val="1"/>
                <w:szCs w:val="1"/>
                <w:color w:val="auto"/>
              </w:rPr>
            </w:pPr>
          </w:p>
        </w:tc>
        <w:tc>
          <w:tcPr>
            <w:tcW w:w="6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320" w:type="dxa"/>
            <w:vAlign w:val="bottom"/>
            <w:tcBorders>
              <w:bottom w:val="single" w:sz="8" w:color="E7417A"/>
            </w:tcBorders>
          </w:tcPr>
          <w:p>
            <w:pPr>
              <w:spacing w:after="0" w:line="20" w:lineRule="exact"/>
              <w:rPr>
                <w:sz w:val="1"/>
                <w:szCs w:val="1"/>
                <w:color w:val="auto"/>
              </w:rPr>
            </w:pPr>
          </w:p>
        </w:tc>
        <w:tc>
          <w:tcPr>
            <w:tcW w:w="38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0" w:type="dxa"/>
            <w:vAlign w:val="bottom"/>
            <w:tcBorders>
              <w:bottom w:val="single" w:sz="8" w:color="E7417A"/>
            </w:tcBorders>
          </w:tcPr>
          <w:p>
            <w:pPr>
              <w:spacing w:after="0" w:line="20" w:lineRule="exact"/>
              <w:rPr>
                <w:sz w:val="1"/>
                <w:szCs w:val="1"/>
                <w:color w:val="auto"/>
              </w:rPr>
            </w:pPr>
          </w:p>
        </w:tc>
        <w:tc>
          <w:tcPr>
            <w:tcW w:w="280" w:type="dxa"/>
            <w:vAlign w:val="bottom"/>
            <w:tcBorders>
              <w:bottom w:val="single" w:sz="8" w:color="E7417A"/>
            </w:tcBorders>
          </w:tcPr>
          <w:p>
            <w:pPr>
              <w:spacing w:after="0" w:line="20" w:lineRule="exact"/>
              <w:rPr>
                <w:sz w:val="1"/>
                <w:szCs w:val="1"/>
                <w:color w:val="auto"/>
              </w:rPr>
            </w:pPr>
          </w:p>
        </w:tc>
        <w:tc>
          <w:tcPr>
            <w:tcW w:w="16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8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1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80" w:type="dxa"/>
            <w:vAlign w:val="bottom"/>
            <w:tcBorders>
              <w:bottom w:val="single" w:sz="8" w:color="E7417A"/>
            </w:tcBorders>
          </w:tcPr>
          <w:p>
            <w:pPr>
              <w:spacing w:after="0" w:line="20" w:lineRule="exact"/>
              <w:rPr>
                <w:sz w:val="1"/>
                <w:szCs w:val="1"/>
                <w:color w:val="auto"/>
              </w:rPr>
            </w:pPr>
          </w:p>
        </w:tc>
        <w:tc>
          <w:tcPr>
            <w:tcW w:w="12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line="155" w:lineRule="exact"/>
              <w:rPr>
                <w:sz w:val="20"/>
                <w:szCs w:val="20"/>
                <w:color w:val="auto"/>
              </w:rPr>
            </w:pPr>
            <w:r>
              <w:rPr>
                <w:rFonts w:ascii="Arial" w:cs="Arial" w:eastAsia="Arial" w:hAnsi="Arial"/>
                <w:sz w:val="16"/>
                <w:szCs w:val="16"/>
                <w:color w:val="auto"/>
              </w:rPr>
              <w:t>​</w:t>
            </w:r>
          </w:p>
        </w:tc>
        <w:tc>
          <w:tcPr>
            <w:tcW w:w="540" w:type="dxa"/>
            <w:vAlign w:val="bottom"/>
            <w:gridSpan w:val="4"/>
          </w:tcPr>
          <w:p>
            <w:pPr>
              <w:jc w:val="right"/>
              <w:spacing w:after="0" w:line="155" w:lineRule="exact"/>
              <w:rPr>
                <w:sz w:val="20"/>
                <w:szCs w:val="20"/>
                <w:color w:val="auto"/>
              </w:rPr>
            </w:pPr>
            <w:r>
              <w:rPr>
                <w:rFonts w:ascii="Arial" w:cs="Arial" w:eastAsia="Arial" w:hAnsi="Arial"/>
                <w:sz w:val="16"/>
                <w:szCs w:val="16"/>
                <w:color w:val="0000EE"/>
              </w:rPr>
              <w:t xml:space="preserve">A-1 </w:t>
            </w:r>
            <w:r>
              <w:rPr>
                <w:rFonts w:ascii="Arial" w:cs="Arial" w:eastAsia="Arial" w:hAnsi="Arial"/>
                <w:sz w:val="16"/>
                <w:szCs w:val="16"/>
                <w:color w:val="000000"/>
              </w:rPr>
              <w:t>​ ​</w:t>
            </w:r>
          </w:p>
        </w:tc>
        <w:tc>
          <w:tcPr>
            <w:tcW w:w="3440" w:type="dxa"/>
            <w:vAlign w:val="bottom"/>
            <w:gridSpan w:val="36"/>
          </w:tcPr>
          <w:p>
            <w:pPr>
              <w:spacing w:after="0" w:line="155" w:lineRule="exact"/>
              <w:rPr>
                <w:sz w:val="20"/>
                <w:szCs w:val="20"/>
                <w:color w:val="auto"/>
              </w:rPr>
            </w:pPr>
            <w:r>
              <w:rPr>
                <w:rFonts w:ascii="Arial" w:cs="Arial" w:eastAsia="Arial" w:hAnsi="Arial"/>
                <w:sz w:val="16"/>
                <w:szCs w:val="16"/>
                <w:b w:val="1"/>
                <w:bCs w:val="1"/>
                <w:color w:val="0000EE"/>
              </w:rPr>
              <w:t>APPENDIX A</w:t>
            </w:r>
            <w:r>
              <w:rPr>
                <w:rFonts w:ascii="Arial" w:cs="Arial" w:eastAsia="Arial" w:hAnsi="Arial"/>
                <w:sz w:val="16"/>
                <w:szCs w:val="16"/>
                <w:color w:val="0000EE"/>
              </w:rPr>
              <w:t> — Reconciliation of Non-</w:t>
            </w:r>
          </w:p>
        </w:tc>
        <w:tc>
          <w:tcPr>
            <w:tcW w:w="120" w:type="dxa"/>
            <w:vAlign w:val="bottom"/>
          </w:tcPr>
          <w:p>
            <w:pPr>
              <w:jc w:val="right"/>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gridSpan w:val="12"/>
            <w:shd w:val="clear" w:color="auto" w:fill="0000EE"/>
          </w:tcPr>
          <w:p>
            <w:pPr>
              <w:spacing w:after="0" w:line="20" w:lineRule="exact"/>
              <w:rPr>
                <w:sz w:val="1"/>
                <w:szCs w:val="1"/>
                <w:color w:val="auto"/>
              </w:rPr>
            </w:pPr>
          </w:p>
        </w:tc>
        <w:tc>
          <w:tcPr>
            <w:tcW w:w="1000" w:type="dxa"/>
            <w:vAlign w:val="bottom"/>
            <w:gridSpan w:val="13"/>
            <w:shd w:val="clear" w:color="auto" w:fill="0000EE"/>
          </w:tcPr>
          <w:p>
            <w:pPr>
              <w:spacing w:after="0" w:line="20" w:lineRule="exact"/>
              <w:rPr>
                <w:sz w:val="1"/>
                <w:szCs w:val="1"/>
                <w:color w:val="auto"/>
              </w:rPr>
            </w:pPr>
          </w:p>
        </w:tc>
        <w:tc>
          <w:tcPr>
            <w:tcW w:w="260" w:type="dxa"/>
            <w:vAlign w:val="bottom"/>
            <w:gridSpan w:val="4"/>
            <w:vMerge w:val="restart"/>
          </w:tcPr>
          <w:p>
            <w:pPr>
              <w:spacing w:after="0" w:line="20" w:lineRule="exact"/>
              <w:rPr>
                <w:sz w:val="1"/>
                <w:szCs w:val="1"/>
                <w:color w:val="auto"/>
              </w:rPr>
            </w:pPr>
          </w:p>
        </w:tc>
        <w:tc>
          <w:tcPr>
            <w:tcW w:w="220" w:type="dxa"/>
            <w:vAlign w:val="bottom"/>
            <w:gridSpan w:val="7"/>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gridSpan w:val="5"/>
            <w:vMerge w:val="restart"/>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B-1</w:t>
            </w:r>
            <w:r>
              <w:rPr>
                <w:rFonts w:ascii="Arial" w:cs="Arial" w:eastAsia="Arial" w:hAnsi="Arial"/>
                <w:sz w:val="16"/>
                <w:szCs w:val="16"/>
                <w:color w:val="auto"/>
              </w:rPr>
              <w:t xml:space="preserve"> ​ ​</w:t>
            </w:r>
          </w:p>
        </w:tc>
        <w:tc>
          <w:tcPr>
            <w:tcW w:w="2960" w:type="dxa"/>
            <w:vAlign w:val="bottom"/>
            <w:gridSpan w:val="25"/>
          </w:tcPr>
          <w:p>
            <w:pPr>
              <w:spacing w:after="0" w:line="155" w:lineRule="exact"/>
              <w:rPr>
                <w:sz w:val="20"/>
                <w:szCs w:val="20"/>
                <w:color w:val="auto"/>
              </w:rPr>
            </w:pPr>
            <w:r>
              <w:rPr>
                <w:rFonts w:ascii="Arial" w:cs="Arial" w:eastAsia="Arial" w:hAnsi="Arial"/>
                <w:sz w:val="16"/>
                <w:szCs w:val="16"/>
                <w:color w:val="0000EE"/>
              </w:rPr>
              <w:t>GAAP Financial Measures</w:t>
            </w:r>
          </w:p>
        </w:tc>
        <w:tc>
          <w:tcPr>
            <w:tcW w:w="260" w:type="dxa"/>
            <w:vAlign w:val="bottom"/>
            <w:gridSpan w:val="4"/>
            <w:vMerge w:val="continue"/>
          </w:tcPr>
          <w:p>
            <w:pPr>
              <w:spacing w:after="0"/>
              <w:rPr>
                <w:sz w:val="13"/>
                <w:szCs w:val="13"/>
                <w:color w:val="auto"/>
              </w:rPr>
            </w:pPr>
          </w:p>
        </w:tc>
        <w:tc>
          <w:tcPr>
            <w:tcW w:w="220" w:type="dxa"/>
            <w:vAlign w:val="bottom"/>
            <w:gridSpan w:val="7"/>
            <w:vMerge w:val="continue"/>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60" w:type="dxa"/>
            <w:vAlign w:val="bottom"/>
            <w:gridSpan w:val="5"/>
            <w:vMerge w:val="continue"/>
          </w:tcPr>
          <w:p>
            <w:pPr>
              <w:spacing w:after="0" w:line="20" w:lineRule="exact"/>
              <w:rPr>
                <w:sz w:val="1"/>
                <w:szCs w:val="1"/>
                <w:color w:val="auto"/>
              </w:rPr>
            </w:pPr>
          </w:p>
        </w:tc>
        <w:tc>
          <w:tcPr>
            <w:tcW w:w="1960" w:type="dxa"/>
            <w:vAlign w:val="bottom"/>
            <w:gridSpan w:val="12"/>
            <w:shd w:val="clear" w:color="auto" w:fill="0000EE"/>
          </w:tcPr>
          <w:p>
            <w:pPr>
              <w:spacing w:after="0" w:line="20" w:lineRule="exact"/>
              <w:rPr>
                <w:sz w:val="1"/>
                <w:szCs w:val="1"/>
                <w:color w:val="auto"/>
              </w:rPr>
            </w:pPr>
          </w:p>
        </w:tc>
        <w:tc>
          <w:tcPr>
            <w:tcW w:w="1260" w:type="dxa"/>
            <w:vAlign w:val="bottom"/>
            <w:gridSpan w:val="17"/>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5"/>
            <w:vMerge w:val="continue"/>
          </w:tcPr>
          <w:p>
            <w:pPr>
              <w:spacing w:after="0"/>
              <w:rPr>
                <w:sz w:val="17"/>
                <w:szCs w:val="17"/>
                <w:color w:val="auto"/>
              </w:rPr>
            </w:pPr>
          </w:p>
        </w:tc>
        <w:tc>
          <w:tcPr>
            <w:tcW w:w="3440" w:type="dxa"/>
            <w:vAlign w:val="bottom"/>
            <w:gridSpan w:val="36"/>
          </w:tcPr>
          <w:p>
            <w:pPr>
              <w:spacing w:after="0"/>
              <w:rPr>
                <w:sz w:val="20"/>
                <w:szCs w:val="20"/>
                <w:color w:val="auto"/>
              </w:rPr>
            </w:pPr>
            <w:r>
              <w:rPr>
                <w:rFonts w:ascii="Arial" w:cs="Arial" w:eastAsia="Arial" w:hAnsi="Arial"/>
                <w:sz w:val="16"/>
                <w:szCs w:val="16"/>
                <w:b w:val="1"/>
                <w:bCs w:val="1"/>
                <w:color w:val="0000EE"/>
              </w:rPr>
              <w:t>APPENDIX B</w:t>
            </w:r>
            <w:r>
              <w:rPr>
                <w:rFonts w:ascii="Arial" w:cs="Arial" w:eastAsia="Arial" w:hAnsi="Arial"/>
                <w:sz w:val="16"/>
                <w:szCs w:val="16"/>
                <w:color w:val="0000EE"/>
              </w:rPr>
              <w:t> — Certificate of Amendment</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line="155" w:lineRule="exact"/>
              <w:rPr>
                <w:sz w:val="20"/>
                <w:szCs w:val="20"/>
                <w:color w:val="auto"/>
              </w:rPr>
            </w:pPr>
            <w:r>
              <w:rPr>
                <w:rFonts w:ascii="Arial" w:cs="Arial" w:eastAsia="Arial" w:hAnsi="Arial"/>
                <w:sz w:val="16"/>
                <w:szCs w:val="16"/>
                <w:color w:val="auto"/>
              </w:rPr>
              <w:t>​</w:t>
            </w:r>
          </w:p>
        </w:tc>
        <w:tc>
          <w:tcPr>
            <w:tcW w:w="260" w:type="dxa"/>
            <w:vAlign w:val="bottom"/>
            <w:tcBorders>
              <w:top w:val="single" w:sz="8" w:color="0000EE"/>
            </w:tcBorders>
            <w:gridSpan w:val="2"/>
          </w:tcPr>
          <w:p>
            <w:pPr>
              <w:spacing w:after="0" w:line="155" w:lineRule="exact"/>
              <w:rPr>
                <w:sz w:val="20"/>
                <w:szCs w:val="20"/>
                <w:color w:val="auto"/>
              </w:rPr>
            </w:pPr>
            <w:r>
              <w:rPr>
                <w:rFonts w:ascii="Arial" w:cs="Arial" w:eastAsia="Arial" w:hAnsi="Arial"/>
                <w:sz w:val="16"/>
                <w:szCs w:val="16"/>
                <w:color w:val="0000EE"/>
                <w:w w:val="85"/>
              </w:rPr>
              <w:t>C-1</w:t>
            </w:r>
          </w:p>
        </w:tc>
        <w:tc>
          <w:tcPr>
            <w:tcW w:w="280" w:type="dxa"/>
            <w:vAlign w:val="bottom"/>
            <w:gridSpan w:val="2"/>
          </w:tcPr>
          <w:p>
            <w:pPr>
              <w:jc w:val="right"/>
              <w:spacing w:after="0" w:line="155" w:lineRule="exact"/>
              <w:rPr>
                <w:sz w:val="20"/>
                <w:szCs w:val="20"/>
                <w:color w:val="auto"/>
              </w:rPr>
            </w:pPr>
            <w:r>
              <w:rPr>
                <w:rFonts w:ascii="Arial" w:cs="Arial" w:eastAsia="Arial" w:hAnsi="Arial"/>
                <w:sz w:val="16"/>
                <w:szCs w:val="16"/>
                <w:color w:val="auto"/>
              </w:rPr>
              <w:t>​ ​</w:t>
            </w:r>
          </w:p>
        </w:tc>
        <w:tc>
          <w:tcPr>
            <w:tcW w:w="3220" w:type="dxa"/>
            <w:vAlign w:val="bottom"/>
            <w:tcBorders>
              <w:top w:val="single" w:sz="8" w:color="0000EE"/>
            </w:tcBorders>
            <w:gridSpan w:val="29"/>
          </w:tcPr>
          <w:p>
            <w:pPr>
              <w:spacing w:after="0" w:line="155" w:lineRule="exact"/>
              <w:rPr>
                <w:sz w:val="20"/>
                <w:szCs w:val="20"/>
                <w:color w:val="auto"/>
              </w:rPr>
            </w:pPr>
            <w:r>
              <w:rPr>
                <w:rFonts w:ascii="Arial" w:cs="Arial" w:eastAsia="Arial" w:hAnsi="Arial"/>
                <w:sz w:val="16"/>
                <w:szCs w:val="16"/>
                <w:b w:val="1"/>
                <w:bCs w:val="1"/>
                <w:color w:val="0000EE"/>
              </w:rPr>
              <w:t>APPENDIX C</w:t>
            </w:r>
            <w:r>
              <w:rPr>
                <w:rFonts w:ascii="Arial" w:cs="Arial" w:eastAsia="Arial" w:hAnsi="Arial"/>
                <w:sz w:val="16"/>
                <w:szCs w:val="16"/>
                <w:color w:val="0000EE"/>
              </w:rPr>
              <w:t> — Ribbon Communications</w:t>
            </w:r>
          </w:p>
        </w:tc>
        <w:tc>
          <w:tcPr>
            <w:tcW w:w="340" w:type="dxa"/>
            <w:vAlign w:val="bottom"/>
            <w:gridSpan w:val="8"/>
          </w:tcPr>
          <w:p>
            <w:pPr>
              <w:jc w:val="right"/>
              <w:spacing w:after="0" w:line="155" w:lineRule="exact"/>
              <w:rPr>
                <w:sz w:val="20"/>
                <w:szCs w:val="20"/>
                <w:color w:val="auto"/>
              </w:rPr>
            </w:pPr>
            <w:r>
              <w:rPr>
                <w:rFonts w:ascii="Arial" w:cs="Arial" w:eastAsia="Arial" w:hAnsi="Arial"/>
                <w:sz w:val="16"/>
                <w:szCs w:val="16"/>
                <w:color w:val="0000EE"/>
              </w:rPr>
              <w:t>Inc.</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spacing w:after="0"/>
        <w:rPr>
          <w:sz w:val="20"/>
          <w:szCs w:val="20"/>
          <w:color w:val="auto"/>
        </w:rPr>
      </w:pPr>
      <w:r>
        <w:rPr>
          <w:rFonts w:ascii="Arial" w:cs="Arial" w:eastAsia="Arial" w:hAnsi="Arial"/>
          <w:sz w:val="16"/>
          <w:szCs w:val="16"/>
          <w:u w:val="single" w:color="auto"/>
          <w:color w:val="0000EE"/>
        </w:rPr>
        <w:t>2025 Incentive Award Plan</w:t>
      </w:r>
    </w:p>
    <w:p>
      <w:pPr>
        <w:spacing w:after="0" w:line="537" w:lineRule="exact"/>
        <w:rPr>
          <w:sz w:val="20"/>
          <w:szCs w:val="20"/>
          <w:color w:val="auto"/>
        </w:rPr>
      </w:pPr>
    </w:p>
    <w:p>
      <w:pPr>
        <w:sectPr>
          <w:pgSz w:w="11900" w:h="16838" w:orient="portrait"/>
          <w:cols w:equalWidth="0" w:num="2">
            <w:col w:w="5140" w:space="420"/>
            <w:col w:w="5160"/>
          </w:cols>
          <w:pgMar w:left="580" w:top="97" w:right="59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300" w:type="dxa"/>
            <w:vAlign w:val="bottom"/>
            <w:tcBorders>
              <w:right w:val="single" w:sz="8" w:color="62259D"/>
            </w:tcBorders>
          </w:tcPr>
          <w:p>
            <w:pPr>
              <w:spacing w:after="0"/>
              <w:rPr>
                <w:sz w:val="24"/>
                <w:szCs w:val="24"/>
                <w:color w:val="auto"/>
              </w:rPr>
            </w:pPr>
          </w:p>
        </w:tc>
        <w:tc>
          <w:tcPr>
            <w:tcW w:w="420" w:type="dxa"/>
            <w:vAlign w:val="bottom"/>
            <w:shd w:val="clear" w:color="auto" w:fill="62259D"/>
          </w:tcPr>
          <w:p>
            <w:pPr>
              <w:ind w:left="200"/>
              <w:spacing w:after="0"/>
              <w:rPr>
                <w:sz w:val="20"/>
                <w:szCs w:val="20"/>
                <w:color w:val="auto"/>
              </w:rPr>
            </w:pPr>
            <w:r>
              <w:rPr>
                <w:rFonts w:ascii="Arial" w:cs="Arial" w:eastAsia="Arial" w:hAnsi="Arial"/>
                <w:sz w:val="16"/>
                <w:szCs w:val="16"/>
                <w:b w:val="1"/>
                <w:bCs w:val="1"/>
                <w:color w:val="FEFEFE"/>
              </w:rPr>
              <w:t>​</w:t>
            </w:r>
          </w:p>
        </w:tc>
        <w:tc>
          <w:tcPr>
            <w:tcW w:w="726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IMPORTANT NOTICE REGARDING AVAILABILITY OF PROXY MATERIALS FOR THE</w:t>
            </w:r>
          </w:p>
        </w:tc>
        <w:tc>
          <w:tcPr>
            <w:tcW w:w="440" w:type="dxa"/>
            <w:vAlign w:val="bottom"/>
            <w:tcBorders>
              <w:right w:val="single" w:sz="8" w:color="62259D"/>
            </w:tcBorders>
            <w:shd w:val="clear" w:color="auto" w:fill="62259D"/>
          </w:tcPr>
          <w:p>
            <w:pPr>
              <w:ind w:left="200"/>
              <w:spacing w:after="0"/>
              <w:rPr>
                <w:sz w:val="20"/>
                <w:szCs w:val="20"/>
                <w:color w:val="auto"/>
              </w:rPr>
            </w:pPr>
            <w:r>
              <w:rPr>
                <w:rFonts w:ascii="Arial" w:cs="Arial" w:eastAsia="Arial" w:hAnsi="Arial"/>
                <w:sz w:val="16"/>
                <w:szCs w:val="16"/>
                <w:b w:val="1"/>
                <w:bCs w:val="1"/>
                <w:color w:val="FEFEFE"/>
              </w:rPr>
              <w:t>​</w:t>
            </w:r>
          </w:p>
        </w:tc>
        <w:tc>
          <w:tcPr>
            <w:tcW w:w="1300" w:type="dxa"/>
            <w:vAlign w:val="bottom"/>
          </w:tcPr>
          <w:p>
            <w:pPr>
              <w:spacing w:after="0"/>
              <w:rPr>
                <w:sz w:val="24"/>
                <w:szCs w:val="24"/>
                <w:color w:val="auto"/>
              </w:rPr>
            </w:pPr>
          </w:p>
        </w:tc>
      </w:tr>
      <w:tr>
        <w:trPr>
          <w:trHeight w:val="251"/>
        </w:trPr>
        <w:tc>
          <w:tcPr>
            <w:tcW w:w="1300" w:type="dxa"/>
            <w:vAlign w:val="bottom"/>
            <w:tcBorders>
              <w:right w:val="single" w:sz="8" w:color="62259D"/>
            </w:tcBorders>
          </w:tcPr>
          <w:p>
            <w:pPr>
              <w:spacing w:after="0"/>
              <w:rPr>
                <w:sz w:val="21"/>
                <w:szCs w:val="21"/>
                <w:color w:val="auto"/>
              </w:rPr>
            </w:pPr>
          </w:p>
        </w:tc>
        <w:tc>
          <w:tcPr>
            <w:tcW w:w="420" w:type="dxa"/>
            <w:vAlign w:val="bottom"/>
            <w:tcBorders>
              <w:bottom w:val="single" w:sz="8" w:color="62259D"/>
            </w:tcBorders>
            <w:shd w:val="clear" w:color="auto" w:fill="62259D"/>
          </w:tcPr>
          <w:p>
            <w:pPr>
              <w:spacing w:after="0"/>
              <w:rPr>
                <w:sz w:val="21"/>
                <w:szCs w:val="21"/>
                <w:color w:val="auto"/>
              </w:rPr>
            </w:pPr>
          </w:p>
        </w:tc>
        <w:tc>
          <w:tcPr>
            <w:tcW w:w="7260" w:type="dxa"/>
            <w:vAlign w:val="bottom"/>
            <w:tcBorders>
              <w:bottom w:val="single" w:sz="8" w:color="62259D"/>
            </w:tcBorders>
            <w:shd w:val="clear" w:color="auto" w:fill="62259D"/>
          </w:tcPr>
          <w:p>
            <w:pPr>
              <w:jc w:val="center"/>
              <w:spacing w:after="0"/>
              <w:rPr>
                <w:sz w:val="20"/>
                <w:szCs w:val="20"/>
                <w:color w:val="auto"/>
              </w:rPr>
            </w:pPr>
            <w:r>
              <w:rPr>
                <w:rFonts w:ascii="Arial" w:cs="Arial" w:eastAsia="Arial" w:hAnsi="Arial"/>
                <w:sz w:val="16"/>
                <w:szCs w:val="16"/>
                <w:b w:val="1"/>
                <w:bCs w:val="1"/>
                <w:color w:val="FEFEFE"/>
              </w:rPr>
              <w:t>STOCKHOLDER MEETING TO BE HELD ON MAY 28, 2025</w:t>
            </w:r>
          </w:p>
        </w:tc>
        <w:tc>
          <w:tcPr>
            <w:tcW w:w="440" w:type="dxa"/>
            <w:vAlign w:val="bottom"/>
            <w:tcBorders>
              <w:bottom w:val="single" w:sz="8" w:color="62259D"/>
              <w:right w:val="single" w:sz="8" w:color="62259D"/>
            </w:tcBorders>
            <w:shd w:val="clear" w:color="auto" w:fill="62259D"/>
          </w:tcPr>
          <w:p>
            <w:pPr>
              <w:spacing w:after="0"/>
              <w:rPr>
                <w:sz w:val="21"/>
                <w:szCs w:val="21"/>
                <w:color w:val="auto"/>
              </w:rPr>
            </w:pPr>
          </w:p>
        </w:tc>
        <w:tc>
          <w:tcPr>
            <w:tcW w:w="1300" w:type="dxa"/>
            <w:vAlign w:val="bottom"/>
          </w:tcPr>
          <w:p>
            <w:pPr>
              <w:spacing w:after="0"/>
              <w:rPr>
                <w:sz w:val="21"/>
                <w:szCs w:val="21"/>
                <w:color w:val="auto"/>
              </w:rPr>
            </w:pPr>
          </w:p>
        </w:tc>
      </w:tr>
      <w:tr>
        <w:trPr>
          <w:trHeight w:val="255"/>
        </w:trPr>
        <w:tc>
          <w:tcPr>
            <w:tcW w:w="1300" w:type="dxa"/>
            <w:vAlign w:val="bottom"/>
            <w:tcBorders>
              <w:right w:val="single" w:sz="8" w:color="62259D"/>
            </w:tcBorders>
          </w:tcPr>
          <w:p>
            <w:pPr>
              <w:spacing w:after="0"/>
              <w:rPr>
                <w:sz w:val="22"/>
                <w:szCs w:val="22"/>
                <w:color w:val="auto"/>
              </w:rPr>
            </w:pP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c>
          <w:tcPr>
            <w:tcW w:w="7260" w:type="dxa"/>
            <w:vAlign w:val="bottom"/>
          </w:tcPr>
          <w:p>
            <w:pPr>
              <w:jc w:val="center"/>
              <w:spacing w:after="0"/>
              <w:rPr>
                <w:sz w:val="20"/>
                <w:szCs w:val="20"/>
                <w:color w:val="auto"/>
              </w:rPr>
            </w:pPr>
            <w:r>
              <w:rPr>
                <w:rFonts w:ascii="Arial" w:cs="Arial" w:eastAsia="Arial" w:hAnsi="Arial"/>
                <w:sz w:val="16"/>
                <w:szCs w:val="16"/>
                <w:color w:val="auto"/>
              </w:rPr>
              <w:t>This Proxy Statement and the 2024 Annual Report to Stockholders are available for viewing,</w:t>
            </w:r>
          </w:p>
        </w:tc>
        <w:tc>
          <w:tcPr>
            <w:tcW w:w="440" w:type="dxa"/>
            <w:vAlign w:val="bottom"/>
            <w:tcBorders>
              <w:right w:val="single" w:sz="8" w:color="62259D"/>
            </w:tcBorders>
          </w:tcPr>
          <w:p>
            <w:pPr>
              <w:ind w:left="200"/>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22"/>
                <w:szCs w:val="22"/>
                <w:color w:val="auto"/>
              </w:rPr>
            </w:pPr>
          </w:p>
        </w:tc>
      </w:tr>
      <w:tr>
        <w:trPr>
          <w:trHeight w:val="216"/>
        </w:trPr>
        <w:tc>
          <w:tcPr>
            <w:tcW w:w="1300" w:type="dxa"/>
            <w:vAlign w:val="bottom"/>
            <w:tcBorders>
              <w:right w:val="single" w:sz="8" w:color="62259D"/>
            </w:tcBorders>
          </w:tcPr>
          <w:p>
            <w:pPr>
              <w:spacing w:after="0"/>
              <w:rPr>
                <w:sz w:val="18"/>
                <w:szCs w:val="18"/>
                <w:color w:val="auto"/>
              </w:rPr>
            </w:pPr>
          </w:p>
        </w:tc>
        <w:tc>
          <w:tcPr>
            <w:tcW w:w="420" w:type="dxa"/>
            <w:vAlign w:val="bottom"/>
          </w:tcPr>
          <w:p>
            <w:pPr>
              <w:spacing w:after="0"/>
              <w:rPr>
                <w:sz w:val="18"/>
                <w:szCs w:val="18"/>
                <w:color w:val="auto"/>
              </w:rPr>
            </w:pPr>
          </w:p>
        </w:tc>
        <w:tc>
          <w:tcPr>
            <w:tcW w:w="7260" w:type="dxa"/>
            <w:vAlign w:val="bottom"/>
          </w:tcPr>
          <w:p>
            <w:pPr>
              <w:jc w:val="center"/>
              <w:spacing w:after="0"/>
              <w:rPr>
                <w:sz w:val="20"/>
                <w:szCs w:val="20"/>
                <w:color w:val="auto"/>
              </w:rPr>
            </w:pPr>
            <w:r>
              <w:rPr>
                <w:rFonts w:ascii="Arial" w:cs="Arial" w:eastAsia="Arial" w:hAnsi="Arial"/>
                <w:sz w:val="16"/>
                <w:szCs w:val="16"/>
                <w:color w:val="auto"/>
              </w:rPr>
              <w:t xml:space="preserve">printing and downloading at </w:t>
            </w:r>
            <w:r>
              <w:rPr>
                <w:rFonts w:ascii="Arial" w:cs="Arial" w:eastAsia="Arial" w:hAnsi="Arial"/>
                <w:sz w:val="16"/>
                <w:szCs w:val="16"/>
                <w:color w:val="E7417A"/>
              </w:rPr>
              <w:t>www.proxyvote.com</w:t>
            </w:r>
            <w:r>
              <w:rPr>
                <w:rFonts w:ascii="Arial" w:cs="Arial" w:eastAsia="Arial" w:hAnsi="Arial"/>
                <w:sz w:val="16"/>
                <w:szCs w:val="16"/>
                <w:color w:val="auto"/>
              </w:rPr>
              <w:t>.</w:t>
            </w:r>
          </w:p>
        </w:tc>
        <w:tc>
          <w:tcPr>
            <w:tcW w:w="440" w:type="dxa"/>
            <w:vAlign w:val="bottom"/>
            <w:tcBorders>
              <w:right w:val="single" w:sz="8" w:color="62259D"/>
            </w:tcBorders>
          </w:tcPr>
          <w:p>
            <w:pPr>
              <w:spacing w:after="0"/>
              <w:rPr>
                <w:sz w:val="18"/>
                <w:szCs w:val="18"/>
                <w:color w:val="auto"/>
              </w:rPr>
            </w:pPr>
          </w:p>
        </w:tc>
        <w:tc>
          <w:tcPr>
            <w:tcW w:w="1300" w:type="dxa"/>
            <w:vAlign w:val="bottom"/>
          </w:tcPr>
          <w:p>
            <w:pPr>
              <w:spacing w:after="0"/>
              <w:rPr>
                <w:sz w:val="18"/>
                <w:szCs w:val="18"/>
                <w:color w:val="auto"/>
              </w:rPr>
            </w:pPr>
          </w:p>
        </w:tc>
      </w:tr>
      <w:tr>
        <w:trPr>
          <w:trHeight w:val="69"/>
        </w:trPr>
        <w:tc>
          <w:tcPr>
            <w:tcW w:w="1300" w:type="dxa"/>
            <w:vAlign w:val="bottom"/>
            <w:tcBorders>
              <w:right w:val="single" w:sz="8" w:color="62259D"/>
            </w:tcBorders>
          </w:tcPr>
          <w:p>
            <w:pPr>
              <w:spacing w:after="0"/>
              <w:rPr>
                <w:sz w:val="6"/>
                <w:szCs w:val="6"/>
                <w:color w:val="auto"/>
              </w:rPr>
            </w:pPr>
          </w:p>
        </w:tc>
        <w:tc>
          <w:tcPr>
            <w:tcW w:w="420" w:type="dxa"/>
            <w:vAlign w:val="bottom"/>
            <w:tcBorders>
              <w:bottom w:val="single" w:sz="8" w:color="62259D"/>
            </w:tcBorders>
          </w:tcPr>
          <w:p>
            <w:pPr>
              <w:spacing w:after="0"/>
              <w:rPr>
                <w:sz w:val="6"/>
                <w:szCs w:val="6"/>
                <w:color w:val="auto"/>
              </w:rPr>
            </w:pPr>
          </w:p>
        </w:tc>
        <w:tc>
          <w:tcPr>
            <w:tcW w:w="7700" w:type="dxa"/>
            <w:vAlign w:val="bottom"/>
            <w:tcBorders>
              <w:bottom w:val="single" w:sz="8" w:color="62259D"/>
              <w:right w:val="single" w:sz="8" w:color="62259D"/>
            </w:tcBorders>
            <w:gridSpan w:val="2"/>
          </w:tcPr>
          <w:p>
            <w:pPr>
              <w:spacing w:after="0"/>
              <w:rPr>
                <w:sz w:val="6"/>
                <w:szCs w:val="6"/>
                <w:color w:val="auto"/>
              </w:rPr>
            </w:pPr>
          </w:p>
        </w:tc>
        <w:tc>
          <w:tcPr>
            <w:tcW w:w="1300" w:type="dxa"/>
            <w:vAlign w:val="bottom"/>
          </w:tcPr>
          <w:p>
            <w:pPr>
              <w:spacing w:after="0"/>
              <w:rPr>
                <w:sz w:val="6"/>
                <w:szCs w:val="6"/>
                <w:color w:val="auto"/>
              </w:rPr>
            </w:pPr>
          </w:p>
        </w:tc>
      </w:tr>
      <w:tr>
        <w:trPr>
          <w:trHeight w:val="424"/>
        </w:trPr>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0" w:type="dxa"/>
            <w:vAlign w:val="bottom"/>
            <w:gridSpan w:val="3"/>
          </w:tcPr>
          <w:p>
            <w:pPr>
              <w:ind w:left="354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i</w:t>
            </w:r>
          </w:p>
        </w:tc>
      </w:tr>
      <w:tr>
        <w:trPr>
          <w:trHeight w:val="238"/>
        </w:trPr>
        <w:tc>
          <w:tcPr>
            <w:tcW w:w="1300" w:type="dxa"/>
            <w:vAlign w:val="bottom"/>
            <w:tcBorders>
              <w:bottom w:val="single" w:sz="8" w:color="9A9A9A"/>
            </w:tcBorders>
          </w:tcPr>
          <w:p>
            <w:pPr>
              <w:spacing w:after="0"/>
              <w:rPr>
                <w:sz w:val="20"/>
                <w:szCs w:val="20"/>
                <w:color w:val="auto"/>
              </w:rPr>
            </w:pPr>
          </w:p>
        </w:tc>
        <w:tc>
          <w:tcPr>
            <w:tcW w:w="420" w:type="dxa"/>
            <w:vAlign w:val="bottom"/>
            <w:tcBorders>
              <w:bottom w:val="single" w:sz="8" w:color="9A9A9A"/>
            </w:tcBorders>
          </w:tcPr>
          <w:p>
            <w:pPr>
              <w:spacing w:after="0"/>
              <w:rPr>
                <w:sz w:val="20"/>
                <w:szCs w:val="20"/>
                <w:color w:val="auto"/>
              </w:rPr>
            </w:pPr>
          </w:p>
        </w:tc>
        <w:tc>
          <w:tcPr>
            <w:tcW w:w="726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20"/>
        <w:spacing w:after="0"/>
        <w:tabs>
          <w:tab w:leader="none" w:pos="95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-118110</wp:posOffset>
            </wp:positionV>
            <wp:extent cx="5623560" cy="6009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23560" cy="6009005"/>
                    </a:xfrm>
                    <a:prstGeom prst="rect">
                      <a:avLst/>
                    </a:prstGeom>
                    <a:noFill/>
                  </pic:spPr>
                </pic:pic>
              </a:graphicData>
            </a:graphic>
          </wp:anchor>
        </w:drawing>
      </w:r>
    </w:p>
    <w:p>
      <w:pPr>
        <w:spacing w:after="0" w:line="31" w:lineRule="exact"/>
        <w:rPr>
          <w:sz w:val="20"/>
          <w:szCs w:val="20"/>
          <w:color w:val="auto"/>
        </w:rPr>
      </w:pPr>
    </w:p>
    <w:p>
      <w:pPr>
        <w:ind w:left="1140"/>
        <w:spacing w:after="0"/>
        <w:rPr>
          <w:sz w:val="20"/>
          <w:szCs w:val="20"/>
          <w:color w:val="auto"/>
        </w:rPr>
      </w:pPr>
      <w:r>
        <w:rPr>
          <w:rFonts w:ascii="Arial" w:cs="Arial" w:eastAsia="Arial" w:hAnsi="Arial"/>
          <w:sz w:val="29"/>
          <w:szCs w:val="29"/>
          <w:color w:val="62259D"/>
        </w:rPr>
        <w:t>Cautionary Note Regarding Forward-Looking Statements</w:t>
      </w:r>
      <w:r>
        <w:rPr>
          <w:rFonts w:ascii="Arial" w:cs="Arial" w:eastAsia="Arial" w:hAnsi="Arial"/>
          <w:sz w:val="17"/>
          <w:szCs w:val="17"/>
          <w:color w:val="000000"/>
        </w:rPr>
        <w:t>​</w:t>
      </w:r>
    </w:p>
    <w:p>
      <w:pPr>
        <w:spacing w:after="0" w:line="189" w:lineRule="exact"/>
        <w:rPr>
          <w:sz w:val="20"/>
          <w:szCs w:val="20"/>
          <w:color w:val="auto"/>
        </w:rPr>
      </w:pPr>
    </w:p>
    <w:p>
      <w:pPr>
        <w:ind w:left="1140" w:right="339"/>
        <w:spacing w:after="0" w:line="246" w:lineRule="auto"/>
        <w:rPr>
          <w:sz w:val="20"/>
          <w:szCs w:val="20"/>
          <w:color w:val="auto"/>
        </w:rPr>
      </w:pPr>
      <w:r>
        <w:rPr>
          <w:rFonts w:ascii="Arial" w:cs="Arial" w:eastAsia="Arial" w:hAnsi="Arial"/>
          <w:sz w:val="17"/>
          <w:szCs w:val="17"/>
          <w:color w:val="auto"/>
        </w:rPr>
        <w:t>This proxy statement (this “Proxy Statement”) contains “forward -looking statements” within the meaning of the U.S. Private Securities Litigation Reform Act of 1995, which are subject to a number of risks and uncertainties. All statements other than statements of historical facts contained in this proxy statement, including without limitation statements regarding projected financial results, customer engagement and momentum, and plans for future product development and manufacturing, are forward-looking statements. Without limiting the foregoing, the words “believes,” “estimates,” “expects,” “expectations,” “intends,” “may,” “plans,” “projects” and other similar language, are intended to identify forward-looking statements.</w:t>
      </w:r>
    </w:p>
    <w:p>
      <w:pPr>
        <w:spacing w:after="0" w:line="109" w:lineRule="exact"/>
        <w:rPr>
          <w:sz w:val="20"/>
          <w:szCs w:val="20"/>
          <w:color w:val="auto"/>
        </w:rPr>
      </w:pPr>
    </w:p>
    <w:p>
      <w:pPr>
        <w:ind w:left="1140" w:right="359"/>
        <w:spacing w:after="0" w:line="243" w:lineRule="auto"/>
        <w:rPr>
          <w:sz w:val="20"/>
          <w:szCs w:val="20"/>
          <w:color w:val="auto"/>
        </w:rPr>
      </w:pPr>
      <w:r>
        <w:rPr>
          <w:rFonts w:ascii="Arial" w:cs="Arial" w:eastAsia="Arial" w:hAnsi="Arial"/>
          <w:sz w:val="17"/>
          <w:szCs w:val="17"/>
          <w:color w:val="auto"/>
        </w:rPr>
        <w:t>Forward-looking statements are based on our current expectations and assumptions regarding our business, the economy and other future conditions. Because forward-looking statements relate to the future, they are subject to inherent uncertainties, risks and changes in circumstances that are unknown and/or difficult to predict and that may cause our actual results, performance or achievements to be materially different from those expressed or implied by the forward-looking statements. Such risks and uncertainties include, but are not limited to, unpredictable fluctuations in quarterly revenue and operating results; the impact of restructuring and cost-containment activities; increases in tariffs, trade restrictions or taxes on our products; supply chain disruptions resulting from component availability and/or geopolitical instabilities and disputes (including those related to the wars in Israel and Ukraine); the closure, on a temporary basis, of our offices or those of our contract manufacturer in Israel as a result of the war and the impact of military call-ups of our employees in Israel; material litigation; the impact of fluctuations in interest rates; material cybersecurity and data intrusion incidents, including any security breaches resulting in the theft, transfer, or unauthorized disclosure of customer, employee, or company information; our ability to comply with applicable domestic and foreign information security and privacy laws, regulations and technology platform rules or other obligations related to data privacy and security; failure to compete successfully against telecommunications equipment and networking companies; failure to grow our customer base or generate recurring business from our existing customers; credit risks; the timing of customer purchasing decisions and our recognition of revenues; macroeconomic conditions, including inflation; our ability to adapt to rapid technological and market changes; our ability to generate positive returns on our research and development; our ability to protect our intellectual property rights and obtain necessary licenses; our ability to maintain partner, reseller, distribution and vendor support and supply relationships; the potential for defects in our products; risks related to the terms of our credit agreement; higher risks in international operations and markets; currency fluctuations; unanticipated adverse changes in legal, regulatory or tax laws; future accounting pronouncements or changes in our accounting policies; and/or failure or circumvention of our controls and procedures.</w:t>
      </w:r>
    </w:p>
    <w:p>
      <w:pPr>
        <w:spacing w:after="0" w:line="312" w:lineRule="exact"/>
        <w:rPr>
          <w:sz w:val="20"/>
          <w:szCs w:val="20"/>
          <w:color w:val="auto"/>
        </w:rPr>
      </w:pPr>
    </w:p>
    <w:p>
      <w:pPr>
        <w:ind w:left="1140" w:right="399"/>
        <w:spacing w:after="0" w:line="249" w:lineRule="auto"/>
        <w:rPr>
          <w:sz w:val="20"/>
          <w:szCs w:val="20"/>
          <w:color w:val="auto"/>
        </w:rPr>
      </w:pPr>
      <w:r>
        <w:rPr>
          <w:rFonts w:ascii="Arial" w:cs="Arial" w:eastAsia="Arial" w:hAnsi="Arial"/>
          <w:sz w:val="17"/>
          <w:szCs w:val="17"/>
          <w:color w:val="auto"/>
        </w:rPr>
        <w:t>These factors are not intended to be an all-encompassing list of risks and uncertainties that may affect our business and results from operations. Additional information regarding these and other factors can be found in our reports filed with the Securities and Exchange Commission (the “SEC”), including, without limitation, our Form 10-K for the year ended December 31, 2024 (the “2024 Annual Report”). In providing forward-looking statements, we expressly disclaim any obligation to update these statements publicly or otherwise, whether as a result of new information, future events or otherwise, except as required by law.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ii</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E7417A"/>
            </w:tcBorders>
          </w:tcPr>
          <w:p>
            <w:pPr>
              <w:spacing w:after="0"/>
              <w:rPr>
                <w:sz w:val="20"/>
                <w:szCs w:val="20"/>
                <w:color w:val="auto"/>
              </w:rPr>
            </w:pPr>
            <w:r>
              <w:rPr>
                <w:rFonts w:ascii="Arial" w:cs="Arial" w:eastAsia="Arial" w:hAnsi="Arial"/>
                <w:sz w:val="13"/>
                <w:szCs w:val="13"/>
                <w:b w:val="1"/>
                <w:bCs w:val="1"/>
                <w:color w:val="9166BA"/>
              </w:rPr>
              <w:t>​</w:t>
            </w:r>
          </w:p>
        </w:tc>
        <w:tc>
          <w:tcPr>
            <w:tcW w:w="840" w:type="dxa"/>
            <w:vAlign w:val="bottom"/>
            <w:tcBorders>
              <w:bottom w:val="single" w:sz="8" w:color="E7417A"/>
            </w:tcBorders>
          </w:tcPr>
          <w:p>
            <w:pPr>
              <w:ind w:left="380"/>
              <w:spacing w:after="0"/>
              <w:rPr>
                <w:sz w:val="20"/>
                <w:szCs w:val="20"/>
                <w:color w:val="auto"/>
              </w:rPr>
            </w:pPr>
            <w:r>
              <w:rPr>
                <w:rFonts w:ascii="Arial" w:cs="Arial" w:eastAsia="Arial" w:hAnsi="Arial"/>
                <w:sz w:val="13"/>
                <w:szCs w:val="13"/>
                <w:b w:val="1"/>
                <w:bCs w:val="1"/>
                <w:color w:val="9166BA"/>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9166BA"/>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9166BA"/>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9166BA"/>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9166BA"/>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9166BA"/>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9166BA"/>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9166BA"/>
              </w:rPr>
              <w:t>​</w:t>
            </w:r>
          </w:p>
        </w:tc>
        <w:tc>
          <w:tcPr>
            <w:tcW w:w="40" w:type="dxa"/>
            <w:vAlign w:val="bottom"/>
          </w:tcPr>
          <w:p>
            <w:pPr>
              <w:spacing w:after="0"/>
              <w:rPr>
                <w:sz w:val="20"/>
                <w:szCs w:val="20"/>
                <w:color w:val="auto"/>
              </w:rPr>
            </w:pPr>
            <w:r>
              <w:rPr>
                <w:rFonts w:ascii="Arial" w:cs="Arial" w:eastAsia="Arial" w:hAnsi="Arial"/>
                <w:sz w:val="13"/>
                <w:szCs w:val="13"/>
                <w:b w:val="1"/>
                <w:bCs w:val="1"/>
                <w:color w:val="9166BA"/>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9166BA"/>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16"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62259D"/>
        </w:rPr>
        <w:t>SUMMARY INFORMATION</w:t>
      </w:r>
    </w:p>
    <w:p>
      <w:pPr>
        <w:spacing w:after="0" w:line="124" w:lineRule="exact"/>
        <w:rPr>
          <w:sz w:val="20"/>
          <w:szCs w:val="20"/>
          <w:color w:val="auto"/>
        </w:rPr>
      </w:pPr>
    </w:p>
    <w:p>
      <w:pPr>
        <w:ind w:left="920" w:right="360"/>
        <w:spacing w:after="0" w:line="247" w:lineRule="auto"/>
        <w:rPr>
          <w:sz w:val="20"/>
          <w:szCs w:val="20"/>
          <w:color w:val="auto"/>
        </w:rPr>
      </w:pPr>
      <w:r>
        <w:rPr>
          <w:rFonts w:ascii="Arial" w:cs="Arial" w:eastAsia="Arial" w:hAnsi="Arial"/>
          <w:sz w:val="18"/>
          <w:szCs w:val="18"/>
          <w:color w:val="auto"/>
        </w:rPr>
        <w:t>To assist you in reviewing the proposals to be acted upon at our 2025 annual meeting of stockholders (the “2025 Annual Meeting”), we would like to call your attention to the following summary information about Ribbon, our 2024 business and financial highlights and corporate governance highlights. It does not include all information necessary to make a voting decision, and you should read this Proxy Statement in its entirety before casting your vote.</w:t>
      </w:r>
    </w:p>
    <w:p>
      <w:pPr>
        <w:spacing w:after="0" w:line="69" w:lineRule="exact"/>
        <w:rPr>
          <w:sz w:val="20"/>
          <w:szCs w:val="20"/>
          <w:color w:val="auto"/>
        </w:rPr>
      </w:pPr>
    </w:p>
    <w:p>
      <w:pPr>
        <w:jc w:val="both"/>
        <w:ind w:left="920" w:right="1260"/>
        <w:spacing w:after="0" w:line="261" w:lineRule="auto"/>
        <w:rPr>
          <w:sz w:val="20"/>
          <w:szCs w:val="20"/>
          <w:color w:val="auto"/>
        </w:rPr>
      </w:pPr>
      <w:r>
        <w:rPr>
          <w:rFonts w:ascii="Arial" w:cs="Arial" w:eastAsia="Arial" w:hAnsi="Arial"/>
          <w:sz w:val="18"/>
          <w:szCs w:val="18"/>
          <w:color w:val="auto"/>
        </w:rPr>
        <w:t>Unless the content otherwise requires, references in this Proxy Statement to “Ribbon,” “Ribbon Communications,” “Company,” “we,” “us” and “our” refer to Ribbon Communications Inc. and its subsidiaries on a consolidated basis.</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2351405</wp:posOffset>
            </wp:positionH>
            <wp:positionV relativeFrom="paragraph">
              <wp:posOffset>112395</wp:posOffset>
            </wp:positionV>
            <wp:extent cx="2091690" cy="5657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91690" cy="56578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700"/>
        <w:spacing w:after="0"/>
        <w:rPr>
          <w:sz w:val="20"/>
          <w:szCs w:val="20"/>
          <w:color w:val="auto"/>
        </w:rPr>
      </w:pPr>
      <w:r>
        <w:rPr>
          <w:rFonts w:ascii="Arial" w:cs="Arial" w:eastAsia="Arial" w:hAnsi="Arial"/>
          <w:sz w:val="18"/>
          <w:szCs w:val="18"/>
          <w:color w:val="FEFEFE"/>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-127635</wp:posOffset>
            </wp:positionV>
            <wp:extent cx="2331720" cy="3617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31720" cy="3617595"/>
                    </a:xfrm>
                    <a:prstGeom prst="rect">
                      <a:avLst/>
                    </a:prstGeom>
                    <a:noFill/>
                  </pic:spPr>
                </pic:pic>
              </a:graphicData>
            </a:graphic>
          </wp:anchor>
        </w:drawing>
      </w:r>
    </w:p>
    <w:p>
      <w:pPr>
        <w:spacing w:after="0" w:line="304" w:lineRule="exact"/>
        <w:rPr>
          <w:sz w:val="20"/>
          <w:szCs w:val="20"/>
          <w:color w:val="auto"/>
        </w:rPr>
      </w:pPr>
    </w:p>
    <w:p>
      <w:pPr>
        <w:ind w:left="1900"/>
        <w:spacing w:after="0"/>
        <w:rPr>
          <w:sz w:val="20"/>
          <w:szCs w:val="20"/>
          <w:color w:val="auto"/>
        </w:rPr>
      </w:pPr>
      <w:r>
        <w:rPr>
          <w:rFonts w:ascii="Arial" w:cs="Arial" w:eastAsia="Arial" w:hAnsi="Arial"/>
          <w:sz w:val="43"/>
          <w:szCs w:val="43"/>
          <w:color w:val="FEFEFE"/>
        </w:rPr>
        <w:t>$833.9M</w:t>
      </w:r>
    </w:p>
    <w:p>
      <w:pPr>
        <w:spacing w:after="0" w:line="73" w:lineRule="exact"/>
        <w:rPr>
          <w:sz w:val="20"/>
          <w:szCs w:val="20"/>
          <w:color w:val="auto"/>
        </w:rPr>
      </w:pPr>
    </w:p>
    <w:p>
      <w:pPr>
        <w:ind w:left="1940"/>
        <w:spacing w:after="0"/>
        <w:rPr>
          <w:sz w:val="20"/>
          <w:szCs w:val="20"/>
          <w:color w:val="auto"/>
        </w:rPr>
      </w:pPr>
      <w:r>
        <w:rPr>
          <w:rFonts w:ascii="Arial" w:cs="Arial" w:eastAsia="Arial" w:hAnsi="Arial"/>
          <w:sz w:val="18"/>
          <w:szCs w:val="18"/>
          <w:color w:val="FEFEFE"/>
        </w:rPr>
        <w:t>2024 Total Revenue</w:t>
      </w:r>
    </w:p>
    <w:p>
      <w:pPr>
        <w:spacing w:after="0" w:line="171" w:lineRule="exact"/>
        <w:rPr>
          <w:sz w:val="20"/>
          <w:szCs w:val="20"/>
          <w:color w:val="auto"/>
        </w:rPr>
      </w:pPr>
    </w:p>
    <w:p>
      <w:pPr>
        <w:jc w:val="center"/>
        <w:ind w:left="1520"/>
        <w:spacing w:after="0"/>
        <w:rPr>
          <w:sz w:val="20"/>
          <w:szCs w:val="20"/>
          <w:color w:val="auto"/>
        </w:rPr>
      </w:pPr>
      <w:r>
        <w:rPr>
          <w:rFonts w:ascii="Arial" w:cs="Arial" w:eastAsia="Arial" w:hAnsi="Arial"/>
          <w:sz w:val="43"/>
          <w:szCs w:val="43"/>
          <w:color w:val="FEFEFE"/>
        </w:rPr>
        <w:t>1,000+</w:t>
      </w:r>
    </w:p>
    <w:p>
      <w:pPr>
        <w:spacing w:after="0" w:line="73" w:lineRule="exact"/>
        <w:rPr>
          <w:sz w:val="20"/>
          <w:szCs w:val="20"/>
          <w:color w:val="auto"/>
        </w:rPr>
      </w:pPr>
    </w:p>
    <w:p>
      <w:pPr>
        <w:ind w:left="2320"/>
        <w:spacing w:after="0"/>
        <w:rPr>
          <w:sz w:val="20"/>
          <w:szCs w:val="20"/>
          <w:color w:val="auto"/>
        </w:rPr>
      </w:pPr>
      <w:r>
        <w:rPr>
          <w:rFonts w:ascii="Arial" w:cs="Arial" w:eastAsia="Arial" w:hAnsi="Arial"/>
          <w:sz w:val="18"/>
          <w:szCs w:val="18"/>
          <w:color w:val="FEFEFE"/>
        </w:rPr>
        <w:t>Customers</w:t>
      </w:r>
    </w:p>
    <w:p>
      <w:pPr>
        <w:spacing w:after="0" w:line="171" w:lineRule="exact"/>
        <w:rPr>
          <w:sz w:val="20"/>
          <w:szCs w:val="20"/>
          <w:color w:val="auto"/>
        </w:rPr>
      </w:pPr>
    </w:p>
    <w:p>
      <w:pPr>
        <w:ind w:left="2260" w:hanging="1336"/>
        <w:spacing w:after="0"/>
        <w:tabs>
          <w:tab w:leader="none" w:pos="2260" w:val="left"/>
        </w:tabs>
        <w:numPr>
          <w:ilvl w:val="0"/>
          <w:numId w:val="8"/>
        </w:numPr>
        <w:rPr>
          <w:rFonts w:ascii="Arial" w:cs="Arial" w:eastAsia="Arial" w:hAnsi="Arial"/>
          <w:sz w:val="36"/>
          <w:szCs w:val="36"/>
          <w:color w:val="auto"/>
          <w:vertAlign w:val="subscript"/>
        </w:rPr>
      </w:pPr>
      <w:r>
        <w:rPr>
          <w:rFonts w:ascii="Arial" w:cs="Arial" w:eastAsia="Arial" w:hAnsi="Arial"/>
          <w:sz w:val="43"/>
          <w:szCs w:val="43"/>
          <w:color w:val="FEFEFE"/>
        </w:rPr>
        <w:t>140+</w:t>
      </w:r>
    </w:p>
    <w:p>
      <w:pPr>
        <w:spacing w:after="0" w:line="73" w:lineRule="exact"/>
        <w:rPr>
          <w:sz w:val="20"/>
          <w:szCs w:val="20"/>
          <w:color w:val="auto"/>
        </w:rPr>
      </w:pPr>
    </w:p>
    <w:p>
      <w:pPr>
        <w:ind w:left="1920"/>
        <w:spacing w:after="0"/>
        <w:rPr>
          <w:sz w:val="20"/>
          <w:szCs w:val="20"/>
          <w:color w:val="auto"/>
        </w:rPr>
      </w:pPr>
      <w:r>
        <w:rPr>
          <w:rFonts w:ascii="Arial" w:cs="Arial" w:eastAsia="Arial" w:hAnsi="Arial"/>
          <w:sz w:val="18"/>
          <w:szCs w:val="18"/>
          <w:color w:val="FEFEFE"/>
        </w:rPr>
        <w:t>Countries We Serve</w:t>
      </w:r>
    </w:p>
    <w:p>
      <w:pPr>
        <w:spacing w:after="0" w:line="184" w:lineRule="exact"/>
        <w:rPr>
          <w:sz w:val="20"/>
          <w:szCs w:val="20"/>
          <w:color w:val="auto"/>
        </w:rPr>
      </w:pPr>
    </w:p>
    <w:p>
      <w:pPr>
        <w:ind w:left="2080"/>
        <w:spacing w:after="0"/>
        <w:rPr>
          <w:sz w:val="20"/>
          <w:szCs w:val="20"/>
          <w:color w:val="auto"/>
        </w:rPr>
      </w:pPr>
      <w:r>
        <w:rPr>
          <w:rFonts w:ascii="Arial" w:cs="Arial" w:eastAsia="Arial" w:hAnsi="Arial"/>
          <w:sz w:val="43"/>
          <w:szCs w:val="43"/>
          <w:color w:val="FEFEFE"/>
        </w:rPr>
        <w:t>1,000+</w:t>
      </w:r>
    </w:p>
    <w:p>
      <w:pPr>
        <w:spacing w:after="0" w:line="68"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FEFEFE"/>
        </w:rPr>
        <w:t>Patents (Granted and</w:t>
      </w:r>
    </w:p>
    <w:p>
      <w:pPr>
        <w:ind w:left="2220"/>
        <w:spacing w:after="0"/>
        <w:rPr>
          <w:sz w:val="20"/>
          <w:szCs w:val="20"/>
          <w:color w:val="auto"/>
        </w:rPr>
      </w:pPr>
      <w:r>
        <w:rPr>
          <w:rFonts w:ascii="Arial" w:cs="Arial" w:eastAsia="Arial" w:hAnsi="Arial"/>
          <w:sz w:val="18"/>
          <w:szCs w:val="18"/>
          <w:color w:val="FEFEFE"/>
        </w:rPr>
        <w:t>Applications)</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43"/>
          <w:szCs w:val="43"/>
          <w:color w:val="FEFEFE"/>
        </w:rPr>
        <w:t>~3,000</w:t>
      </w:r>
    </w:p>
    <w:p>
      <w:pPr>
        <w:spacing w:after="0" w:line="73" w:lineRule="exact"/>
        <w:rPr>
          <w:sz w:val="20"/>
          <w:szCs w:val="20"/>
          <w:color w:val="auto"/>
        </w:rPr>
      </w:pPr>
    </w:p>
    <w:p>
      <w:pPr>
        <w:ind w:left="2000"/>
        <w:spacing w:after="0"/>
        <w:rPr>
          <w:sz w:val="20"/>
          <w:szCs w:val="20"/>
          <w:color w:val="auto"/>
        </w:rPr>
      </w:pPr>
      <w:r>
        <w:rPr>
          <w:rFonts w:ascii="Arial" w:cs="Arial" w:eastAsia="Arial" w:hAnsi="Arial"/>
          <w:sz w:val="18"/>
          <w:szCs w:val="18"/>
          <w:color w:val="FEFEFE"/>
        </w:rPr>
        <w:t>Global Employees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20" w:right="600"/>
        <w:spacing w:after="0" w:line="252" w:lineRule="auto"/>
        <w:rPr>
          <w:sz w:val="20"/>
          <w:szCs w:val="20"/>
          <w:color w:val="auto"/>
        </w:rPr>
      </w:pPr>
      <w:r>
        <w:rPr>
          <w:rFonts w:ascii="Arial" w:cs="Arial" w:eastAsia="Arial" w:hAnsi="Arial"/>
          <w:sz w:val="18"/>
          <w:szCs w:val="18"/>
          <w:color w:val="auto"/>
        </w:rPr>
        <w:t>Ribbon Communications (Nasdaq: RBBN) is a global provider of real-time communications software and IP Optical networking solutions to service providers, enterprises and critical infrastructure sectors.</w:t>
      </w:r>
    </w:p>
    <w:p>
      <w:pPr>
        <w:spacing w:after="0" w:line="103" w:lineRule="exact"/>
        <w:rPr>
          <w:sz w:val="20"/>
          <w:szCs w:val="20"/>
          <w:color w:val="auto"/>
        </w:rPr>
      </w:pPr>
    </w:p>
    <w:p>
      <w:pPr>
        <w:ind w:left="320" w:right="660"/>
        <w:spacing w:after="0" w:line="252" w:lineRule="auto"/>
        <w:rPr>
          <w:sz w:val="20"/>
          <w:szCs w:val="20"/>
          <w:color w:val="auto"/>
        </w:rPr>
      </w:pPr>
      <w:r>
        <w:rPr>
          <w:rFonts w:ascii="Arial" w:cs="Arial" w:eastAsia="Arial" w:hAnsi="Arial"/>
          <w:sz w:val="18"/>
          <w:szCs w:val="18"/>
          <w:color w:val="auto"/>
        </w:rPr>
        <w:t>We engage deeply with our customers, helping them modernize their networks for improved competitive positioning and business outcomes in today’s smart, always-on and data-hungry world.</w:t>
      </w:r>
    </w:p>
    <w:p>
      <w:pPr>
        <w:spacing w:after="0" w:line="89" w:lineRule="exact"/>
        <w:rPr>
          <w:sz w:val="20"/>
          <w:szCs w:val="20"/>
          <w:color w:val="auto"/>
        </w:rPr>
      </w:pPr>
    </w:p>
    <w:p>
      <w:pPr>
        <w:ind w:left="320" w:right="200"/>
        <w:spacing w:after="0" w:line="253" w:lineRule="auto"/>
        <w:rPr>
          <w:sz w:val="20"/>
          <w:szCs w:val="20"/>
          <w:color w:val="auto"/>
        </w:rPr>
      </w:pPr>
      <w:r>
        <w:rPr>
          <w:rFonts w:ascii="Arial" w:cs="Arial" w:eastAsia="Arial" w:hAnsi="Arial"/>
          <w:sz w:val="18"/>
          <w:szCs w:val="18"/>
          <w:color w:val="auto"/>
        </w:rPr>
        <w:t>Our innovative, end-to-end solutions portfolio delivers unparalleled scale, performance and agility, including core</w:t>
      </w:r>
    </w:p>
    <w:p>
      <w:pPr>
        <w:ind w:left="320" w:right="100"/>
        <w:spacing w:after="0" w:line="226" w:lineRule="auto"/>
        <w:rPr>
          <w:sz w:val="20"/>
          <w:szCs w:val="20"/>
          <w:color w:val="auto"/>
        </w:rPr>
      </w:pPr>
      <w:r>
        <w:rPr>
          <w:rFonts w:ascii="Arial" w:cs="Arial" w:eastAsia="Arial" w:hAnsi="Arial"/>
          <w:sz w:val="18"/>
          <w:szCs w:val="18"/>
          <w:color w:val="auto"/>
        </w:rPr>
        <w:t>to edge software-centric solutions, cloud-native platforms, leading-edge security and analytics tools, along with IP and</w:t>
      </w:r>
    </w:p>
    <w:p>
      <w:pPr>
        <w:spacing w:after="0" w:line="2" w:lineRule="exact"/>
        <w:rPr>
          <w:sz w:val="20"/>
          <w:szCs w:val="20"/>
          <w:color w:val="auto"/>
        </w:rPr>
      </w:pPr>
    </w:p>
    <w:p>
      <w:pPr>
        <w:spacing w:after="0"/>
        <w:tabs>
          <w:tab w:leader="none" w:pos="200" w:val="left"/>
          <w:tab w:leader="none" w:pos="5280" w:val="left"/>
        </w:tabs>
        <w:rPr>
          <w:sz w:val="20"/>
          <w:szCs w:val="20"/>
          <w:color w:val="auto"/>
        </w:rPr>
      </w:pPr>
      <w:r>
        <w:rPr>
          <w:rFonts w:ascii="Arial" w:cs="Arial" w:eastAsia="Arial" w:hAnsi="Arial"/>
          <w:sz w:val="18"/>
          <w:szCs w:val="18"/>
          <w:color w:val="auto"/>
        </w:rPr>
        <w:t>​</w:t>
        <w:tab/>
        <w:t>​ optical networking solutions for broadband and mobile</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networks.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To learn more about Ribbon visit </w:t>
      </w:r>
      <w:r>
        <w:rPr>
          <w:rFonts w:ascii="Arial" w:cs="Arial" w:eastAsia="Arial" w:hAnsi="Arial"/>
          <w:sz w:val="18"/>
          <w:szCs w:val="18"/>
          <w:color w:val="E7417A"/>
        </w:rPr>
        <w:t>rbbn.com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86360</wp:posOffset>
            </wp:positionV>
            <wp:extent cx="1920240" cy="10198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20240" cy="1019810"/>
                    </a:xfrm>
                    <a:prstGeom prst="rect">
                      <a:avLst/>
                    </a:prstGeom>
                    <a:noFill/>
                  </pic:spPr>
                </pic:pic>
              </a:graphicData>
            </a:graphic>
          </wp:anchor>
        </w:drawing>
      </w:r>
    </w:p>
    <w:p>
      <w:pPr>
        <w:spacing w:after="0" w:line="2013" w:lineRule="exact"/>
        <w:rPr>
          <w:sz w:val="20"/>
          <w:szCs w:val="20"/>
          <w:color w:val="auto"/>
        </w:rPr>
      </w:pPr>
    </w:p>
    <w:p>
      <w:pPr>
        <w:sectPr>
          <w:pgSz w:w="11900" w:h="16838" w:orient="portrait"/>
          <w:cols w:equalWidth="0" w:num="2">
            <w:col w:w="3980" w:space="720"/>
            <w:col w:w="5340"/>
          </w:cols>
          <w:pgMar w:left="580" w:top="9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E7417A"/>
            </w:tcBorders>
          </w:tcPr>
          <w:p>
            <w:pPr>
              <w:spacing w:after="0"/>
              <w:rPr>
                <w:sz w:val="20"/>
                <w:szCs w:val="20"/>
                <w:color w:val="auto"/>
              </w:rPr>
            </w:pPr>
            <w:r>
              <w:rPr>
                <w:rFonts w:ascii="Arial" w:cs="Arial" w:eastAsia="Arial" w:hAnsi="Arial"/>
                <w:sz w:val="13"/>
                <w:szCs w:val="13"/>
                <w:b w:val="1"/>
                <w:bCs w:val="1"/>
                <w:color w:val="9166BA"/>
              </w:rPr>
              <w:t>​</w:t>
            </w:r>
          </w:p>
        </w:tc>
        <w:tc>
          <w:tcPr>
            <w:tcW w:w="840" w:type="dxa"/>
            <w:vAlign w:val="bottom"/>
            <w:tcBorders>
              <w:bottom w:val="single" w:sz="8" w:color="E7417A"/>
            </w:tcBorders>
          </w:tcPr>
          <w:p>
            <w:pPr>
              <w:ind w:left="380"/>
              <w:spacing w:after="0"/>
              <w:rPr>
                <w:sz w:val="20"/>
                <w:szCs w:val="20"/>
                <w:color w:val="auto"/>
              </w:rPr>
            </w:pPr>
            <w:r>
              <w:rPr>
                <w:rFonts w:ascii="Arial" w:cs="Arial" w:eastAsia="Arial" w:hAnsi="Arial"/>
                <w:sz w:val="13"/>
                <w:szCs w:val="13"/>
                <w:b w:val="1"/>
                <w:bCs w:val="1"/>
                <w:color w:val="9166BA"/>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9166BA"/>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9166BA"/>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9166BA"/>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9166BA"/>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9166BA"/>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9166BA"/>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9166BA"/>
              </w:rPr>
              <w:t>​</w:t>
            </w:r>
          </w:p>
        </w:tc>
        <w:tc>
          <w:tcPr>
            <w:tcW w:w="40" w:type="dxa"/>
            <w:vAlign w:val="bottom"/>
          </w:tcPr>
          <w:p>
            <w:pPr>
              <w:spacing w:after="0"/>
              <w:rPr>
                <w:sz w:val="20"/>
                <w:szCs w:val="20"/>
                <w:color w:val="auto"/>
              </w:rPr>
            </w:pPr>
            <w:r>
              <w:rPr>
                <w:rFonts w:ascii="Arial" w:cs="Arial" w:eastAsia="Arial" w:hAnsi="Arial"/>
                <w:sz w:val="13"/>
                <w:szCs w:val="13"/>
                <w:b w:val="1"/>
                <w:bCs w:val="1"/>
                <w:color w:val="9166BA"/>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9166BA"/>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49"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2024 Business Highlights</w:t>
      </w:r>
      <w:r>
        <w:rPr>
          <w:rFonts w:ascii="Arial" w:cs="Arial" w:eastAsia="Arial" w:hAnsi="Arial"/>
          <w:sz w:val="53"/>
          <w:szCs w:val="53"/>
          <w:b w:val="1"/>
          <w:bCs w:val="1"/>
          <w:color w:val="E7417A"/>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51435</wp:posOffset>
            </wp:positionV>
            <wp:extent cx="5212080" cy="2468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208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00" w:right="499" w:hanging="368"/>
        <w:spacing w:after="0" w:line="286" w:lineRule="auto"/>
        <w:tabs>
          <w:tab w:leader="none" w:pos="14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Please see Appendix A to the Proxy Statement for a discussion and reconciliation of all non-GAAP financial measures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Ribbon’s Strategic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112395</wp:posOffset>
            </wp:positionV>
            <wp:extent cx="5212080" cy="2168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2080" cy="21685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E7417A"/>
            </w:tcBorders>
          </w:tcPr>
          <w:p>
            <w:pPr>
              <w:spacing w:after="0"/>
              <w:rPr>
                <w:sz w:val="20"/>
                <w:szCs w:val="20"/>
                <w:color w:val="auto"/>
              </w:rPr>
            </w:pPr>
            <w:r>
              <w:rPr>
                <w:rFonts w:ascii="Arial" w:cs="Arial" w:eastAsia="Arial" w:hAnsi="Arial"/>
                <w:sz w:val="13"/>
                <w:szCs w:val="13"/>
                <w:b w:val="1"/>
                <w:bCs w:val="1"/>
                <w:color w:val="9166BA"/>
              </w:rPr>
              <w:t>​</w:t>
            </w:r>
          </w:p>
        </w:tc>
        <w:tc>
          <w:tcPr>
            <w:tcW w:w="840" w:type="dxa"/>
            <w:vAlign w:val="bottom"/>
            <w:tcBorders>
              <w:bottom w:val="single" w:sz="8" w:color="E7417A"/>
            </w:tcBorders>
          </w:tcPr>
          <w:p>
            <w:pPr>
              <w:ind w:left="380"/>
              <w:spacing w:after="0"/>
              <w:rPr>
                <w:sz w:val="20"/>
                <w:szCs w:val="20"/>
                <w:color w:val="auto"/>
              </w:rPr>
            </w:pPr>
            <w:r>
              <w:rPr>
                <w:rFonts w:ascii="Arial" w:cs="Arial" w:eastAsia="Arial" w:hAnsi="Arial"/>
                <w:sz w:val="13"/>
                <w:szCs w:val="13"/>
                <w:b w:val="1"/>
                <w:bCs w:val="1"/>
                <w:color w:val="9166BA"/>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9166BA"/>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9166BA"/>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9166BA"/>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9166BA"/>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9166BA"/>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9166BA"/>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9166BA"/>
              </w:rPr>
              <w:t>​</w:t>
            </w:r>
          </w:p>
        </w:tc>
        <w:tc>
          <w:tcPr>
            <w:tcW w:w="40" w:type="dxa"/>
            <w:vAlign w:val="bottom"/>
          </w:tcPr>
          <w:p>
            <w:pPr>
              <w:spacing w:after="0"/>
              <w:rPr>
                <w:sz w:val="20"/>
                <w:szCs w:val="20"/>
                <w:color w:val="auto"/>
              </w:rPr>
            </w:pPr>
            <w:r>
              <w:rPr>
                <w:rFonts w:ascii="Arial" w:cs="Arial" w:eastAsia="Arial" w:hAnsi="Arial"/>
                <w:sz w:val="13"/>
                <w:szCs w:val="13"/>
                <w:b w:val="1"/>
                <w:bCs w:val="1"/>
                <w:color w:val="9166BA"/>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9166BA"/>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Executive Compensation</w:t>
      </w:r>
    </w:p>
    <w:p>
      <w:pPr>
        <w:spacing w:after="0" w:line="118" w:lineRule="exact"/>
        <w:rPr>
          <w:sz w:val="20"/>
          <w:szCs w:val="20"/>
          <w:color w:val="auto"/>
        </w:rPr>
      </w:pPr>
    </w:p>
    <w:p>
      <w:pPr>
        <w:ind w:left="920" w:right="139"/>
        <w:spacing w:after="0" w:line="261" w:lineRule="auto"/>
        <w:rPr>
          <w:sz w:val="20"/>
          <w:szCs w:val="20"/>
          <w:color w:val="auto"/>
        </w:rPr>
      </w:pPr>
      <w:r>
        <w:rPr>
          <w:rFonts w:ascii="Arial" w:cs="Arial" w:eastAsia="Arial" w:hAnsi="Arial"/>
          <w:sz w:val="18"/>
          <w:szCs w:val="18"/>
          <w:color w:val="auto"/>
        </w:rPr>
        <w:t>The philosophy behind our executive compensation program is to promote alignment of the interests of our executive officers with the interests of our stockholders. The key factors considered in the creation of our compensation programs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63500</wp:posOffset>
            </wp:positionV>
            <wp:extent cx="5580380" cy="11315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80380"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20" w:right="179"/>
        <w:spacing w:after="0" w:line="252" w:lineRule="auto"/>
        <w:rPr>
          <w:sz w:val="20"/>
          <w:szCs w:val="20"/>
          <w:color w:val="auto"/>
        </w:rPr>
      </w:pPr>
      <w:r>
        <w:rPr>
          <w:rFonts w:ascii="Arial" w:cs="Arial" w:eastAsia="Arial" w:hAnsi="Arial"/>
          <w:sz w:val="18"/>
          <w:szCs w:val="18"/>
          <w:color w:val="auto"/>
        </w:rPr>
        <w:t>We believe that our executive compensation program supports our business strategies and talent management objectives and is consistent with sound governance practices that are intended to best serve our stockholders’ long-term interests. The targeted components of the named executive officers’ (“NEOs”) compensation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77470</wp:posOffset>
            </wp:positionV>
            <wp:extent cx="3257550" cy="18599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755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920" w:right="4679"/>
        <w:spacing w:after="0" w:line="253" w:lineRule="auto"/>
        <w:rPr>
          <w:sz w:val="20"/>
          <w:szCs w:val="20"/>
          <w:color w:val="auto"/>
        </w:rPr>
      </w:pPr>
      <w:r>
        <w:rPr>
          <w:rFonts w:ascii="Arial" w:cs="Arial" w:eastAsia="Arial" w:hAnsi="Arial"/>
          <w:sz w:val="18"/>
          <w:szCs w:val="18"/>
          <w:color w:val="auto"/>
        </w:rPr>
        <w:t>In making its compensation decisions for 2024, the Compensation Committee considered, among other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-403225</wp:posOffset>
            </wp:positionV>
            <wp:extent cx="2562860" cy="1619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1619885"/>
                    </a:xfrm>
                    <a:prstGeom prst="rect">
                      <a:avLst/>
                    </a:prstGeom>
                    <a:noFill/>
                  </pic:spPr>
                </pic:pic>
              </a:graphicData>
            </a:graphic>
          </wp:anchor>
        </w:drawing>
      </w:r>
    </w:p>
    <w:p>
      <w:pPr>
        <w:spacing w:after="0" w:line="54" w:lineRule="exact"/>
        <w:rPr>
          <w:sz w:val="20"/>
          <w:szCs w:val="20"/>
          <w:color w:val="auto"/>
        </w:rPr>
      </w:pPr>
    </w:p>
    <w:p>
      <w:pPr>
        <w:ind w:left="1280" w:right="5059" w:hanging="356"/>
        <w:spacing w:after="0" w:line="271" w:lineRule="auto"/>
        <w:tabs>
          <w:tab w:leader="none" w:pos="1280" w:val="left"/>
        </w:tabs>
        <w:numPr>
          <w:ilvl w:val="0"/>
          <w:numId w:val="10"/>
        </w:numPr>
        <w:rPr>
          <w:rFonts w:ascii="Arial" w:cs="Arial" w:eastAsia="Arial" w:hAnsi="Arial"/>
          <w:sz w:val="18"/>
          <w:szCs w:val="18"/>
          <w:color w:val="62259D"/>
        </w:rPr>
      </w:pPr>
      <w:r>
        <w:rPr>
          <w:rFonts w:ascii="Arial" w:cs="Arial" w:eastAsia="Arial" w:hAnsi="Arial"/>
          <w:sz w:val="18"/>
          <w:szCs w:val="18"/>
          <w:color w:val="auto"/>
        </w:rPr>
        <w:t>our financial and operational results for the year,</w:t>
      </w:r>
    </w:p>
    <w:p>
      <w:pPr>
        <w:spacing w:after="0" w:line="18" w:lineRule="exact"/>
        <w:rPr>
          <w:rFonts w:ascii="Arial" w:cs="Arial" w:eastAsia="Arial" w:hAnsi="Arial"/>
          <w:sz w:val="18"/>
          <w:szCs w:val="18"/>
          <w:color w:val="62259D"/>
        </w:rPr>
      </w:pPr>
    </w:p>
    <w:p>
      <w:pPr>
        <w:ind w:left="1280" w:right="4919" w:hanging="356"/>
        <w:spacing w:after="0" w:line="271" w:lineRule="auto"/>
        <w:tabs>
          <w:tab w:leader="none" w:pos="1280" w:val="left"/>
        </w:tabs>
        <w:numPr>
          <w:ilvl w:val="0"/>
          <w:numId w:val="10"/>
        </w:numPr>
        <w:rPr>
          <w:rFonts w:ascii="Arial" w:cs="Arial" w:eastAsia="Arial" w:hAnsi="Arial"/>
          <w:sz w:val="18"/>
          <w:szCs w:val="18"/>
          <w:color w:val="62259D"/>
        </w:rPr>
      </w:pPr>
      <w:r>
        <w:rPr>
          <w:rFonts w:ascii="Arial" w:cs="Arial" w:eastAsia="Arial" w:hAnsi="Arial"/>
          <w:sz w:val="18"/>
          <w:szCs w:val="18"/>
          <w:color w:val="auto"/>
        </w:rPr>
        <w:t>the result of the say-on-pay vote at our 2024 annual meeting of stockholders, and</w:t>
      </w:r>
    </w:p>
    <w:p>
      <w:pPr>
        <w:spacing w:after="0" w:line="18" w:lineRule="exact"/>
        <w:rPr>
          <w:rFonts w:ascii="Arial" w:cs="Arial" w:eastAsia="Arial" w:hAnsi="Arial"/>
          <w:sz w:val="18"/>
          <w:szCs w:val="18"/>
          <w:color w:val="62259D"/>
        </w:rPr>
      </w:pPr>
    </w:p>
    <w:p>
      <w:pPr>
        <w:ind w:left="1280" w:right="4639" w:hanging="356"/>
        <w:spacing w:after="0" w:line="271" w:lineRule="auto"/>
        <w:tabs>
          <w:tab w:leader="none" w:pos="1280" w:val="left"/>
        </w:tabs>
        <w:numPr>
          <w:ilvl w:val="0"/>
          <w:numId w:val="10"/>
        </w:numPr>
        <w:rPr>
          <w:rFonts w:ascii="Arial" w:cs="Arial" w:eastAsia="Arial" w:hAnsi="Arial"/>
          <w:sz w:val="18"/>
          <w:szCs w:val="18"/>
          <w:color w:val="62259D"/>
        </w:rPr>
      </w:pPr>
      <w:r>
        <w:rPr>
          <w:rFonts w:ascii="Arial" w:cs="Arial" w:eastAsia="Arial" w:hAnsi="Arial"/>
          <w:sz w:val="18"/>
          <w:szCs w:val="18"/>
          <w:color w:val="auto"/>
        </w:rPr>
        <w:t>the achievement of the compensation objectives set by the Compensation Committee.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E7417A"/>
            </w:tcBorders>
          </w:tcPr>
          <w:p>
            <w:pPr>
              <w:spacing w:after="0"/>
              <w:rPr>
                <w:sz w:val="20"/>
                <w:szCs w:val="20"/>
                <w:color w:val="auto"/>
              </w:rPr>
            </w:pPr>
            <w:r>
              <w:rPr>
                <w:rFonts w:ascii="Arial" w:cs="Arial" w:eastAsia="Arial" w:hAnsi="Arial"/>
                <w:sz w:val="13"/>
                <w:szCs w:val="13"/>
                <w:b w:val="1"/>
                <w:bCs w:val="1"/>
                <w:color w:val="9166BA"/>
              </w:rPr>
              <w:t>​</w:t>
            </w:r>
          </w:p>
        </w:tc>
        <w:tc>
          <w:tcPr>
            <w:tcW w:w="840" w:type="dxa"/>
            <w:vAlign w:val="bottom"/>
            <w:tcBorders>
              <w:bottom w:val="single" w:sz="8" w:color="E7417A"/>
            </w:tcBorders>
          </w:tcPr>
          <w:p>
            <w:pPr>
              <w:ind w:left="380"/>
              <w:spacing w:after="0"/>
              <w:rPr>
                <w:sz w:val="20"/>
                <w:szCs w:val="20"/>
                <w:color w:val="auto"/>
              </w:rPr>
            </w:pPr>
            <w:r>
              <w:rPr>
                <w:rFonts w:ascii="Arial" w:cs="Arial" w:eastAsia="Arial" w:hAnsi="Arial"/>
                <w:sz w:val="13"/>
                <w:szCs w:val="13"/>
                <w:b w:val="1"/>
                <w:bCs w:val="1"/>
                <w:color w:val="9166BA"/>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9166BA"/>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9166BA"/>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9166BA"/>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9166BA"/>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9166BA"/>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9166BA"/>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9166BA"/>
              </w:rPr>
              <w:t>​</w:t>
            </w:r>
          </w:p>
        </w:tc>
        <w:tc>
          <w:tcPr>
            <w:tcW w:w="40" w:type="dxa"/>
            <w:vAlign w:val="bottom"/>
          </w:tcPr>
          <w:p>
            <w:pPr>
              <w:spacing w:after="0"/>
              <w:rPr>
                <w:sz w:val="20"/>
                <w:szCs w:val="20"/>
                <w:color w:val="auto"/>
              </w:rPr>
            </w:pPr>
            <w:r>
              <w:rPr>
                <w:rFonts w:ascii="Arial" w:cs="Arial" w:eastAsia="Arial" w:hAnsi="Arial"/>
                <w:sz w:val="13"/>
                <w:szCs w:val="13"/>
                <w:b w:val="1"/>
                <w:bCs w:val="1"/>
                <w:color w:val="9166BA"/>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9166BA"/>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Corporate Governance</w:t>
      </w:r>
    </w:p>
    <w:p>
      <w:pPr>
        <w:spacing w:after="0" w:line="118" w:lineRule="exact"/>
        <w:rPr>
          <w:sz w:val="20"/>
          <w:szCs w:val="20"/>
          <w:color w:val="auto"/>
        </w:rPr>
      </w:pPr>
    </w:p>
    <w:p>
      <w:pPr>
        <w:ind w:left="920" w:right="159"/>
        <w:spacing w:after="0" w:line="251" w:lineRule="auto"/>
        <w:rPr>
          <w:sz w:val="20"/>
          <w:szCs w:val="20"/>
          <w:color w:val="auto"/>
        </w:rPr>
      </w:pPr>
      <w:r>
        <w:rPr>
          <w:rFonts w:ascii="Arial" w:cs="Arial" w:eastAsia="Arial" w:hAnsi="Arial"/>
          <w:sz w:val="18"/>
          <w:szCs w:val="18"/>
          <w:color w:val="auto"/>
        </w:rPr>
        <w:t>Ribbon is committed to operating ethically, efficiently and inclusively. It has always been paramount to our way of doing business to act with the utmost integrity, honesty and transparency. Our commitment to ethical business practices guides us in our compliance with national and international laws and regulations and we believe strong corporate governance is critical to our long-term success. Highlights of our corporate governance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70485</wp:posOffset>
            </wp:positionV>
            <wp:extent cx="5623560" cy="2311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23560" cy="23114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59" w:lineRule="exact"/>
        <w:rPr>
          <w:sz w:val="20"/>
          <w:szCs w:val="20"/>
          <w:color w:val="auto"/>
        </w:rPr>
      </w:pPr>
    </w:p>
    <w:tbl>
      <w:tblPr>
        <w:tblLayout w:type="fixed"/>
        <w:tblInd w:w="920" w:type="dxa"/>
        <w:tblCellMar>
          <w:top w:w="0" w:type="dxa"/>
          <w:left w:w="0" w:type="dxa"/>
          <w:bottom w:w="0" w:type="dxa"/>
          <w:right w:w="0" w:type="dxa"/>
        </w:tblCellMar>
      </w:tblPr>
      <w:tr>
        <w:trPr>
          <w:trHeight w:val="217"/>
        </w:trPr>
        <w:tc>
          <w:tcPr>
            <w:tcW w:w="260" w:type="dxa"/>
            <w:vAlign w:val="bottom"/>
          </w:tcPr>
          <w:p>
            <w:pPr>
              <w:ind w:left="60"/>
              <w:spacing w:after="0"/>
              <w:rPr>
                <w:sz w:val="20"/>
                <w:szCs w:val="20"/>
                <w:color w:val="auto"/>
              </w:rPr>
            </w:pPr>
            <w:r>
              <w:rPr>
                <w:rFonts w:ascii="Arial" w:cs="Arial" w:eastAsia="Arial" w:hAnsi="Arial"/>
                <w:sz w:val="16"/>
                <w:szCs w:val="16"/>
                <w:b w:val="1"/>
                <w:bCs w:val="1"/>
                <w:color w:val="FEFEFE"/>
              </w:rPr>
              <w:t>​</w:t>
            </w:r>
          </w:p>
        </w:tc>
        <w:tc>
          <w:tcPr>
            <w:tcW w:w="8120" w:type="dxa"/>
            <w:vAlign w:val="bottom"/>
            <w:gridSpan w:val="4"/>
          </w:tcPr>
          <w:p>
            <w:pPr>
              <w:ind w:left="3560"/>
              <w:spacing w:after="0"/>
              <w:rPr>
                <w:sz w:val="20"/>
                <w:szCs w:val="20"/>
                <w:color w:val="auto"/>
              </w:rPr>
            </w:pPr>
            <w:r>
              <w:rPr>
                <w:rFonts w:ascii="Arial" w:cs="Arial" w:eastAsia="Arial" w:hAnsi="Arial"/>
                <w:sz w:val="16"/>
                <w:szCs w:val="16"/>
                <w:b w:val="1"/>
                <w:bCs w:val="1"/>
                <w:color w:val="FEFEFE"/>
              </w:rPr>
              <w:t>Best Practices</w:t>
            </w:r>
          </w:p>
        </w:tc>
        <w:tc>
          <w:tcPr>
            <w:tcW w:w="0" w:type="dxa"/>
            <w:vAlign w:val="bottom"/>
          </w:tcPr>
          <w:p>
            <w:pPr>
              <w:spacing w:after="0"/>
              <w:rPr>
                <w:sz w:val="1"/>
                <w:szCs w:val="1"/>
                <w:color w:val="auto"/>
              </w:rPr>
            </w:pPr>
          </w:p>
        </w:tc>
      </w:tr>
      <w:tr>
        <w:trPr>
          <w:trHeight w:val="202"/>
        </w:trPr>
        <w:tc>
          <w:tcPr>
            <w:tcW w:w="26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4020" w:type="dxa"/>
            <w:vAlign w:val="bottom"/>
            <w:shd w:val="clear" w:color="auto" w:fill="F2F2F2"/>
          </w:tcPr>
          <w:p>
            <w:pPr>
              <w:ind w:left="160"/>
              <w:spacing w:after="0"/>
              <w:rPr>
                <w:sz w:val="20"/>
                <w:szCs w:val="20"/>
                <w:color w:val="auto"/>
              </w:rPr>
            </w:pPr>
            <w:r>
              <w:rPr>
                <w:rFonts w:ascii="Arial" w:cs="Arial" w:eastAsia="Arial" w:hAnsi="Arial"/>
                <w:sz w:val="16"/>
                <w:szCs w:val="16"/>
                <w:color w:val="auto"/>
              </w:rPr>
              <w:t>Five of eight current directors are independent</w:t>
            </w:r>
          </w:p>
        </w:tc>
        <w:tc>
          <w:tcPr>
            <w:tcW w:w="160" w:type="dxa"/>
            <w:vAlign w:val="bottom"/>
            <w:tcBorders>
              <w:right w:val="single" w:sz="8" w:color="FEFEFE"/>
            </w:tcBorders>
            <w:shd w:val="clear" w:color="auto" w:fill="F2F2F2"/>
          </w:tcPr>
          <w:p>
            <w:pPr>
              <w:ind w:lef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3700" w:type="dxa"/>
            <w:vAlign w:val="bottom"/>
          </w:tcPr>
          <w:p>
            <w:pPr>
              <w:ind w:left="180"/>
              <w:spacing w:after="0"/>
              <w:rPr>
                <w:sz w:val="20"/>
                <w:szCs w:val="20"/>
                <w:color w:val="auto"/>
              </w:rPr>
            </w:pPr>
            <w:r>
              <w:rPr>
                <w:rFonts w:ascii="Arial" w:cs="Arial" w:eastAsia="Arial" w:hAnsi="Arial"/>
                <w:sz w:val="16"/>
                <w:szCs w:val="16"/>
                <w:color w:val="auto"/>
              </w:rPr>
              <w:t>Annual review of CEO and other executive</w:t>
            </w:r>
          </w:p>
        </w:tc>
        <w:tc>
          <w:tcPr>
            <w:tcW w:w="0" w:type="dxa"/>
            <w:vAlign w:val="bottom"/>
          </w:tcPr>
          <w:p>
            <w:pPr>
              <w:spacing w:after="0"/>
              <w:rPr>
                <w:sz w:val="1"/>
                <w:szCs w:val="1"/>
                <w:color w:val="auto"/>
              </w:rPr>
            </w:pPr>
          </w:p>
        </w:tc>
      </w:tr>
      <w:tr>
        <w:trPr>
          <w:trHeight w:val="215"/>
        </w:trPr>
        <w:tc>
          <w:tcPr>
            <w:tcW w:w="260" w:type="dxa"/>
            <w:vAlign w:val="bottom"/>
            <w:shd w:val="clear" w:color="auto" w:fill="F2F2F2"/>
          </w:tcPr>
          <w:p>
            <w:pPr>
              <w:spacing w:after="0"/>
              <w:rPr>
                <w:sz w:val="18"/>
                <w:szCs w:val="18"/>
                <w:color w:val="auto"/>
              </w:rPr>
            </w:pPr>
          </w:p>
        </w:tc>
        <w:tc>
          <w:tcPr>
            <w:tcW w:w="4020" w:type="dxa"/>
            <w:vAlign w:val="bottom"/>
            <w:vMerge w:val="restart"/>
            <w:shd w:val="clear" w:color="auto" w:fill="F2F2F2"/>
          </w:tcPr>
          <w:p>
            <w:pPr>
              <w:ind w:left="160"/>
              <w:spacing w:after="0"/>
              <w:rPr>
                <w:sz w:val="20"/>
                <w:szCs w:val="20"/>
                <w:color w:val="auto"/>
              </w:rPr>
            </w:pPr>
            <w:r>
              <w:rPr>
                <w:rFonts w:ascii="Arial" w:cs="Arial" w:eastAsia="Arial" w:hAnsi="Arial"/>
                <w:sz w:val="16"/>
                <w:szCs w:val="16"/>
                <w:color w:val="auto"/>
              </w:rPr>
              <w:t>Majority voting for director elections</w:t>
            </w:r>
          </w:p>
        </w:tc>
        <w:tc>
          <w:tcPr>
            <w:tcW w:w="160" w:type="dxa"/>
            <w:vAlign w:val="bottom"/>
            <w:tcBorders>
              <w:right w:val="single" w:sz="8" w:color="FEFEFE"/>
            </w:tcBorders>
            <w:shd w:val="clear" w:color="auto" w:fill="F2F2F2"/>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6"/>
                <w:szCs w:val="16"/>
                <w:color w:val="auto"/>
              </w:rPr>
              <w:t>succession plans</w:t>
            </w:r>
          </w:p>
        </w:tc>
        <w:tc>
          <w:tcPr>
            <w:tcW w:w="0" w:type="dxa"/>
            <w:vAlign w:val="bottom"/>
          </w:tcPr>
          <w:p>
            <w:pPr>
              <w:spacing w:after="0"/>
              <w:rPr>
                <w:sz w:val="1"/>
                <w:szCs w:val="1"/>
                <w:color w:val="auto"/>
              </w:rPr>
            </w:pPr>
          </w:p>
        </w:tc>
      </w:tr>
      <w:tr>
        <w:trPr>
          <w:trHeight w:val="54"/>
        </w:trPr>
        <w:tc>
          <w:tcPr>
            <w:tcW w:w="260" w:type="dxa"/>
            <w:vAlign w:val="bottom"/>
            <w:shd w:val="clear" w:color="auto" w:fill="F2F2F2"/>
          </w:tcPr>
          <w:p>
            <w:pPr>
              <w:spacing w:after="0"/>
              <w:rPr>
                <w:sz w:val="4"/>
                <w:szCs w:val="4"/>
                <w:color w:val="auto"/>
              </w:rPr>
            </w:pPr>
          </w:p>
        </w:tc>
        <w:tc>
          <w:tcPr>
            <w:tcW w:w="4020" w:type="dxa"/>
            <w:vAlign w:val="bottom"/>
            <w:vMerge w:val="continue"/>
            <w:shd w:val="clear" w:color="auto" w:fill="F2F2F2"/>
          </w:tcPr>
          <w:p>
            <w:pPr>
              <w:spacing w:after="0"/>
              <w:rPr>
                <w:sz w:val="4"/>
                <w:szCs w:val="4"/>
                <w:color w:val="auto"/>
              </w:rPr>
            </w:pPr>
          </w:p>
        </w:tc>
        <w:tc>
          <w:tcPr>
            <w:tcW w:w="160" w:type="dxa"/>
            <w:vAlign w:val="bottom"/>
            <w:tcBorders>
              <w:right w:val="single" w:sz="8" w:color="FEFEFE"/>
            </w:tcBorders>
            <w:shd w:val="clear" w:color="auto" w:fill="F2F2F2"/>
          </w:tcPr>
          <w:p>
            <w:pPr>
              <w:spacing w:after="0"/>
              <w:rPr>
                <w:sz w:val="4"/>
                <w:szCs w:val="4"/>
                <w:color w:val="auto"/>
              </w:rPr>
            </w:pPr>
          </w:p>
        </w:tc>
        <w:tc>
          <w:tcPr>
            <w:tcW w:w="240" w:type="dxa"/>
            <w:vAlign w:val="bottom"/>
          </w:tcPr>
          <w:p>
            <w:pPr>
              <w:spacing w:after="0"/>
              <w:rPr>
                <w:sz w:val="4"/>
                <w:szCs w:val="4"/>
                <w:color w:val="auto"/>
              </w:rPr>
            </w:pPr>
          </w:p>
        </w:tc>
        <w:tc>
          <w:tcPr>
            <w:tcW w:w="3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60" w:type="dxa"/>
            <w:vAlign w:val="bottom"/>
            <w:shd w:val="clear" w:color="auto" w:fill="F2F2F2"/>
          </w:tcPr>
          <w:p>
            <w:pPr>
              <w:spacing w:after="0"/>
              <w:rPr>
                <w:sz w:val="21"/>
                <w:szCs w:val="21"/>
                <w:color w:val="auto"/>
              </w:rPr>
            </w:pPr>
          </w:p>
        </w:tc>
        <w:tc>
          <w:tcPr>
            <w:tcW w:w="4020" w:type="dxa"/>
            <w:vAlign w:val="bottom"/>
            <w:shd w:val="clear" w:color="auto" w:fill="F2F2F2"/>
          </w:tcPr>
          <w:p>
            <w:pPr>
              <w:ind w:left="160"/>
              <w:spacing w:after="0"/>
              <w:rPr>
                <w:sz w:val="20"/>
                <w:szCs w:val="20"/>
                <w:color w:val="auto"/>
              </w:rPr>
            </w:pPr>
            <w:r>
              <w:rPr>
                <w:rFonts w:ascii="Arial" w:cs="Arial" w:eastAsia="Arial" w:hAnsi="Arial"/>
                <w:sz w:val="16"/>
                <w:szCs w:val="16"/>
                <w:color w:val="auto"/>
              </w:rPr>
              <w:t>No staggered Board</w:t>
            </w:r>
          </w:p>
        </w:tc>
        <w:tc>
          <w:tcPr>
            <w:tcW w:w="160" w:type="dxa"/>
            <w:vAlign w:val="bottom"/>
            <w:tcBorders>
              <w:right w:val="single" w:sz="8" w:color="FEFEFE"/>
            </w:tcBorders>
            <w:shd w:val="clear" w:color="auto" w:fill="F2F2F2"/>
          </w:tcPr>
          <w:p>
            <w:pPr>
              <w:spacing w:after="0"/>
              <w:rPr>
                <w:sz w:val="21"/>
                <w:szCs w:val="21"/>
                <w:color w:val="auto"/>
              </w:rPr>
            </w:pPr>
          </w:p>
        </w:tc>
        <w:tc>
          <w:tcPr>
            <w:tcW w:w="240" w:type="dxa"/>
            <w:vAlign w:val="bottom"/>
          </w:tcPr>
          <w:p>
            <w:pPr>
              <w:spacing w:after="0"/>
              <w:rPr>
                <w:sz w:val="21"/>
                <w:szCs w:val="21"/>
                <w:color w:val="auto"/>
              </w:rPr>
            </w:pPr>
          </w:p>
        </w:tc>
        <w:tc>
          <w:tcPr>
            <w:tcW w:w="3700" w:type="dxa"/>
            <w:vAlign w:val="bottom"/>
          </w:tcPr>
          <w:p>
            <w:pPr>
              <w:ind w:left="180"/>
              <w:spacing w:after="0"/>
              <w:rPr>
                <w:sz w:val="20"/>
                <w:szCs w:val="20"/>
                <w:color w:val="auto"/>
              </w:rPr>
            </w:pPr>
            <w:r>
              <w:rPr>
                <w:rFonts w:ascii="Arial" w:cs="Arial" w:eastAsia="Arial" w:hAnsi="Arial"/>
                <w:sz w:val="16"/>
                <w:szCs w:val="16"/>
                <w:color w:val="auto"/>
              </w:rPr>
              <w:t>Code of Conduct applicable to Board</w:t>
            </w:r>
          </w:p>
        </w:tc>
        <w:tc>
          <w:tcPr>
            <w:tcW w:w="0" w:type="dxa"/>
            <w:vAlign w:val="bottom"/>
          </w:tcPr>
          <w:p>
            <w:pPr>
              <w:spacing w:after="0"/>
              <w:rPr>
                <w:sz w:val="1"/>
                <w:szCs w:val="1"/>
                <w:color w:val="auto"/>
              </w:rPr>
            </w:pPr>
          </w:p>
        </w:tc>
      </w:tr>
      <w:tr>
        <w:trPr>
          <w:trHeight w:val="243"/>
        </w:trPr>
        <w:tc>
          <w:tcPr>
            <w:tcW w:w="260" w:type="dxa"/>
            <w:vAlign w:val="bottom"/>
            <w:shd w:val="clear" w:color="auto" w:fill="F2F2F2"/>
          </w:tcPr>
          <w:p>
            <w:pPr>
              <w:spacing w:after="0"/>
              <w:rPr>
                <w:sz w:val="21"/>
                <w:szCs w:val="21"/>
                <w:color w:val="auto"/>
              </w:rPr>
            </w:pPr>
          </w:p>
        </w:tc>
        <w:tc>
          <w:tcPr>
            <w:tcW w:w="4020" w:type="dxa"/>
            <w:vAlign w:val="bottom"/>
            <w:shd w:val="clear" w:color="auto" w:fill="F2F2F2"/>
          </w:tcPr>
          <w:p>
            <w:pPr>
              <w:ind w:left="160"/>
              <w:spacing w:after="0"/>
              <w:rPr>
                <w:sz w:val="20"/>
                <w:szCs w:val="20"/>
                <w:color w:val="auto"/>
              </w:rPr>
            </w:pPr>
            <w:r>
              <w:rPr>
                <w:rFonts w:ascii="Arial" w:cs="Arial" w:eastAsia="Arial" w:hAnsi="Arial"/>
                <w:sz w:val="16"/>
                <w:szCs w:val="16"/>
                <w:color w:val="auto"/>
              </w:rPr>
              <w:t>Separate Chairman and CEO roles</w:t>
            </w:r>
          </w:p>
        </w:tc>
        <w:tc>
          <w:tcPr>
            <w:tcW w:w="160" w:type="dxa"/>
            <w:vAlign w:val="bottom"/>
            <w:tcBorders>
              <w:right w:val="single" w:sz="8" w:color="FEFEFE"/>
            </w:tcBorders>
            <w:shd w:val="clear" w:color="auto" w:fill="F2F2F2"/>
          </w:tcPr>
          <w:p>
            <w:pPr>
              <w:spacing w:after="0"/>
              <w:rPr>
                <w:sz w:val="21"/>
                <w:szCs w:val="21"/>
                <w:color w:val="auto"/>
              </w:rPr>
            </w:pPr>
          </w:p>
        </w:tc>
        <w:tc>
          <w:tcPr>
            <w:tcW w:w="240" w:type="dxa"/>
            <w:vAlign w:val="bottom"/>
          </w:tcPr>
          <w:p>
            <w:pPr>
              <w:spacing w:after="0"/>
              <w:rPr>
                <w:sz w:val="21"/>
                <w:szCs w:val="21"/>
                <w:color w:val="auto"/>
              </w:rPr>
            </w:pPr>
          </w:p>
        </w:tc>
        <w:tc>
          <w:tcPr>
            <w:tcW w:w="3700" w:type="dxa"/>
            <w:vAlign w:val="bottom"/>
          </w:tcPr>
          <w:p>
            <w:pPr>
              <w:ind w:left="180"/>
              <w:spacing w:after="0"/>
              <w:rPr>
                <w:sz w:val="20"/>
                <w:szCs w:val="20"/>
                <w:color w:val="auto"/>
              </w:rPr>
            </w:pPr>
            <w:r>
              <w:rPr>
                <w:rFonts w:ascii="Arial" w:cs="Arial" w:eastAsia="Arial" w:hAnsi="Arial"/>
                <w:sz w:val="16"/>
                <w:szCs w:val="16"/>
                <w:color w:val="auto"/>
              </w:rPr>
              <w:t>Annual Board and committee self-assessments</w:t>
            </w:r>
          </w:p>
        </w:tc>
        <w:tc>
          <w:tcPr>
            <w:tcW w:w="0" w:type="dxa"/>
            <w:vAlign w:val="bottom"/>
          </w:tcPr>
          <w:p>
            <w:pPr>
              <w:spacing w:after="0"/>
              <w:rPr>
                <w:sz w:val="1"/>
                <w:szCs w:val="1"/>
                <w:color w:val="auto"/>
              </w:rPr>
            </w:pPr>
          </w:p>
        </w:tc>
      </w:tr>
      <w:tr>
        <w:trPr>
          <w:trHeight w:val="191"/>
        </w:trPr>
        <w:tc>
          <w:tcPr>
            <w:tcW w:w="260" w:type="dxa"/>
            <w:vAlign w:val="bottom"/>
            <w:shd w:val="clear" w:color="auto" w:fill="F2F2F2"/>
          </w:tcPr>
          <w:p>
            <w:pPr>
              <w:spacing w:after="0"/>
              <w:rPr>
                <w:sz w:val="16"/>
                <w:szCs w:val="16"/>
                <w:color w:val="auto"/>
              </w:rPr>
            </w:pPr>
          </w:p>
        </w:tc>
        <w:tc>
          <w:tcPr>
            <w:tcW w:w="4020" w:type="dxa"/>
            <w:vAlign w:val="bottom"/>
            <w:shd w:val="clear" w:color="auto" w:fill="F2F2F2"/>
          </w:tcPr>
          <w:p>
            <w:pPr>
              <w:ind w:left="160"/>
              <w:spacing w:after="0"/>
              <w:rPr>
                <w:sz w:val="20"/>
                <w:szCs w:val="20"/>
                <w:color w:val="auto"/>
              </w:rPr>
            </w:pPr>
            <w:r>
              <w:rPr>
                <w:rFonts w:ascii="Arial" w:cs="Arial" w:eastAsia="Arial" w:hAnsi="Arial"/>
                <w:sz w:val="16"/>
                <w:szCs w:val="16"/>
                <w:color w:val="auto"/>
              </w:rPr>
              <w:t>Lead independent director</w:t>
            </w:r>
          </w:p>
        </w:tc>
        <w:tc>
          <w:tcPr>
            <w:tcW w:w="160" w:type="dxa"/>
            <w:vAlign w:val="bottom"/>
            <w:tcBorders>
              <w:right w:val="single" w:sz="8" w:color="FEFEFE"/>
            </w:tcBorders>
            <w:shd w:val="clear" w:color="auto" w:fill="F2F2F2"/>
          </w:tcPr>
          <w:p>
            <w:pPr>
              <w:spacing w:after="0"/>
              <w:rPr>
                <w:sz w:val="16"/>
                <w:szCs w:val="16"/>
                <w:color w:val="auto"/>
              </w:rPr>
            </w:pPr>
          </w:p>
        </w:tc>
        <w:tc>
          <w:tcPr>
            <w:tcW w:w="240" w:type="dxa"/>
            <w:vAlign w:val="bottom"/>
          </w:tcPr>
          <w:p>
            <w:pPr>
              <w:spacing w:after="0"/>
              <w:rPr>
                <w:sz w:val="16"/>
                <w:szCs w:val="16"/>
                <w:color w:val="auto"/>
              </w:rPr>
            </w:pPr>
          </w:p>
        </w:tc>
        <w:tc>
          <w:tcPr>
            <w:tcW w:w="3700" w:type="dxa"/>
            <w:vAlign w:val="bottom"/>
          </w:tcPr>
          <w:p>
            <w:pPr>
              <w:ind w:left="180"/>
              <w:spacing w:after="0"/>
              <w:rPr>
                <w:sz w:val="20"/>
                <w:szCs w:val="20"/>
                <w:color w:val="auto"/>
              </w:rPr>
            </w:pPr>
            <w:r>
              <w:rPr>
                <w:rFonts w:ascii="Arial" w:cs="Arial" w:eastAsia="Arial" w:hAnsi="Arial"/>
                <w:sz w:val="16"/>
                <w:szCs w:val="16"/>
                <w:color w:val="auto"/>
              </w:rPr>
              <w:t>Share ownership guidelines for directors and</w:t>
            </w:r>
          </w:p>
        </w:tc>
        <w:tc>
          <w:tcPr>
            <w:tcW w:w="0" w:type="dxa"/>
            <w:vAlign w:val="bottom"/>
          </w:tcPr>
          <w:p>
            <w:pPr>
              <w:spacing w:after="0"/>
              <w:rPr>
                <w:sz w:val="1"/>
                <w:szCs w:val="1"/>
                <w:color w:val="auto"/>
              </w:rPr>
            </w:pPr>
          </w:p>
        </w:tc>
      </w:tr>
      <w:tr>
        <w:trPr>
          <w:trHeight w:val="215"/>
        </w:trPr>
        <w:tc>
          <w:tcPr>
            <w:tcW w:w="260" w:type="dxa"/>
            <w:vAlign w:val="bottom"/>
            <w:shd w:val="clear" w:color="auto" w:fill="F2F2F2"/>
          </w:tcPr>
          <w:p>
            <w:pPr>
              <w:spacing w:after="0"/>
              <w:rPr>
                <w:sz w:val="18"/>
                <w:szCs w:val="18"/>
                <w:color w:val="auto"/>
              </w:rPr>
            </w:pPr>
          </w:p>
        </w:tc>
        <w:tc>
          <w:tcPr>
            <w:tcW w:w="4020" w:type="dxa"/>
            <w:vAlign w:val="bottom"/>
            <w:vMerge w:val="restart"/>
            <w:shd w:val="clear" w:color="auto" w:fill="F2F2F2"/>
          </w:tcPr>
          <w:p>
            <w:pPr>
              <w:ind w:left="160"/>
              <w:spacing w:after="0"/>
              <w:rPr>
                <w:sz w:val="20"/>
                <w:szCs w:val="20"/>
                <w:color w:val="auto"/>
              </w:rPr>
            </w:pPr>
            <w:r>
              <w:rPr>
                <w:rFonts w:ascii="Arial" w:cs="Arial" w:eastAsia="Arial" w:hAnsi="Arial"/>
                <w:sz w:val="16"/>
                <w:szCs w:val="16"/>
                <w:color w:val="auto"/>
              </w:rPr>
              <w:t>Independent directors meet regularly without</w:t>
            </w:r>
          </w:p>
        </w:tc>
        <w:tc>
          <w:tcPr>
            <w:tcW w:w="160" w:type="dxa"/>
            <w:vAlign w:val="bottom"/>
            <w:tcBorders>
              <w:right w:val="single" w:sz="8" w:color="FEFEFE"/>
            </w:tcBorders>
            <w:shd w:val="clear" w:color="auto" w:fill="F2F2F2"/>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6"/>
                <w:szCs w:val="16"/>
                <w:color w:val="auto"/>
              </w:rPr>
              <w:t>Section 16 officers</w:t>
            </w:r>
          </w:p>
        </w:tc>
        <w:tc>
          <w:tcPr>
            <w:tcW w:w="0" w:type="dxa"/>
            <w:vAlign w:val="bottom"/>
          </w:tcPr>
          <w:p>
            <w:pPr>
              <w:spacing w:after="0"/>
              <w:rPr>
                <w:sz w:val="1"/>
                <w:szCs w:val="1"/>
                <w:color w:val="auto"/>
              </w:rPr>
            </w:pPr>
          </w:p>
        </w:tc>
      </w:tr>
      <w:tr>
        <w:trPr>
          <w:trHeight w:val="55"/>
        </w:trPr>
        <w:tc>
          <w:tcPr>
            <w:tcW w:w="260" w:type="dxa"/>
            <w:vAlign w:val="bottom"/>
            <w:shd w:val="clear" w:color="auto" w:fill="F2F2F2"/>
          </w:tcPr>
          <w:p>
            <w:pPr>
              <w:spacing w:after="0"/>
              <w:rPr>
                <w:sz w:val="4"/>
                <w:szCs w:val="4"/>
                <w:color w:val="auto"/>
              </w:rPr>
            </w:pPr>
          </w:p>
        </w:tc>
        <w:tc>
          <w:tcPr>
            <w:tcW w:w="4020" w:type="dxa"/>
            <w:vAlign w:val="bottom"/>
            <w:vMerge w:val="continue"/>
            <w:shd w:val="clear" w:color="auto" w:fill="F2F2F2"/>
          </w:tcPr>
          <w:p>
            <w:pPr>
              <w:spacing w:after="0"/>
              <w:rPr>
                <w:sz w:val="4"/>
                <w:szCs w:val="4"/>
                <w:color w:val="auto"/>
              </w:rPr>
            </w:pPr>
          </w:p>
        </w:tc>
        <w:tc>
          <w:tcPr>
            <w:tcW w:w="160" w:type="dxa"/>
            <w:vAlign w:val="bottom"/>
            <w:tcBorders>
              <w:right w:val="single" w:sz="8" w:color="FEFEFE"/>
            </w:tcBorders>
            <w:shd w:val="clear" w:color="auto" w:fill="F2F2F2"/>
          </w:tcPr>
          <w:p>
            <w:pPr>
              <w:spacing w:after="0"/>
              <w:rPr>
                <w:sz w:val="4"/>
                <w:szCs w:val="4"/>
                <w:color w:val="auto"/>
              </w:rPr>
            </w:pPr>
          </w:p>
        </w:tc>
        <w:tc>
          <w:tcPr>
            <w:tcW w:w="240" w:type="dxa"/>
            <w:vAlign w:val="bottom"/>
          </w:tcPr>
          <w:p>
            <w:pPr>
              <w:spacing w:after="0"/>
              <w:rPr>
                <w:sz w:val="4"/>
                <w:szCs w:val="4"/>
                <w:color w:val="auto"/>
              </w:rPr>
            </w:pPr>
          </w:p>
        </w:tc>
        <w:tc>
          <w:tcPr>
            <w:tcW w:w="3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F2F2F2"/>
          </w:tcPr>
          <w:p>
            <w:pPr>
              <w:spacing w:after="0"/>
              <w:rPr>
                <w:sz w:val="16"/>
                <w:szCs w:val="16"/>
                <w:color w:val="auto"/>
              </w:rPr>
            </w:pPr>
          </w:p>
        </w:tc>
        <w:tc>
          <w:tcPr>
            <w:tcW w:w="4020" w:type="dxa"/>
            <w:vAlign w:val="bottom"/>
            <w:shd w:val="clear" w:color="auto" w:fill="F2F2F2"/>
          </w:tcPr>
          <w:p>
            <w:pPr>
              <w:ind w:left="160"/>
              <w:spacing w:after="0"/>
              <w:rPr>
                <w:sz w:val="20"/>
                <w:szCs w:val="20"/>
                <w:color w:val="auto"/>
              </w:rPr>
            </w:pPr>
            <w:r>
              <w:rPr>
                <w:rFonts w:ascii="Arial" w:cs="Arial" w:eastAsia="Arial" w:hAnsi="Arial"/>
                <w:sz w:val="16"/>
                <w:szCs w:val="16"/>
                <w:color w:val="auto"/>
              </w:rPr>
              <w:t>management present</w:t>
            </w:r>
          </w:p>
        </w:tc>
        <w:tc>
          <w:tcPr>
            <w:tcW w:w="160" w:type="dxa"/>
            <w:vAlign w:val="bottom"/>
            <w:tcBorders>
              <w:right w:val="single" w:sz="8" w:color="FEFEFE"/>
            </w:tcBorders>
            <w:shd w:val="clear" w:color="auto" w:fill="F2F2F2"/>
          </w:tcPr>
          <w:p>
            <w:pPr>
              <w:spacing w:after="0"/>
              <w:rPr>
                <w:sz w:val="16"/>
                <w:szCs w:val="16"/>
                <w:color w:val="auto"/>
              </w:rPr>
            </w:pPr>
          </w:p>
        </w:tc>
        <w:tc>
          <w:tcPr>
            <w:tcW w:w="240" w:type="dxa"/>
            <w:vAlign w:val="bottom"/>
          </w:tcPr>
          <w:p>
            <w:pPr>
              <w:spacing w:after="0"/>
              <w:rPr>
                <w:sz w:val="16"/>
                <w:szCs w:val="16"/>
                <w:color w:val="auto"/>
              </w:rPr>
            </w:pPr>
          </w:p>
        </w:tc>
        <w:tc>
          <w:tcPr>
            <w:tcW w:w="3700" w:type="dxa"/>
            <w:vAlign w:val="bottom"/>
          </w:tcPr>
          <w:p>
            <w:pPr>
              <w:ind w:left="180"/>
              <w:spacing w:after="0"/>
              <w:rPr>
                <w:sz w:val="20"/>
                <w:szCs w:val="20"/>
                <w:color w:val="auto"/>
              </w:rPr>
            </w:pPr>
            <w:r>
              <w:rPr>
                <w:rFonts w:ascii="Arial" w:cs="Arial" w:eastAsia="Arial" w:hAnsi="Arial"/>
                <w:sz w:val="16"/>
                <w:szCs w:val="16"/>
                <w:color w:val="auto"/>
              </w:rPr>
              <w:t>Standing Audit, Compensation and Nominating,</w:t>
            </w:r>
          </w:p>
        </w:tc>
        <w:tc>
          <w:tcPr>
            <w:tcW w:w="0" w:type="dxa"/>
            <w:vAlign w:val="bottom"/>
          </w:tcPr>
          <w:p>
            <w:pPr>
              <w:spacing w:after="0"/>
              <w:rPr>
                <w:sz w:val="1"/>
                <w:szCs w:val="1"/>
                <w:color w:val="auto"/>
              </w:rPr>
            </w:pPr>
          </w:p>
        </w:tc>
      </w:tr>
      <w:tr>
        <w:trPr>
          <w:trHeight w:val="189"/>
        </w:trPr>
        <w:tc>
          <w:tcPr>
            <w:tcW w:w="260" w:type="dxa"/>
            <w:vAlign w:val="bottom"/>
            <w:shd w:val="clear" w:color="auto" w:fill="F2F2F2"/>
          </w:tcPr>
          <w:p>
            <w:pPr>
              <w:spacing w:after="0"/>
              <w:rPr>
                <w:sz w:val="16"/>
                <w:szCs w:val="16"/>
                <w:color w:val="auto"/>
              </w:rPr>
            </w:pPr>
          </w:p>
        </w:tc>
        <w:tc>
          <w:tcPr>
            <w:tcW w:w="4020" w:type="dxa"/>
            <w:vAlign w:val="bottom"/>
            <w:vMerge w:val="restart"/>
            <w:shd w:val="clear" w:color="auto" w:fill="F2F2F2"/>
          </w:tcPr>
          <w:p>
            <w:pPr>
              <w:ind w:left="160"/>
              <w:spacing w:after="0"/>
              <w:rPr>
                <w:sz w:val="20"/>
                <w:szCs w:val="20"/>
                <w:color w:val="auto"/>
              </w:rPr>
            </w:pPr>
            <w:r>
              <w:rPr>
                <w:rFonts w:ascii="Arial" w:cs="Arial" w:eastAsia="Arial" w:hAnsi="Arial"/>
                <w:sz w:val="16"/>
                <w:szCs w:val="16"/>
                <w:color w:val="auto"/>
              </w:rPr>
              <w:t>Board review (through its standing committees)</w:t>
            </w:r>
          </w:p>
        </w:tc>
        <w:tc>
          <w:tcPr>
            <w:tcW w:w="160" w:type="dxa"/>
            <w:vAlign w:val="bottom"/>
            <w:tcBorders>
              <w:right w:val="single" w:sz="8" w:color="FEFEFE"/>
            </w:tcBorders>
            <w:shd w:val="clear" w:color="auto" w:fill="F2F2F2"/>
          </w:tcPr>
          <w:p>
            <w:pPr>
              <w:spacing w:after="0"/>
              <w:rPr>
                <w:sz w:val="16"/>
                <w:szCs w:val="16"/>
                <w:color w:val="auto"/>
              </w:rPr>
            </w:pPr>
          </w:p>
        </w:tc>
        <w:tc>
          <w:tcPr>
            <w:tcW w:w="240" w:type="dxa"/>
            <w:vAlign w:val="bottom"/>
          </w:tcPr>
          <w:p>
            <w:pPr>
              <w:spacing w:after="0"/>
              <w:rPr>
                <w:sz w:val="16"/>
                <w:szCs w:val="16"/>
                <w:color w:val="auto"/>
              </w:rPr>
            </w:pPr>
          </w:p>
        </w:tc>
        <w:tc>
          <w:tcPr>
            <w:tcW w:w="3700" w:type="dxa"/>
            <w:vAlign w:val="bottom"/>
          </w:tcPr>
          <w:p>
            <w:pPr>
              <w:ind w:left="180"/>
              <w:spacing w:after="0"/>
              <w:rPr>
                <w:sz w:val="20"/>
                <w:szCs w:val="20"/>
                <w:color w:val="auto"/>
              </w:rPr>
            </w:pPr>
            <w:r>
              <w:rPr>
                <w:rFonts w:ascii="Arial" w:cs="Arial" w:eastAsia="Arial" w:hAnsi="Arial"/>
                <w:sz w:val="16"/>
                <w:szCs w:val="16"/>
                <w:color w:val="auto"/>
              </w:rPr>
              <w:t>Sustainability and Corporate Governance</w:t>
            </w:r>
          </w:p>
        </w:tc>
        <w:tc>
          <w:tcPr>
            <w:tcW w:w="0" w:type="dxa"/>
            <w:vAlign w:val="bottom"/>
          </w:tcPr>
          <w:p>
            <w:pPr>
              <w:spacing w:after="0"/>
              <w:rPr>
                <w:sz w:val="1"/>
                <w:szCs w:val="1"/>
                <w:color w:val="auto"/>
              </w:rPr>
            </w:pPr>
          </w:p>
        </w:tc>
      </w:tr>
      <w:tr>
        <w:trPr>
          <w:trHeight w:val="81"/>
        </w:trPr>
        <w:tc>
          <w:tcPr>
            <w:tcW w:w="260" w:type="dxa"/>
            <w:vAlign w:val="bottom"/>
            <w:shd w:val="clear" w:color="auto" w:fill="F2F2F2"/>
          </w:tcPr>
          <w:p>
            <w:pPr>
              <w:spacing w:after="0"/>
              <w:rPr>
                <w:sz w:val="7"/>
                <w:szCs w:val="7"/>
                <w:color w:val="auto"/>
              </w:rPr>
            </w:pPr>
          </w:p>
        </w:tc>
        <w:tc>
          <w:tcPr>
            <w:tcW w:w="4020" w:type="dxa"/>
            <w:vAlign w:val="bottom"/>
            <w:vMerge w:val="continue"/>
            <w:shd w:val="clear" w:color="auto" w:fill="F2F2F2"/>
          </w:tcPr>
          <w:p>
            <w:pPr>
              <w:spacing w:after="0"/>
              <w:rPr>
                <w:sz w:val="7"/>
                <w:szCs w:val="7"/>
                <w:color w:val="auto"/>
              </w:rPr>
            </w:pPr>
          </w:p>
        </w:tc>
        <w:tc>
          <w:tcPr>
            <w:tcW w:w="160" w:type="dxa"/>
            <w:vAlign w:val="bottom"/>
            <w:tcBorders>
              <w:right w:val="single" w:sz="8" w:color="FEFEFE"/>
            </w:tcBorders>
            <w:shd w:val="clear" w:color="auto" w:fill="F2F2F2"/>
          </w:tcPr>
          <w:p>
            <w:pPr>
              <w:spacing w:after="0"/>
              <w:rPr>
                <w:sz w:val="7"/>
                <w:szCs w:val="7"/>
                <w:color w:val="auto"/>
              </w:rPr>
            </w:pPr>
          </w:p>
        </w:tc>
        <w:tc>
          <w:tcPr>
            <w:tcW w:w="240" w:type="dxa"/>
            <w:vAlign w:val="bottom"/>
          </w:tcPr>
          <w:p>
            <w:pPr>
              <w:spacing w:after="0"/>
              <w:rPr>
                <w:sz w:val="7"/>
                <w:szCs w:val="7"/>
                <w:color w:val="auto"/>
              </w:rPr>
            </w:pPr>
          </w:p>
        </w:tc>
        <w:tc>
          <w:tcPr>
            <w:tcW w:w="3700" w:type="dxa"/>
            <w:vAlign w:val="bottom"/>
            <w:vMerge w:val="restart"/>
          </w:tcPr>
          <w:p>
            <w:pPr>
              <w:ind w:left="180"/>
              <w:spacing w:after="0"/>
              <w:rPr>
                <w:sz w:val="20"/>
                <w:szCs w:val="20"/>
                <w:color w:val="auto"/>
              </w:rPr>
            </w:pPr>
            <w:r>
              <w:rPr>
                <w:rFonts w:ascii="Arial" w:cs="Arial" w:eastAsia="Arial" w:hAnsi="Arial"/>
                <w:sz w:val="16"/>
                <w:szCs w:val="16"/>
                <w:color w:val="auto"/>
              </w:rPr>
              <w:t>Committees comprised solely of independent</w:t>
            </w:r>
          </w:p>
        </w:tc>
        <w:tc>
          <w:tcPr>
            <w:tcW w:w="0" w:type="dxa"/>
            <w:vAlign w:val="bottom"/>
          </w:tcPr>
          <w:p>
            <w:pPr>
              <w:spacing w:after="0"/>
              <w:rPr>
                <w:sz w:val="1"/>
                <w:szCs w:val="1"/>
                <w:color w:val="auto"/>
              </w:rPr>
            </w:pPr>
          </w:p>
        </w:tc>
      </w:tr>
      <w:tr>
        <w:trPr>
          <w:trHeight w:val="108"/>
        </w:trPr>
        <w:tc>
          <w:tcPr>
            <w:tcW w:w="260" w:type="dxa"/>
            <w:vAlign w:val="bottom"/>
            <w:shd w:val="clear" w:color="auto" w:fill="F2F2F2"/>
          </w:tcPr>
          <w:p>
            <w:pPr>
              <w:spacing w:after="0"/>
              <w:rPr>
                <w:sz w:val="9"/>
                <w:szCs w:val="9"/>
                <w:color w:val="auto"/>
              </w:rPr>
            </w:pPr>
          </w:p>
        </w:tc>
        <w:tc>
          <w:tcPr>
            <w:tcW w:w="4020" w:type="dxa"/>
            <w:vAlign w:val="bottom"/>
            <w:vMerge w:val="restart"/>
            <w:shd w:val="clear" w:color="auto" w:fill="F2F2F2"/>
          </w:tcPr>
          <w:p>
            <w:pPr>
              <w:ind w:left="160"/>
              <w:spacing w:after="0"/>
              <w:rPr>
                <w:sz w:val="20"/>
                <w:szCs w:val="20"/>
                <w:color w:val="auto"/>
              </w:rPr>
            </w:pPr>
            <w:r>
              <w:rPr>
                <w:rFonts w:ascii="Arial" w:cs="Arial" w:eastAsia="Arial" w:hAnsi="Arial"/>
                <w:sz w:val="16"/>
                <w:szCs w:val="16"/>
                <w:color w:val="auto"/>
              </w:rPr>
              <w:t>of sustainability and governance, activities, policies</w:t>
            </w:r>
          </w:p>
        </w:tc>
        <w:tc>
          <w:tcPr>
            <w:tcW w:w="160" w:type="dxa"/>
            <w:vAlign w:val="bottom"/>
            <w:tcBorders>
              <w:right w:val="single" w:sz="8" w:color="FEFEFE"/>
            </w:tcBorders>
            <w:shd w:val="clear" w:color="auto" w:fill="F2F2F2"/>
          </w:tcPr>
          <w:p>
            <w:pPr>
              <w:spacing w:after="0"/>
              <w:rPr>
                <w:sz w:val="9"/>
                <w:szCs w:val="9"/>
                <w:color w:val="auto"/>
              </w:rPr>
            </w:pPr>
          </w:p>
        </w:tc>
        <w:tc>
          <w:tcPr>
            <w:tcW w:w="240" w:type="dxa"/>
            <w:vAlign w:val="bottom"/>
          </w:tcPr>
          <w:p>
            <w:pPr>
              <w:spacing w:after="0"/>
              <w:rPr>
                <w:sz w:val="9"/>
                <w:szCs w:val="9"/>
                <w:color w:val="auto"/>
              </w:rPr>
            </w:pPr>
          </w:p>
        </w:tc>
        <w:tc>
          <w:tcPr>
            <w:tcW w:w="3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shd w:val="clear" w:color="auto" w:fill="F2F2F2"/>
          </w:tcPr>
          <w:p>
            <w:pPr>
              <w:spacing w:after="0"/>
              <w:rPr>
                <w:sz w:val="7"/>
                <w:szCs w:val="7"/>
                <w:color w:val="auto"/>
              </w:rPr>
            </w:pPr>
          </w:p>
        </w:tc>
        <w:tc>
          <w:tcPr>
            <w:tcW w:w="4020" w:type="dxa"/>
            <w:vAlign w:val="bottom"/>
            <w:vMerge w:val="continue"/>
            <w:shd w:val="clear" w:color="auto" w:fill="F2F2F2"/>
          </w:tcPr>
          <w:p>
            <w:pPr>
              <w:spacing w:after="0"/>
              <w:rPr>
                <w:sz w:val="7"/>
                <w:szCs w:val="7"/>
                <w:color w:val="auto"/>
              </w:rPr>
            </w:pPr>
          </w:p>
        </w:tc>
        <w:tc>
          <w:tcPr>
            <w:tcW w:w="160" w:type="dxa"/>
            <w:vAlign w:val="bottom"/>
            <w:tcBorders>
              <w:right w:val="single" w:sz="8" w:color="FEFEFE"/>
            </w:tcBorders>
            <w:shd w:val="clear" w:color="auto" w:fill="F2F2F2"/>
          </w:tcPr>
          <w:p>
            <w:pPr>
              <w:spacing w:after="0"/>
              <w:rPr>
                <w:sz w:val="7"/>
                <w:szCs w:val="7"/>
                <w:color w:val="auto"/>
              </w:rPr>
            </w:pPr>
          </w:p>
        </w:tc>
        <w:tc>
          <w:tcPr>
            <w:tcW w:w="240" w:type="dxa"/>
            <w:vAlign w:val="bottom"/>
          </w:tcPr>
          <w:p>
            <w:pPr>
              <w:spacing w:after="0"/>
              <w:rPr>
                <w:sz w:val="7"/>
                <w:szCs w:val="7"/>
                <w:color w:val="auto"/>
              </w:rPr>
            </w:pPr>
          </w:p>
        </w:tc>
        <w:tc>
          <w:tcPr>
            <w:tcW w:w="3700" w:type="dxa"/>
            <w:vAlign w:val="bottom"/>
            <w:vMerge w:val="restart"/>
          </w:tcPr>
          <w:p>
            <w:pPr>
              <w:ind w:left="180"/>
              <w:spacing w:after="0"/>
              <w:rPr>
                <w:sz w:val="20"/>
                <w:szCs w:val="20"/>
                <w:color w:val="auto"/>
              </w:rPr>
            </w:pPr>
            <w:r>
              <w:rPr>
                <w:rFonts w:ascii="Arial" w:cs="Arial" w:eastAsia="Arial" w:hAnsi="Arial"/>
                <w:sz w:val="16"/>
                <w:szCs w:val="16"/>
                <w:color w:val="auto"/>
              </w:rPr>
              <w:t>directors</w:t>
            </w:r>
          </w:p>
        </w:tc>
        <w:tc>
          <w:tcPr>
            <w:tcW w:w="0" w:type="dxa"/>
            <w:vAlign w:val="bottom"/>
          </w:tcPr>
          <w:p>
            <w:pPr>
              <w:spacing w:after="0"/>
              <w:rPr>
                <w:sz w:val="1"/>
                <w:szCs w:val="1"/>
                <w:color w:val="auto"/>
              </w:rPr>
            </w:pPr>
          </w:p>
        </w:tc>
      </w:tr>
      <w:tr>
        <w:trPr>
          <w:trHeight w:val="134"/>
        </w:trPr>
        <w:tc>
          <w:tcPr>
            <w:tcW w:w="260" w:type="dxa"/>
            <w:vAlign w:val="bottom"/>
            <w:shd w:val="clear" w:color="auto" w:fill="F2F2F2"/>
          </w:tcPr>
          <w:p>
            <w:pPr>
              <w:spacing w:after="0"/>
              <w:rPr>
                <w:sz w:val="11"/>
                <w:szCs w:val="11"/>
                <w:color w:val="auto"/>
              </w:rPr>
            </w:pPr>
          </w:p>
        </w:tc>
        <w:tc>
          <w:tcPr>
            <w:tcW w:w="4020" w:type="dxa"/>
            <w:vAlign w:val="bottom"/>
            <w:vMerge w:val="restart"/>
            <w:shd w:val="clear" w:color="auto" w:fill="F2F2F2"/>
          </w:tcPr>
          <w:p>
            <w:pPr>
              <w:ind w:left="160"/>
              <w:spacing w:after="0"/>
              <w:rPr>
                <w:sz w:val="20"/>
                <w:szCs w:val="20"/>
                <w:color w:val="auto"/>
              </w:rPr>
            </w:pPr>
            <w:r>
              <w:rPr>
                <w:rFonts w:ascii="Arial" w:cs="Arial" w:eastAsia="Arial" w:hAnsi="Arial"/>
                <w:sz w:val="16"/>
                <w:szCs w:val="16"/>
                <w:color w:val="auto"/>
              </w:rPr>
              <w:t>and communications</w:t>
            </w:r>
          </w:p>
        </w:tc>
        <w:tc>
          <w:tcPr>
            <w:tcW w:w="160" w:type="dxa"/>
            <w:vAlign w:val="bottom"/>
            <w:tcBorders>
              <w:right w:val="single" w:sz="8" w:color="FEFEFE"/>
            </w:tcBorders>
            <w:shd w:val="clear" w:color="auto" w:fill="F2F2F2"/>
          </w:tcPr>
          <w:p>
            <w:pPr>
              <w:spacing w:after="0"/>
              <w:rPr>
                <w:sz w:val="11"/>
                <w:szCs w:val="11"/>
                <w:color w:val="auto"/>
              </w:rPr>
            </w:pPr>
          </w:p>
        </w:tc>
        <w:tc>
          <w:tcPr>
            <w:tcW w:w="240" w:type="dxa"/>
            <w:vAlign w:val="bottom"/>
          </w:tcPr>
          <w:p>
            <w:pPr>
              <w:spacing w:after="0"/>
              <w:rPr>
                <w:sz w:val="11"/>
                <w:szCs w:val="11"/>
                <w:color w:val="auto"/>
              </w:rPr>
            </w:pPr>
          </w:p>
        </w:tc>
        <w:tc>
          <w:tcPr>
            <w:tcW w:w="3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60" w:type="dxa"/>
            <w:vAlign w:val="bottom"/>
            <w:shd w:val="clear" w:color="auto" w:fill="F2F2F2"/>
          </w:tcPr>
          <w:p>
            <w:pPr>
              <w:spacing w:after="0"/>
              <w:rPr>
                <w:sz w:val="7"/>
                <w:szCs w:val="7"/>
                <w:color w:val="auto"/>
              </w:rPr>
            </w:pPr>
          </w:p>
        </w:tc>
        <w:tc>
          <w:tcPr>
            <w:tcW w:w="4020" w:type="dxa"/>
            <w:vAlign w:val="bottom"/>
            <w:vMerge w:val="continue"/>
            <w:shd w:val="clear" w:color="auto" w:fill="F2F2F2"/>
          </w:tcPr>
          <w:p>
            <w:pPr>
              <w:spacing w:after="0"/>
              <w:rPr>
                <w:sz w:val="7"/>
                <w:szCs w:val="7"/>
                <w:color w:val="auto"/>
              </w:rPr>
            </w:pPr>
          </w:p>
        </w:tc>
        <w:tc>
          <w:tcPr>
            <w:tcW w:w="160" w:type="dxa"/>
            <w:vAlign w:val="bottom"/>
            <w:tcBorders>
              <w:right w:val="single" w:sz="8" w:color="FEFEFE"/>
            </w:tcBorders>
            <w:shd w:val="clear" w:color="auto" w:fill="F2F2F2"/>
          </w:tcPr>
          <w:p>
            <w:pPr>
              <w:spacing w:after="0"/>
              <w:rPr>
                <w:sz w:val="7"/>
                <w:szCs w:val="7"/>
                <w:color w:val="auto"/>
              </w:rPr>
            </w:pPr>
          </w:p>
        </w:tc>
        <w:tc>
          <w:tcPr>
            <w:tcW w:w="240" w:type="dxa"/>
            <w:vAlign w:val="bottom"/>
          </w:tcPr>
          <w:p>
            <w:pPr>
              <w:spacing w:after="0"/>
              <w:rPr>
                <w:sz w:val="7"/>
                <w:szCs w:val="7"/>
                <w:color w:val="auto"/>
              </w:rPr>
            </w:pPr>
          </w:p>
        </w:tc>
        <w:tc>
          <w:tcPr>
            <w:tcW w:w="3700" w:type="dxa"/>
            <w:vAlign w:val="bottom"/>
            <w:vMerge w:val="restart"/>
          </w:tcPr>
          <w:p>
            <w:pPr>
              <w:ind w:left="180"/>
              <w:spacing w:after="0"/>
              <w:rPr>
                <w:sz w:val="20"/>
                <w:szCs w:val="20"/>
                <w:color w:val="auto"/>
              </w:rPr>
            </w:pPr>
            <w:r>
              <w:rPr>
                <w:rFonts w:ascii="Arial" w:cs="Arial" w:eastAsia="Arial" w:hAnsi="Arial"/>
                <w:sz w:val="16"/>
                <w:szCs w:val="16"/>
                <w:color w:val="auto"/>
              </w:rPr>
              <w:t>Robust oversight of risk management</w:t>
            </w:r>
          </w:p>
        </w:tc>
        <w:tc>
          <w:tcPr>
            <w:tcW w:w="0" w:type="dxa"/>
            <w:vAlign w:val="bottom"/>
          </w:tcPr>
          <w:p>
            <w:pPr>
              <w:spacing w:after="0"/>
              <w:rPr>
                <w:sz w:val="1"/>
                <w:szCs w:val="1"/>
                <w:color w:val="auto"/>
              </w:rPr>
            </w:pPr>
          </w:p>
        </w:tc>
      </w:tr>
      <w:tr>
        <w:trPr>
          <w:trHeight w:val="189"/>
        </w:trPr>
        <w:tc>
          <w:tcPr>
            <w:tcW w:w="260" w:type="dxa"/>
            <w:vAlign w:val="bottom"/>
            <w:shd w:val="clear" w:color="auto" w:fill="F2F2F2"/>
          </w:tcPr>
          <w:p>
            <w:pPr>
              <w:spacing w:after="0"/>
              <w:rPr>
                <w:sz w:val="16"/>
                <w:szCs w:val="16"/>
                <w:color w:val="auto"/>
              </w:rPr>
            </w:pPr>
          </w:p>
        </w:tc>
        <w:tc>
          <w:tcPr>
            <w:tcW w:w="4020" w:type="dxa"/>
            <w:vAlign w:val="bottom"/>
            <w:shd w:val="clear" w:color="auto" w:fill="F2F2F2"/>
          </w:tcPr>
          <w:p>
            <w:pPr>
              <w:spacing w:after="0"/>
              <w:rPr>
                <w:sz w:val="16"/>
                <w:szCs w:val="16"/>
                <w:color w:val="auto"/>
              </w:rPr>
            </w:pPr>
          </w:p>
        </w:tc>
        <w:tc>
          <w:tcPr>
            <w:tcW w:w="160" w:type="dxa"/>
            <w:vAlign w:val="bottom"/>
            <w:tcBorders>
              <w:right w:val="single" w:sz="8" w:color="FEFEFE"/>
            </w:tcBorders>
            <w:shd w:val="clear" w:color="auto" w:fill="F2F2F2"/>
          </w:tcPr>
          <w:p>
            <w:pPr>
              <w:spacing w:after="0"/>
              <w:rPr>
                <w:sz w:val="16"/>
                <w:szCs w:val="16"/>
                <w:color w:val="auto"/>
              </w:rPr>
            </w:pPr>
          </w:p>
        </w:tc>
        <w:tc>
          <w:tcPr>
            <w:tcW w:w="240" w:type="dxa"/>
            <w:vAlign w:val="bottom"/>
          </w:tcPr>
          <w:p>
            <w:pPr>
              <w:spacing w:after="0"/>
              <w:rPr>
                <w:sz w:val="16"/>
                <w:szCs w:val="16"/>
                <w:color w:val="auto"/>
              </w:rPr>
            </w:pPr>
          </w:p>
        </w:tc>
        <w:tc>
          <w:tcPr>
            <w:tcW w:w="3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60" w:type="dxa"/>
            <w:vAlign w:val="bottom"/>
            <w:shd w:val="clear" w:color="auto" w:fill="F2F2F2"/>
          </w:tcPr>
          <w:p>
            <w:pPr>
              <w:spacing w:after="0"/>
              <w:rPr>
                <w:sz w:val="10"/>
                <w:szCs w:val="10"/>
                <w:color w:val="auto"/>
              </w:rPr>
            </w:pPr>
          </w:p>
        </w:tc>
        <w:tc>
          <w:tcPr>
            <w:tcW w:w="4020" w:type="dxa"/>
            <w:vAlign w:val="bottom"/>
            <w:shd w:val="clear" w:color="auto" w:fill="F2F2F2"/>
          </w:tcPr>
          <w:p>
            <w:pPr>
              <w:spacing w:after="0"/>
              <w:rPr>
                <w:sz w:val="10"/>
                <w:szCs w:val="10"/>
                <w:color w:val="auto"/>
              </w:rPr>
            </w:pPr>
          </w:p>
        </w:tc>
        <w:tc>
          <w:tcPr>
            <w:tcW w:w="160" w:type="dxa"/>
            <w:vAlign w:val="bottom"/>
            <w:tcBorders>
              <w:right w:val="single" w:sz="8" w:color="FEFEFE"/>
            </w:tcBorders>
            <w:shd w:val="clear" w:color="auto" w:fill="F2F2F2"/>
          </w:tcPr>
          <w:p>
            <w:pPr>
              <w:spacing w:after="0"/>
              <w:rPr>
                <w:sz w:val="10"/>
                <w:szCs w:val="10"/>
                <w:color w:val="auto"/>
              </w:rPr>
            </w:pPr>
          </w:p>
        </w:tc>
        <w:tc>
          <w:tcPr>
            <w:tcW w:w="2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-1619885</wp:posOffset>
            </wp:positionV>
            <wp:extent cx="11176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-1465580</wp:posOffset>
            </wp:positionV>
            <wp:extent cx="111760"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-1311275</wp:posOffset>
            </wp:positionV>
            <wp:extent cx="111760"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-1156970</wp:posOffset>
            </wp:positionV>
            <wp:extent cx="111760" cy="102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-1002665</wp:posOffset>
            </wp:positionV>
            <wp:extent cx="111760" cy="102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-848360</wp:posOffset>
            </wp:positionV>
            <wp:extent cx="111760" cy="102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-556895</wp:posOffset>
            </wp:positionV>
            <wp:extent cx="111760" cy="102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-1645285</wp:posOffset>
            </wp:positionV>
            <wp:extent cx="2802890" cy="1637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02890" cy="1637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jc w:val="right"/>
        <w:ind w:right="99"/>
        <w:spacing w:after="0"/>
        <w:rPr>
          <w:sz w:val="20"/>
          <w:szCs w:val="20"/>
          <w:color w:val="auto"/>
        </w:rPr>
      </w:pPr>
      <w:r>
        <w:rPr>
          <w:rFonts w:ascii="Arial" w:cs="Arial" w:eastAsia="Arial" w:hAnsi="Arial"/>
          <w:sz w:val="16"/>
          <w:szCs w:val="16"/>
          <w:b w:val="1"/>
          <w:bCs w:val="1"/>
          <w:color w:val="FEFEFE"/>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606" w:lineRule="exact"/>
        <w:rPr>
          <w:sz w:val="20"/>
          <w:szCs w:val="20"/>
          <w:color w:val="auto"/>
        </w:rPr>
      </w:pPr>
    </w:p>
    <w:p>
      <w:pPr>
        <w:sectPr>
          <w:pgSz w:w="11900" w:h="16838" w:orient="portrait"/>
          <w:cols w:equalWidth="0" w:num="2">
            <w:col w:w="9300" w:space="380"/>
            <w:col w:w="1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E7417A"/>
            </w:tcBorders>
          </w:tcPr>
          <w:p>
            <w:pPr>
              <w:spacing w:after="0"/>
              <w:rPr>
                <w:sz w:val="20"/>
                <w:szCs w:val="20"/>
                <w:color w:val="auto"/>
              </w:rPr>
            </w:pPr>
            <w:r>
              <w:rPr>
                <w:rFonts w:ascii="Arial" w:cs="Arial" w:eastAsia="Arial" w:hAnsi="Arial"/>
                <w:sz w:val="13"/>
                <w:szCs w:val="13"/>
                <w:b w:val="1"/>
                <w:bCs w:val="1"/>
                <w:color w:val="9166BA"/>
              </w:rPr>
              <w:t>​</w:t>
            </w:r>
          </w:p>
        </w:tc>
        <w:tc>
          <w:tcPr>
            <w:tcW w:w="840" w:type="dxa"/>
            <w:vAlign w:val="bottom"/>
            <w:tcBorders>
              <w:bottom w:val="single" w:sz="8" w:color="E7417A"/>
            </w:tcBorders>
          </w:tcPr>
          <w:p>
            <w:pPr>
              <w:ind w:left="380"/>
              <w:spacing w:after="0"/>
              <w:rPr>
                <w:sz w:val="20"/>
                <w:szCs w:val="20"/>
                <w:color w:val="auto"/>
              </w:rPr>
            </w:pPr>
            <w:r>
              <w:rPr>
                <w:rFonts w:ascii="Arial" w:cs="Arial" w:eastAsia="Arial" w:hAnsi="Arial"/>
                <w:sz w:val="13"/>
                <w:szCs w:val="13"/>
                <w:b w:val="1"/>
                <w:bCs w:val="1"/>
                <w:color w:val="9166BA"/>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9166BA"/>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9166BA"/>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9166BA"/>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9166BA"/>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9166BA"/>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9166BA"/>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9166BA"/>
              </w:rPr>
              <w:t>​</w:t>
            </w:r>
          </w:p>
        </w:tc>
        <w:tc>
          <w:tcPr>
            <w:tcW w:w="40" w:type="dxa"/>
            <w:vAlign w:val="bottom"/>
          </w:tcPr>
          <w:p>
            <w:pPr>
              <w:spacing w:after="0"/>
              <w:rPr>
                <w:sz w:val="20"/>
                <w:szCs w:val="20"/>
                <w:color w:val="auto"/>
              </w:rPr>
            </w:pPr>
            <w:r>
              <w:rPr>
                <w:rFonts w:ascii="Arial" w:cs="Arial" w:eastAsia="Arial" w:hAnsi="Arial"/>
                <w:sz w:val="13"/>
                <w:szCs w:val="13"/>
                <w:b w:val="1"/>
                <w:bCs w:val="1"/>
                <w:color w:val="9166BA"/>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9166BA"/>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Current Board of Directors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108585</wp:posOffset>
            </wp:positionV>
            <wp:extent cx="5623560" cy="5746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23560" cy="574675"/>
                    </a:xfrm>
                    <a:prstGeom prst="rect">
                      <a:avLst/>
                    </a:prstGeom>
                    <a:noFill/>
                  </pic:spPr>
                </pic:pic>
              </a:graphicData>
            </a:graphic>
          </wp:anchor>
        </w:drawing>
      </w:r>
    </w:p>
    <w:p>
      <w:pPr>
        <w:spacing w:after="0" w:line="151"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vMerge w:val="restart"/>
          </w:tcPr>
          <w:p>
            <w:pPr>
              <w:jc w:val="center"/>
              <w:ind w:right="68"/>
              <w:spacing w:after="0"/>
              <w:rPr>
                <w:sz w:val="20"/>
                <w:szCs w:val="20"/>
                <w:color w:val="auto"/>
              </w:rPr>
            </w:pPr>
            <w:r>
              <w:rPr>
                <w:rFonts w:ascii="Arial" w:cs="Arial" w:eastAsia="Arial" w:hAnsi="Arial"/>
                <w:sz w:val="13"/>
                <w:szCs w:val="13"/>
                <w:b w:val="1"/>
                <w:bCs w:val="1"/>
                <w:color w:val="FEFEFE"/>
              </w:rPr>
              <w:t>Other</w:t>
            </w:r>
          </w:p>
        </w:tc>
        <w:tc>
          <w:tcPr>
            <w:tcW w:w="60" w:type="dxa"/>
            <w:vAlign w:val="bottom"/>
          </w:tcPr>
          <w:p>
            <w:pPr>
              <w:spacing w:after="0"/>
              <w:rPr>
                <w:sz w:val="19"/>
                <w:szCs w:val="19"/>
                <w:color w:val="auto"/>
              </w:rPr>
            </w:pPr>
          </w:p>
        </w:tc>
        <w:tc>
          <w:tcPr>
            <w:tcW w:w="80" w:type="dxa"/>
            <w:vAlign w:val="bottom"/>
            <w:tcBorders>
              <w:bottom w:val="single" w:sz="8" w:color="FEFEFE"/>
            </w:tcBorders>
          </w:tcPr>
          <w:p>
            <w:pPr>
              <w:jc w:val="right"/>
              <w:spacing w:after="0"/>
              <w:rPr>
                <w:sz w:val="20"/>
                <w:szCs w:val="20"/>
                <w:color w:val="auto"/>
              </w:rPr>
            </w:pPr>
            <w:r>
              <w:rPr>
                <w:rFonts w:ascii="Arial" w:cs="Arial" w:eastAsia="Arial" w:hAnsi="Arial"/>
                <w:sz w:val="13"/>
                <w:szCs w:val="13"/>
                <w:b w:val="1"/>
                <w:bCs w:val="1"/>
                <w:color w:val="FEFEFE"/>
              </w:rPr>
              <w:t>​</w:t>
            </w:r>
          </w:p>
        </w:tc>
        <w:tc>
          <w:tcPr>
            <w:tcW w:w="160" w:type="dxa"/>
            <w:vAlign w:val="bottom"/>
            <w:tcBorders>
              <w:bottom w:val="single" w:sz="8" w:color="FEFEFE"/>
            </w:tcBorders>
          </w:tcPr>
          <w:p>
            <w:pPr>
              <w:spacing w:after="0"/>
              <w:rPr>
                <w:sz w:val="19"/>
                <w:szCs w:val="19"/>
                <w:color w:val="auto"/>
              </w:rPr>
            </w:pPr>
          </w:p>
        </w:tc>
        <w:tc>
          <w:tcPr>
            <w:tcW w:w="280" w:type="dxa"/>
            <w:vAlign w:val="bottom"/>
            <w:tcBorders>
              <w:bottom w:val="single" w:sz="8" w:color="FEFEFE"/>
            </w:tcBorders>
          </w:tcPr>
          <w:p>
            <w:pPr>
              <w:spacing w:after="0"/>
              <w:rPr>
                <w:sz w:val="19"/>
                <w:szCs w:val="19"/>
                <w:color w:val="auto"/>
              </w:rPr>
            </w:pPr>
          </w:p>
        </w:tc>
        <w:tc>
          <w:tcPr>
            <w:tcW w:w="120" w:type="dxa"/>
            <w:vAlign w:val="bottom"/>
            <w:tcBorders>
              <w:bottom w:val="single" w:sz="8" w:color="FEFEFE"/>
            </w:tcBorders>
          </w:tcPr>
          <w:p>
            <w:pPr>
              <w:spacing w:after="0"/>
              <w:rPr>
                <w:sz w:val="19"/>
                <w:szCs w:val="19"/>
                <w:color w:val="auto"/>
              </w:rPr>
            </w:pPr>
          </w:p>
        </w:tc>
        <w:tc>
          <w:tcPr>
            <w:tcW w:w="2460" w:type="dxa"/>
            <w:vAlign w:val="bottom"/>
            <w:tcBorders>
              <w:bottom w:val="single" w:sz="8" w:color="FEFEFE"/>
            </w:tcBorders>
            <w:gridSpan w:val="6"/>
          </w:tcPr>
          <w:p>
            <w:pPr>
              <w:ind w:left="80"/>
              <w:spacing w:after="0"/>
              <w:rPr>
                <w:sz w:val="20"/>
                <w:szCs w:val="20"/>
                <w:color w:val="auto"/>
              </w:rPr>
            </w:pPr>
            <w:r>
              <w:rPr>
                <w:rFonts w:ascii="Arial" w:cs="Arial" w:eastAsia="Arial" w:hAnsi="Arial"/>
                <w:sz w:val="13"/>
                <w:szCs w:val="13"/>
                <w:b w:val="1"/>
                <w:bCs w:val="1"/>
                <w:color w:val="FEFEFE"/>
              </w:rPr>
              <w:t>Current Committee Membership</w:t>
            </w:r>
          </w:p>
        </w:tc>
        <w:tc>
          <w:tcPr>
            <w:tcW w:w="580" w:type="dxa"/>
            <w:vAlign w:val="bottom"/>
            <w:tcBorders>
              <w:bottom w:val="single" w:sz="8" w:color="FEFEFE"/>
            </w:tcBorders>
          </w:tcPr>
          <w:p>
            <w:pPr>
              <w:spacing w:after="0"/>
              <w:rPr>
                <w:sz w:val="19"/>
                <w:szCs w:val="19"/>
                <w:color w:val="auto"/>
              </w:rPr>
            </w:pPr>
          </w:p>
        </w:tc>
        <w:tc>
          <w:tcPr>
            <w:tcW w:w="100" w:type="dxa"/>
            <w:vAlign w:val="bottom"/>
            <w:gridSpan w:val="2"/>
          </w:tcPr>
          <w:p>
            <w:pPr>
              <w:ind w:left="4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88"/>
              <w:spacing w:after="0" w:line="141" w:lineRule="exact"/>
              <w:rPr>
                <w:sz w:val="20"/>
                <w:szCs w:val="20"/>
                <w:color w:val="auto"/>
              </w:rPr>
            </w:pPr>
            <w:r>
              <w:rPr>
                <w:rFonts w:ascii="Arial" w:cs="Arial" w:eastAsia="Arial" w:hAnsi="Arial"/>
                <w:sz w:val="13"/>
                <w:szCs w:val="13"/>
                <w:b w:val="1"/>
                <w:bCs w:val="1"/>
                <w:color w:val="FEFEFE"/>
              </w:rPr>
              <w:t>Nominating,</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gridSpan w:val="2"/>
          </w:tcPr>
          <w:p>
            <w:pPr>
              <w:jc w:val="center"/>
              <w:ind w:left="129"/>
              <w:spacing w:after="0"/>
              <w:rPr>
                <w:sz w:val="20"/>
                <w:szCs w:val="20"/>
                <w:color w:val="auto"/>
              </w:rPr>
            </w:pPr>
            <w:r>
              <w:rPr>
                <w:rFonts w:ascii="Arial" w:cs="Arial" w:eastAsia="Arial" w:hAnsi="Arial"/>
                <w:sz w:val="13"/>
                <w:szCs w:val="13"/>
                <w:b w:val="1"/>
                <w:bCs w:val="1"/>
                <w:color w:val="FEFEFE"/>
              </w:rPr>
              <w:t>Public</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3"/>
          </w:tcPr>
          <w:p>
            <w:pPr>
              <w:jc w:val="center"/>
              <w:spacing w:after="0"/>
              <w:rPr>
                <w:sz w:val="20"/>
                <w:szCs w:val="20"/>
                <w:color w:val="auto"/>
              </w:rPr>
            </w:pPr>
            <w:r>
              <w:rPr>
                <w:rFonts w:ascii="Arial" w:cs="Arial" w:eastAsia="Arial" w:hAnsi="Arial"/>
                <w:sz w:val="13"/>
                <w:szCs w:val="13"/>
                <w:b w:val="1"/>
                <w:bCs w:val="1"/>
                <w:color w:val="FEFEFE"/>
              </w:rPr>
              <w:t>Sustainability &amp;</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FEFEFE"/>
              </w:rPr>
              <w:t>Director</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gridSpan w:val="2"/>
          </w:tcPr>
          <w:p>
            <w:pPr>
              <w:jc w:val="center"/>
              <w:ind w:left="129"/>
              <w:spacing w:after="0"/>
              <w:rPr>
                <w:sz w:val="20"/>
                <w:szCs w:val="20"/>
                <w:color w:val="auto"/>
              </w:rPr>
            </w:pPr>
            <w:r>
              <w:rPr>
                <w:rFonts w:ascii="Arial" w:cs="Arial" w:eastAsia="Arial" w:hAnsi="Arial"/>
                <w:sz w:val="13"/>
                <w:szCs w:val="13"/>
                <w:b w:val="1"/>
                <w:bCs w:val="1"/>
                <w:color w:val="FEFEFE"/>
              </w:rPr>
              <w:t>Company</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68"/>
              <w:spacing w:after="0"/>
              <w:rPr>
                <w:sz w:val="20"/>
                <w:szCs w:val="20"/>
                <w:color w:val="auto"/>
              </w:rPr>
            </w:pPr>
            <w:r>
              <w:rPr>
                <w:rFonts w:ascii="Arial" w:cs="Arial" w:eastAsia="Arial" w:hAnsi="Arial"/>
                <w:sz w:val="13"/>
                <w:szCs w:val="13"/>
                <w:b w:val="1"/>
                <w:bCs w:val="1"/>
                <w:color w:val="FEFEFE"/>
              </w:rPr>
              <w:t>Corporate</w:t>
            </w:r>
          </w:p>
        </w:tc>
        <w:tc>
          <w:tcPr>
            <w:tcW w:w="900" w:type="dxa"/>
            <w:vAlign w:val="bottom"/>
            <w:gridSpan w:val="2"/>
          </w:tcPr>
          <w:p>
            <w:pPr>
              <w:jc w:val="right"/>
              <w:spacing w:after="0"/>
              <w:rPr>
                <w:sz w:val="20"/>
                <w:szCs w:val="20"/>
                <w:color w:val="auto"/>
              </w:rPr>
            </w:pPr>
            <w:r>
              <w:rPr>
                <w:rFonts w:ascii="Arial" w:cs="Arial" w:eastAsia="Arial" w:hAnsi="Arial"/>
                <w:sz w:val="13"/>
                <w:szCs w:val="13"/>
                <w:b w:val="1"/>
                <w:bCs w:val="1"/>
                <w:color w:val="FEFEFE"/>
              </w:rPr>
              <w:t>Technology</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720" w:type="dxa"/>
            <w:vAlign w:val="bottom"/>
            <w:gridSpan w:val="6"/>
          </w:tcPr>
          <w:p>
            <w:pPr>
              <w:ind w:left="120"/>
              <w:spacing w:after="0" w:line="202" w:lineRule="exact"/>
              <w:rPr>
                <w:sz w:val="20"/>
                <w:szCs w:val="20"/>
                <w:color w:val="auto"/>
              </w:rPr>
            </w:pPr>
            <w:r>
              <w:rPr>
                <w:rFonts w:ascii="Arial" w:cs="Arial" w:eastAsia="Arial" w:hAnsi="Arial"/>
                <w:sz w:val="12"/>
                <w:szCs w:val="12"/>
                <w:b w:val="1"/>
                <w:bCs w:val="1"/>
                <w:color w:val="FEFEFE"/>
              </w:rPr>
              <w:t xml:space="preserve">Name and Principal Occupation </w:t>
            </w:r>
            <w:r>
              <w:rPr>
                <w:rFonts w:ascii="Arial" w:cs="Arial" w:eastAsia="Arial" w:hAnsi="Arial"/>
                <w:sz w:val="23"/>
                <w:szCs w:val="23"/>
                <w:b w:val="1"/>
                <w:bCs w:val="1"/>
                <w:color w:val="FEFEFE"/>
                <w:vertAlign w:val="subscript"/>
              </w:rPr>
              <w:t>​</w:t>
            </w:r>
            <w:r>
              <w:rPr>
                <w:rFonts w:ascii="Arial" w:cs="Arial" w:eastAsia="Arial" w:hAnsi="Arial"/>
                <w:sz w:val="12"/>
                <w:szCs w:val="12"/>
                <w:b w:val="1"/>
                <w:bCs w:val="1"/>
                <w:color w:val="FEFEFE"/>
              </w:rPr>
              <w:t xml:space="preserve">Age </w:t>
            </w:r>
            <w:r>
              <w:rPr>
                <w:rFonts w:ascii="Arial" w:cs="Arial" w:eastAsia="Arial" w:hAnsi="Arial"/>
                <w:sz w:val="23"/>
                <w:szCs w:val="23"/>
                <w:b w:val="1"/>
                <w:bCs w:val="1"/>
                <w:color w:val="FEFEFE"/>
                <w:vertAlign w:val="subscript"/>
              </w:rPr>
              <w:t>​​</w:t>
            </w:r>
          </w:p>
        </w:tc>
        <w:tc>
          <w:tcPr>
            <w:tcW w:w="40" w:type="dxa"/>
            <w:vAlign w:val="bottom"/>
          </w:tcPr>
          <w:p>
            <w:pPr>
              <w:spacing w:after="0"/>
              <w:rPr>
                <w:sz w:val="17"/>
                <w:szCs w:val="17"/>
                <w:color w:val="auto"/>
              </w:rPr>
            </w:pPr>
          </w:p>
        </w:tc>
        <w:tc>
          <w:tcPr>
            <w:tcW w:w="660" w:type="dxa"/>
            <w:vAlign w:val="bottom"/>
          </w:tcPr>
          <w:p>
            <w:pPr>
              <w:jc w:val="center"/>
              <w:ind w:right="11"/>
              <w:spacing w:after="0"/>
              <w:rPr>
                <w:sz w:val="20"/>
                <w:szCs w:val="20"/>
                <w:color w:val="auto"/>
              </w:rPr>
            </w:pPr>
            <w:r>
              <w:rPr>
                <w:rFonts w:ascii="Arial" w:cs="Arial" w:eastAsia="Arial" w:hAnsi="Arial"/>
                <w:sz w:val="13"/>
                <w:szCs w:val="13"/>
                <w:b w:val="1"/>
                <w:bCs w:val="1"/>
                <w:color w:val="FEFEFE"/>
              </w:rPr>
              <w:t>Since</w:t>
            </w:r>
          </w:p>
        </w:tc>
        <w:tc>
          <w:tcPr>
            <w:tcW w:w="1640" w:type="dxa"/>
            <w:vAlign w:val="bottom"/>
            <w:gridSpan w:val="4"/>
          </w:tcPr>
          <w:p>
            <w:pPr>
              <w:ind w:left="40"/>
              <w:spacing w:after="0" w:line="202" w:lineRule="exact"/>
              <w:rPr>
                <w:sz w:val="20"/>
                <w:szCs w:val="20"/>
                <w:color w:val="auto"/>
              </w:rPr>
            </w:pPr>
            <w:r>
              <w:rPr>
                <w:rFonts w:ascii="Arial" w:cs="Arial" w:eastAsia="Arial" w:hAnsi="Arial"/>
                <w:sz w:val="23"/>
                <w:szCs w:val="23"/>
                <w:b w:val="1"/>
                <w:bCs w:val="1"/>
                <w:color w:val="FEFEFE"/>
                <w:vertAlign w:val="subscript"/>
              </w:rPr>
              <w:t>​​</w:t>
            </w:r>
            <w:r>
              <w:rPr>
                <w:rFonts w:ascii="Arial" w:cs="Arial" w:eastAsia="Arial" w:hAnsi="Arial"/>
                <w:sz w:val="12"/>
                <w:szCs w:val="12"/>
                <w:b w:val="1"/>
                <w:bCs w:val="1"/>
                <w:color w:val="FEFEFE"/>
              </w:rPr>
              <w:t>Independent</w:t>
            </w:r>
            <w:r>
              <w:rPr>
                <w:rFonts w:ascii="Arial" w:cs="Arial" w:eastAsia="Arial" w:hAnsi="Arial"/>
                <w:sz w:val="23"/>
                <w:szCs w:val="23"/>
                <w:b w:val="1"/>
                <w:bCs w:val="1"/>
                <w:color w:val="FEFEFE"/>
                <w:vertAlign w:val="subscript"/>
              </w:rPr>
              <w:t>​​</w:t>
            </w:r>
            <w:r>
              <w:rPr>
                <w:rFonts w:ascii="Arial" w:cs="Arial" w:eastAsia="Arial" w:hAnsi="Arial"/>
                <w:sz w:val="12"/>
                <w:szCs w:val="12"/>
                <w:b w:val="1"/>
                <w:bCs w:val="1"/>
                <w:color w:val="FEFEFE"/>
              </w:rPr>
              <w:t xml:space="preserve"> Boards</w:t>
            </w:r>
          </w:p>
        </w:tc>
        <w:tc>
          <w:tcPr>
            <w:tcW w:w="580" w:type="dxa"/>
            <w:vAlign w:val="bottom"/>
            <w:gridSpan w:val="4"/>
          </w:tcPr>
          <w:p>
            <w:pPr>
              <w:ind w:left="40"/>
              <w:spacing w:after="0" w:line="202" w:lineRule="exact"/>
              <w:rPr>
                <w:sz w:val="20"/>
                <w:szCs w:val="20"/>
                <w:color w:val="auto"/>
              </w:rPr>
            </w:pPr>
            <w:r>
              <w:rPr>
                <w:rFonts w:ascii="Arial" w:cs="Arial" w:eastAsia="Arial" w:hAnsi="Arial"/>
                <w:sz w:val="23"/>
                <w:szCs w:val="23"/>
                <w:b w:val="1"/>
                <w:bCs w:val="1"/>
                <w:color w:val="FEFEFE"/>
                <w:vertAlign w:val="subscript"/>
              </w:rPr>
              <w:t>​</w:t>
            </w:r>
            <w:r>
              <w:rPr>
                <w:rFonts w:ascii="Arial" w:cs="Arial" w:eastAsia="Arial" w:hAnsi="Arial"/>
                <w:sz w:val="12"/>
                <w:szCs w:val="12"/>
                <w:b w:val="1"/>
                <w:bCs w:val="1"/>
                <w:color w:val="FEFEFE"/>
              </w:rPr>
              <w:t>​ Audit</w:t>
            </w:r>
          </w:p>
        </w:tc>
        <w:tc>
          <w:tcPr>
            <w:tcW w:w="1140" w:type="dxa"/>
            <w:vAlign w:val="bottom"/>
            <w:gridSpan w:val="4"/>
          </w:tcPr>
          <w:p>
            <w:pPr>
              <w:spacing w:after="0"/>
              <w:rPr>
                <w:sz w:val="20"/>
                <w:szCs w:val="20"/>
                <w:color w:val="auto"/>
              </w:rPr>
            </w:pPr>
            <w:r>
              <w:rPr>
                <w:rFonts w:ascii="Arial" w:cs="Arial" w:eastAsia="Arial" w:hAnsi="Arial"/>
                <w:sz w:val="13"/>
                <w:szCs w:val="13"/>
                <w:b w:val="1"/>
                <w:bCs w:val="1"/>
                <w:color w:val="FEFEFE"/>
              </w:rPr>
              <w:t>​​Compensation ​​</w:t>
            </w:r>
          </w:p>
        </w:tc>
        <w:tc>
          <w:tcPr>
            <w:tcW w:w="1120" w:type="dxa"/>
            <w:vAlign w:val="bottom"/>
            <w:gridSpan w:val="2"/>
          </w:tcPr>
          <w:p>
            <w:pPr>
              <w:ind w:left="80"/>
              <w:spacing w:after="0"/>
              <w:rPr>
                <w:sz w:val="20"/>
                <w:szCs w:val="20"/>
                <w:color w:val="auto"/>
              </w:rPr>
            </w:pPr>
            <w:r>
              <w:rPr>
                <w:rFonts w:ascii="Arial" w:cs="Arial" w:eastAsia="Arial" w:hAnsi="Arial"/>
                <w:sz w:val="13"/>
                <w:szCs w:val="13"/>
                <w:b w:val="1"/>
                <w:bCs w:val="1"/>
                <w:color w:val="FEFEFE"/>
              </w:rPr>
              <w:t>Governance</w:t>
            </w:r>
          </w:p>
        </w:tc>
        <w:tc>
          <w:tcPr>
            <w:tcW w:w="1000" w:type="dxa"/>
            <w:vAlign w:val="bottom"/>
            <w:gridSpan w:val="4"/>
          </w:tcPr>
          <w:p>
            <w:pPr>
              <w:spacing w:after="0"/>
              <w:rPr>
                <w:sz w:val="20"/>
                <w:szCs w:val="20"/>
                <w:color w:val="auto"/>
              </w:rPr>
            </w:pPr>
            <w:r>
              <w:rPr>
                <w:rFonts w:ascii="Arial" w:cs="Arial" w:eastAsia="Arial" w:hAnsi="Arial"/>
                <w:sz w:val="13"/>
                <w:szCs w:val="13"/>
                <w:b w:val="1"/>
                <w:bCs w:val="1"/>
                <w:color w:val="FEFEFE"/>
              </w:rPr>
              <w:t>​​&amp; Innovation ​</w:t>
            </w:r>
          </w:p>
        </w:tc>
        <w:tc>
          <w:tcPr>
            <w:tcW w:w="0" w:type="dxa"/>
            <w:vAlign w:val="bottom"/>
          </w:tcPr>
          <w:p>
            <w:pPr>
              <w:spacing w:after="0"/>
              <w:rPr>
                <w:sz w:val="1"/>
                <w:szCs w:val="1"/>
                <w:color w:val="auto"/>
              </w:rPr>
            </w:pPr>
          </w:p>
        </w:tc>
      </w:tr>
      <w:tr>
        <w:trPr>
          <w:trHeight w:val="193"/>
        </w:trPr>
        <w:tc>
          <w:tcPr>
            <w:tcW w:w="2320" w:type="dxa"/>
            <w:vAlign w:val="bottom"/>
            <w:gridSpan w:val="4"/>
          </w:tcPr>
          <w:p>
            <w:pPr>
              <w:ind w:left="740"/>
              <w:spacing w:after="0"/>
              <w:rPr>
                <w:sz w:val="20"/>
                <w:szCs w:val="20"/>
                <w:color w:val="auto"/>
              </w:rPr>
            </w:pPr>
            <w:r>
              <w:rPr>
                <w:rFonts w:ascii="Arial" w:cs="Arial" w:eastAsia="Arial" w:hAnsi="Arial"/>
                <w:sz w:val="14"/>
                <w:szCs w:val="14"/>
                <w:b w:val="1"/>
                <w:bCs w:val="1"/>
                <w:color w:val="auto"/>
              </w:rPr>
              <w:t>R. Stewart Ewing, Jr.</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Borders>
              <w:right w:val="single" w:sz="8" w:color="F2F2F2"/>
            </w:tcBorders>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280" w:type="dxa"/>
            <w:vAlign w:val="bottom"/>
            <w:tcBorders>
              <w:right w:val="single" w:sz="8" w:color="F2F2F2"/>
            </w:tcBorders>
            <w:shd w:val="clear" w:color="auto" w:fill="F2F2F2"/>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360" w:type="dxa"/>
            <w:vAlign w:val="bottom"/>
            <w:shd w:val="clear" w:color="auto" w:fill="F2F2F2"/>
          </w:tcPr>
          <w:p>
            <w:pPr>
              <w:spacing w:after="0"/>
              <w:rPr>
                <w:sz w:val="16"/>
                <w:szCs w:val="16"/>
                <w:color w:val="auto"/>
              </w:rPr>
            </w:pPr>
          </w:p>
        </w:tc>
        <w:tc>
          <w:tcPr>
            <w:tcW w:w="760" w:type="dxa"/>
            <w:vAlign w:val="bottom"/>
            <w:tcBorders>
              <w:right w:val="single" w:sz="8" w:color="F2F2F2"/>
            </w:tcBorders>
            <w:shd w:val="clear" w:color="auto" w:fill="F2F2F2"/>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840" w:type="dxa"/>
            <w:vAlign w:val="bottom"/>
            <w:gridSpan w:val="2"/>
          </w:tcPr>
          <w:p>
            <w:pPr>
              <w:ind w:left="740"/>
              <w:spacing w:after="0" w:line="158" w:lineRule="exact"/>
              <w:rPr>
                <w:sz w:val="20"/>
                <w:szCs w:val="20"/>
                <w:color w:val="auto"/>
              </w:rPr>
            </w:pPr>
            <w:r>
              <w:rPr>
                <w:rFonts w:ascii="Arial" w:cs="Arial" w:eastAsia="Arial" w:hAnsi="Arial"/>
                <w:sz w:val="14"/>
                <w:szCs w:val="14"/>
                <w:color w:val="auto"/>
              </w:rPr>
              <w:t>Chief Financial</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jc w:val="center"/>
              <w:ind w:right="51"/>
              <w:spacing w:after="0" w:line="158" w:lineRule="exact"/>
              <w:rPr>
                <w:sz w:val="20"/>
                <w:szCs w:val="20"/>
                <w:color w:val="auto"/>
              </w:rPr>
            </w:pPr>
            <w:r>
              <w:rPr>
                <w:rFonts w:ascii="Arial" w:cs="Arial" w:eastAsia="Arial" w:hAnsi="Arial"/>
                <w:sz w:val="14"/>
                <w:szCs w:val="14"/>
                <w:color w:val="auto"/>
              </w:rPr>
              <w:t>March</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Borders>
              <w:right w:val="single" w:sz="8" w:color="F2F2F2"/>
            </w:tcBorders>
          </w:tcPr>
          <w:p>
            <w:pPr>
              <w:spacing w:after="0"/>
              <w:rPr>
                <w:sz w:val="13"/>
                <w:szCs w:val="13"/>
                <w:color w:val="auto"/>
              </w:rPr>
            </w:pPr>
          </w:p>
        </w:tc>
        <w:tc>
          <w:tcPr>
            <w:tcW w:w="80" w:type="dxa"/>
            <w:vAlign w:val="bottom"/>
            <w:shd w:val="clear" w:color="auto" w:fill="F2F2F2"/>
          </w:tcPr>
          <w:p>
            <w:pPr>
              <w:spacing w:after="0"/>
              <w:rPr>
                <w:sz w:val="13"/>
                <w:szCs w:val="13"/>
                <w:color w:val="auto"/>
              </w:rPr>
            </w:pPr>
          </w:p>
        </w:tc>
        <w:tc>
          <w:tcPr>
            <w:tcW w:w="160" w:type="dxa"/>
            <w:vAlign w:val="bottom"/>
            <w:shd w:val="clear" w:color="auto" w:fill="F2F2F2"/>
          </w:tcPr>
          <w:p>
            <w:pPr>
              <w:spacing w:after="0"/>
              <w:rPr>
                <w:sz w:val="13"/>
                <w:szCs w:val="13"/>
                <w:color w:val="auto"/>
              </w:rPr>
            </w:pPr>
          </w:p>
        </w:tc>
        <w:tc>
          <w:tcPr>
            <w:tcW w:w="280" w:type="dxa"/>
            <w:vAlign w:val="bottom"/>
            <w:tcBorders>
              <w:right w:val="single" w:sz="8" w:color="F2F2F2"/>
            </w:tcBorders>
            <w:shd w:val="clear" w:color="auto" w:fill="F2F2F2"/>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shd w:val="clear" w:color="auto" w:fill="F2F2F2"/>
          </w:tcPr>
          <w:p>
            <w:pPr>
              <w:spacing w:after="0"/>
              <w:rPr>
                <w:sz w:val="13"/>
                <w:szCs w:val="13"/>
                <w:color w:val="auto"/>
              </w:rPr>
            </w:pPr>
          </w:p>
        </w:tc>
        <w:tc>
          <w:tcPr>
            <w:tcW w:w="360" w:type="dxa"/>
            <w:vAlign w:val="bottom"/>
            <w:shd w:val="clear" w:color="auto" w:fill="F2F2F2"/>
          </w:tcPr>
          <w:p>
            <w:pPr>
              <w:spacing w:after="0"/>
              <w:rPr>
                <w:sz w:val="13"/>
                <w:szCs w:val="13"/>
                <w:color w:val="auto"/>
              </w:rPr>
            </w:pPr>
          </w:p>
        </w:tc>
        <w:tc>
          <w:tcPr>
            <w:tcW w:w="760" w:type="dxa"/>
            <w:vAlign w:val="bottom"/>
            <w:tcBorders>
              <w:right w:val="single" w:sz="8" w:color="F2F2F2"/>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320" w:type="dxa"/>
            <w:vAlign w:val="bottom"/>
            <w:gridSpan w:val="4"/>
          </w:tcPr>
          <w:p>
            <w:pPr>
              <w:ind w:left="700"/>
              <w:spacing w:after="0" w:line="166"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Officer, InterMountain</w:t>
            </w:r>
          </w:p>
        </w:tc>
        <w:tc>
          <w:tcPr>
            <w:tcW w:w="300" w:type="dxa"/>
            <w:vAlign w:val="bottom"/>
          </w:tcPr>
          <w:p>
            <w:pPr>
              <w:ind w:left="40"/>
              <w:spacing w:after="0"/>
              <w:rPr>
                <w:sz w:val="20"/>
                <w:szCs w:val="20"/>
                <w:color w:val="auto"/>
              </w:rPr>
            </w:pPr>
            <w:r>
              <w:rPr>
                <w:rFonts w:ascii="Arial" w:cs="Arial" w:eastAsia="Arial" w:hAnsi="Arial"/>
                <w:sz w:val="14"/>
                <w:szCs w:val="14"/>
                <w:color w:val="auto"/>
              </w:rPr>
              <w:t>​73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2020</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0" w:type="dxa"/>
            <w:vAlign w:val="bottom"/>
            <w:tcBorders>
              <w:right w:val="single" w:sz="8" w:color="F2F2F2"/>
            </w:tcBorders>
          </w:tcPr>
          <w:p>
            <w:pPr>
              <w:spacing w:after="0"/>
              <w:rPr>
                <w:sz w:val="14"/>
                <w:szCs w:val="14"/>
                <w:color w:val="auto"/>
              </w:rPr>
            </w:pPr>
          </w:p>
        </w:tc>
        <w:tc>
          <w:tcPr>
            <w:tcW w:w="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right w:val="single" w:sz="8" w:color="F2F2F2"/>
            </w:tcBorders>
            <w:gridSpan w:val="2"/>
            <w:shd w:val="clear" w:color="auto" w:fill="F2F2F2"/>
          </w:tcPr>
          <w:p>
            <w:pPr>
              <w:ind w:left="14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tcPr>
          <w:p>
            <w:pPr>
              <w:ind w:lef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F2F2F2"/>
          </w:tcPr>
          <w:p>
            <w:pPr>
              <w:spacing w:after="0"/>
              <w:rPr>
                <w:sz w:val="14"/>
                <w:szCs w:val="14"/>
                <w:color w:val="auto"/>
              </w:rPr>
            </w:pPr>
          </w:p>
        </w:tc>
        <w:tc>
          <w:tcPr>
            <w:tcW w:w="760" w:type="dxa"/>
            <w:vAlign w:val="bottom"/>
            <w:tcBorders>
              <w:right w:val="single" w:sz="8" w:color="F2F2F2"/>
            </w:tcBorders>
            <w:shd w:val="clear" w:color="auto" w:fill="F2F2F2"/>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tcPr>
          <w:p>
            <w:pPr>
              <w:ind w:left="140"/>
              <w:spacing w:after="0"/>
              <w:rPr>
                <w:sz w:val="20"/>
                <w:szCs w:val="20"/>
                <w:color w:val="auto"/>
              </w:rPr>
            </w:pPr>
            <w:r>
              <w:rPr>
                <w:rFonts w:ascii="Arial" w:cs="Arial" w:eastAsia="Arial" w:hAnsi="Arial"/>
                <w:sz w:val="14"/>
                <w:szCs w:val="14"/>
                <w:color w:val="auto"/>
              </w:rPr>
              <w:t>​</w:t>
            </w:r>
          </w:p>
        </w:tc>
        <w:tc>
          <w:tcPr>
            <w:tcW w:w="1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840" w:type="dxa"/>
            <w:vAlign w:val="bottom"/>
            <w:gridSpan w:val="2"/>
          </w:tcPr>
          <w:p>
            <w:pPr>
              <w:ind w:left="740"/>
              <w:spacing w:after="0"/>
              <w:rPr>
                <w:sz w:val="20"/>
                <w:szCs w:val="20"/>
                <w:color w:val="auto"/>
              </w:rPr>
            </w:pPr>
            <w:r>
              <w:rPr>
                <w:rFonts w:ascii="Arial" w:cs="Arial" w:eastAsia="Arial" w:hAnsi="Arial"/>
                <w:sz w:val="14"/>
                <w:szCs w:val="14"/>
                <w:color w:val="auto"/>
              </w:rPr>
              <w:t>Management</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Borders>
              <w:right w:val="single" w:sz="8" w:color="F2F2F2"/>
            </w:tcBorders>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280" w:type="dxa"/>
            <w:vAlign w:val="bottom"/>
            <w:tcBorders>
              <w:right w:val="single" w:sz="8" w:color="F2F2F2"/>
            </w:tcBorders>
            <w:shd w:val="clear" w:color="auto" w:fill="F2F2F2"/>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360" w:type="dxa"/>
            <w:vAlign w:val="bottom"/>
            <w:shd w:val="clear" w:color="auto" w:fill="F2F2F2"/>
          </w:tcPr>
          <w:p>
            <w:pPr>
              <w:spacing w:after="0"/>
              <w:rPr>
                <w:sz w:val="16"/>
                <w:szCs w:val="16"/>
                <w:color w:val="auto"/>
              </w:rPr>
            </w:pPr>
          </w:p>
        </w:tc>
        <w:tc>
          <w:tcPr>
            <w:tcW w:w="760" w:type="dxa"/>
            <w:vAlign w:val="bottom"/>
            <w:tcBorders>
              <w:right w:val="single" w:sz="8" w:color="F2F2F2"/>
            </w:tcBorders>
            <w:shd w:val="clear" w:color="auto" w:fill="F2F2F2"/>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320" w:type="dxa"/>
            <w:vAlign w:val="bottom"/>
            <w:tcBorders>
              <w:bottom w:val="single" w:sz="8" w:color="E7417A"/>
            </w:tcBorders>
            <w:gridSpan w:val="4"/>
          </w:tcPr>
          <w:p>
            <w:pPr>
              <w:spacing w:after="0"/>
              <w:rPr>
                <w:sz w:val="7"/>
                <w:szCs w:val="7"/>
                <w:color w:val="auto"/>
              </w:rPr>
            </w:pPr>
          </w:p>
        </w:tc>
        <w:tc>
          <w:tcPr>
            <w:tcW w:w="300" w:type="dxa"/>
            <w:vAlign w:val="bottom"/>
            <w:tcBorders>
              <w:bottom w:val="single" w:sz="8" w:color="E7417A"/>
            </w:tcBorders>
          </w:tcPr>
          <w:p>
            <w:pPr>
              <w:spacing w:after="0"/>
              <w:rPr>
                <w:sz w:val="7"/>
                <w:szCs w:val="7"/>
                <w:color w:val="auto"/>
              </w:rPr>
            </w:pPr>
          </w:p>
        </w:tc>
        <w:tc>
          <w:tcPr>
            <w:tcW w:w="100" w:type="dxa"/>
            <w:vAlign w:val="bottom"/>
            <w:tcBorders>
              <w:bottom w:val="single" w:sz="8" w:color="E7417A"/>
            </w:tcBorders>
          </w:tcPr>
          <w:p>
            <w:pPr>
              <w:spacing w:after="0"/>
              <w:rPr>
                <w:sz w:val="7"/>
                <w:szCs w:val="7"/>
                <w:color w:val="auto"/>
              </w:rPr>
            </w:pPr>
          </w:p>
        </w:tc>
        <w:tc>
          <w:tcPr>
            <w:tcW w:w="40" w:type="dxa"/>
            <w:vAlign w:val="bottom"/>
            <w:tcBorders>
              <w:bottom w:val="single" w:sz="8" w:color="E7417A"/>
            </w:tcBorders>
          </w:tcPr>
          <w:p>
            <w:pPr>
              <w:spacing w:after="0"/>
              <w:rPr>
                <w:sz w:val="7"/>
                <w:szCs w:val="7"/>
                <w:color w:val="auto"/>
              </w:rPr>
            </w:pPr>
          </w:p>
        </w:tc>
        <w:tc>
          <w:tcPr>
            <w:tcW w:w="660" w:type="dxa"/>
            <w:vAlign w:val="bottom"/>
            <w:tcBorders>
              <w:bottom w:val="single" w:sz="8" w:color="E7417A"/>
            </w:tcBorders>
          </w:tcPr>
          <w:p>
            <w:pPr>
              <w:spacing w:after="0"/>
              <w:rPr>
                <w:sz w:val="7"/>
                <w:szCs w:val="7"/>
                <w:color w:val="auto"/>
              </w:rPr>
            </w:pPr>
          </w:p>
        </w:tc>
        <w:tc>
          <w:tcPr>
            <w:tcW w:w="140" w:type="dxa"/>
            <w:vAlign w:val="bottom"/>
            <w:tcBorders>
              <w:bottom w:val="single" w:sz="8" w:color="E7417A"/>
            </w:tcBorders>
          </w:tcPr>
          <w:p>
            <w:pPr>
              <w:spacing w:after="0"/>
              <w:rPr>
                <w:sz w:val="7"/>
                <w:szCs w:val="7"/>
                <w:color w:val="auto"/>
              </w:rPr>
            </w:pPr>
          </w:p>
        </w:tc>
        <w:tc>
          <w:tcPr>
            <w:tcW w:w="600" w:type="dxa"/>
            <w:vAlign w:val="bottom"/>
            <w:tcBorders>
              <w:bottom w:val="single" w:sz="8" w:color="E7417A"/>
            </w:tcBorders>
          </w:tcPr>
          <w:p>
            <w:pPr>
              <w:spacing w:after="0"/>
              <w:rPr>
                <w:sz w:val="7"/>
                <w:szCs w:val="7"/>
                <w:color w:val="auto"/>
              </w:rPr>
            </w:pPr>
          </w:p>
        </w:tc>
        <w:tc>
          <w:tcPr>
            <w:tcW w:w="340" w:type="dxa"/>
            <w:vAlign w:val="bottom"/>
            <w:tcBorders>
              <w:bottom w:val="single" w:sz="8" w:color="E7417A"/>
            </w:tcBorders>
          </w:tcPr>
          <w:p>
            <w:pPr>
              <w:spacing w:after="0"/>
              <w:rPr>
                <w:sz w:val="7"/>
                <w:szCs w:val="7"/>
                <w:color w:val="auto"/>
              </w:rPr>
            </w:pPr>
          </w:p>
        </w:tc>
        <w:tc>
          <w:tcPr>
            <w:tcW w:w="560" w:type="dxa"/>
            <w:vAlign w:val="bottom"/>
            <w:tcBorders>
              <w:bottom w:val="single" w:sz="8" w:color="E7417A"/>
            </w:tcBorders>
          </w:tcPr>
          <w:p>
            <w:pPr>
              <w:spacing w:after="0"/>
              <w:rPr>
                <w:sz w:val="7"/>
                <w:szCs w:val="7"/>
                <w:color w:val="auto"/>
              </w:rPr>
            </w:pPr>
          </w:p>
        </w:tc>
        <w:tc>
          <w:tcPr>
            <w:tcW w:w="60" w:type="dxa"/>
            <w:vAlign w:val="bottom"/>
            <w:tcBorders>
              <w:bottom w:val="single" w:sz="8" w:color="E7417A"/>
              <w:right w:val="single" w:sz="8" w:color="F2F2F2"/>
            </w:tcBorders>
          </w:tcPr>
          <w:p>
            <w:pPr>
              <w:spacing w:after="0"/>
              <w:rPr>
                <w:sz w:val="7"/>
                <w:szCs w:val="7"/>
                <w:color w:val="auto"/>
              </w:rPr>
            </w:pPr>
          </w:p>
        </w:tc>
        <w:tc>
          <w:tcPr>
            <w:tcW w:w="80" w:type="dxa"/>
            <w:vAlign w:val="bottom"/>
            <w:tcBorders>
              <w:bottom w:val="single" w:sz="8" w:color="E7417A"/>
            </w:tcBorders>
            <w:shd w:val="clear" w:color="auto" w:fill="F2F2F2"/>
          </w:tcPr>
          <w:p>
            <w:pPr>
              <w:spacing w:after="0"/>
              <w:rPr>
                <w:sz w:val="7"/>
                <w:szCs w:val="7"/>
                <w:color w:val="auto"/>
              </w:rPr>
            </w:pPr>
          </w:p>
        </w:tc>
        <w:tc>
          <w:tcPr>
            <w:tcW w:w="160" w:type="dxa"/>
            <w:vAlign w:val="bottom"/>
            <w:tcBorders>
              <w:bottom w:val="single" w:sz="8" w:color="E7417A"/>
            </w:tcBorders>
            <w:shd w:val="clear" w:color="auto" w:fill="F2F2F2"/>
          </w:tcPr>
          <w:p>
            <w:pPr>
              <w:spacing w:after="0"/>
              <w:rPr>
                <w:sz w:val="7"/>
                <w:szCs w:val="7"/>
                <w:color w:val="auto"/>
              </w:rPr>
            </w:pPr>
          </w:p>
        </w:tc>
        <w:tc>
          <w:tcPr>
            <w:tcW w:w="280" w:type="dxa"/>
            <w:vAlign w:val="bottom"/>
            <w:tcBorders>
              <w:bottom w:val="single" w:sz="8" w:color="E7417A"/>
              <w:right w:val="single" w:sz="8" w:color="F2F2F2"/>
            </w:tcBorders>
            <w:shd w:val="clear" w:color="auto" w:fill="F2F2F2"/>
          </w:tcPr>
          <w:p>
            <w:pPr>
              <w:spacing w:after="0"/>
              <w:rPr>
                <w:sz w:val="7"/>
                <w:szCs w:val="7"/>
                <w:color w:val="auto"/>
              </w:rPr>
            </w:pPr>
          </w:p>
        </w:tc>
        <w:tc>
          <w:tcPr>
            <w:tcW w:w="120" w:type="dxa"/>
            <w:vAlign w:val="bottom"/>
            <w:tcBorders>
              <w:bottom w:val="single" w:sz="8" w:color="E7417A"/>
            </w:tcBorders>
          </w:tcPr>
          <w:p>
            <w:pPr>
              <w:spacing w:after="0"/>
              <w:rPr>
                <w:sz w:val="7"/>
                <w:szCs w:val="7"/>
                <w:color w:val="auto"/>
              </w:rPr>
            </w:pPr>
          </w:p>
        </w:tc>
        <w:tc>
          <w:tcPr>
            <w:tcW w:w="880" w:type="dxa"/>
            <w:vAlign w:val="bottom"/>
            <w:tcBorders>
              <w:bottom w:val="single" w:sz="8" w:color="E7417A"/>
            </w:tcBorders>
          </w:tcPr>
          <w:p>
            <w:pPr>
              <w:spacing w:after="0"/>
              <w:rPr>
                <w:sz w:val="7"/>
                <w:szCs w:val="7"/>
                <w:color w:val="auto"/>
              </w:rPr>
            </w:pPr>
          </w:p>
        </w:tc>
        <w:tc>
          <w:tcPr>
            <w:tcW w:w="40" w:type="dxa"/>
            <w:vAlign w:val="bottom"/>
            <w:tcBorders>
              <w:bottom w:val="single" w:sz="8" w:color="E7417A"/>
            </w:tcBorders>
          </w:tcPr>
          <w:p>
            <w:pPr>
              <w:spacing w:after="0"/>
              <w:rPr>
                <w:sz w:val="7"/>
                <w:szCs w:val="7"/>
                <w:color w:val="auto"/>
              </w:rPr>
            </w:pPr>
          </w:p>
        </w:tc>
        <w:tc>
          <w:tcPr>
            <w:tcW w:w="100" w:type="dxa"/>
            <w:vAlign w:val="bottom"/>
            <w:tcBorders>
              <w:bottom w:val="single" w:sz="8" w:color="E7417A"/>
            </w:tcBorders>
            <w:shd w:val="clear" w:color="auto" w:fill="F2F2F2"/>
          </w:tcPr>
          <w:p>
            <w:pPr>
              <w:spacing w:after="0"/>
              <w:rPr>
                <w:sz w:val="7"/>
                <w:szCs w:val="7"/>
                <w:color w:val="auto"/>
              </w:rPr>
            </w:pPr>
          </w:p>
        </w:tc>
        <w:tc>
          <w:tcPr>
            <w:tcW w:w="360" w:type="dxa"/>
            <w:vAlign w:val="bottom"/>
            <w:tcBorders>
              <w:bottom w:val="single" w:sz="8" w:color="E7417A"/>
            </w:tcBorders>
            <w:shd w:val="clear" w:color="auto" w:fill="F2F2F2"/>
          </w:tcPr>
          <w:p>
            <w:pPr>
              <w:spacing w:after="0"/>
              <w:rPr>
                <w:sz w:val="7"/>
                <w:szCs w:val="7"/>
                <w:color w:val="auto"/>
              </w:rPr>
            </w:pPr>
          </w:p>
        </w:tc>
        <w:tc>
          <w:tcPr>
            <w:tcW w:w="760" w:type="dxa"/>
            <w:vAlign w:val="bottom"/>
            <w:tcBorders>
              <w:bottom w:val="single" w:sz="8" w:color="E7417A"/>
              <w:right w:val="single" w:sz="8" w:color="F2F2F2"/>
            </w:tcBorders>
            <w:shd w:val="clear" w:color="auto" w:fill="F2F2F2"/>
          </w:tcPr>
          <w:p>
            <w:pPr>
              <w:spacing w:after="0"/>
              <w:rPr>
                <w:sz w:val="7"/>
                <w:szCs w:val="7"/>
                <w:color w:val="auto"/>
              </w:rPr>
            </w:pPr>
          </w:p>
        </w:tc>
        <w:tc>
          <w:tcPr>
            <w:tcW w:w="320" w:type="dxa"/>
            <w:vAlign w:val="bottom"/>
            <w:tcBorders>
              <w:bottom w:val="single" w:sz="8" w:color="E7417A"/>
            </w:tcBorders>
          </w:tcPr>
          <w:p>
            <w:pPr>
              <w:spacing w:after="0"/>
              <w:rPr>
                <w:sz w:val="7"/>
                <w:szCs w:val="7"/>
                <w:color w:val="auto"/>
              </w:rPr>
            </w:pPr>
          </w:p>
        </w:tc>
        <w:tc>
          <w:tcPr>
            <w:tcW w:w="580" w:type="dxa"/>
            <w:vAlign w:val="bottom"/>
            <w:tcBorders>
              <w:bottom w:val="single" w:sz="8" w:color="E7417A"/>
            </w:tcBorders>
          </w:tcPr>
          <w:p>
            <w:pPr>
              <w:spacing w:after="0"/>
              <w:rPr>
                <w:sz w:val="7"/>
                <w:szCs w:val="7"/>
                <w:color w:val="auto"/>
              </w:rPr>
            </w:pPr>
          </w:p>
        </w:tc>
        <w:tc>
          <w:tcPr>
            <w:tcW w:w="60" w:type="dxa"/>
            <w:vAlign w:val="bottom"/>
            <w:tcBorders>
              <w:bottom w:val="single" w:sz="8" w:color="E7417A"/>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320" w:type="dxa"/>
            <w:vAlign w:val="bottom"/>
            <w:gridSpan w:val="4"/>
          </w:tcPr>
          <w:p>
            <w:pPr>
              <w:ind w:left="740"/>
              <w:spacing w:after="0"/>
              <w:rPr>
                <w:sz w:val="20"/>
                <w:szCs w:val="20"/>
                <w:color w:val="auto"/>
              </w:rPr>
            </w:pPr>
            <w:r>
              <w:rPr>
                <w:rFonts w:ascii="Arial" w:cs="Arial" w:eastAsia="Arial" w:hAnsi="Arial"/>
                <w:sz w:val="14"/>
                <w:szCs w:val="14"/>
                <w:b w:val="1"/>
                <w:bCs w:val="1"/>
                <w:color w:val="auto"/>
              </w:rPr>
              <w:t>Bruns H. Grayson</w:t>
            </w:r>
            <w:r>
              <w:rPr>
                <w:rFonts w:ascii="Arial" w:cs="Arial" w:eastAsia="Arial" w:hAnsi="Arial"/>
                <w:sz w:val="14"/>
                <w:szCs w:val="14"/>
                <w:color w:val="auto"/>
              </w:rPr>
              <w:t xml:space="preserve"> </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vMerge w:val="restart"/>
          </w:tcPr>
          <w:p>
            <w:pPr>
              <w:jc w:val="center"/>
              <w:ind w:right="51"/>
              <w:spacing w:after="0"/>
              <w:rPr>
                <w:sz w:val="20"/>
                <w:szCs w:val="20"/>
                <w:color w:val="auto"/>
              </w:rPr>
            </w:pPr>
            <w:r>
              <w:rPr>
                <w:rFonts w:ascii="Arial" w:cs="Arial" w:eastAsia="Arial" w:hAnsi="Arial"/>
                <w:sz w:val="14"/>
                <w:szCs w:val="14"/>
                <w:color w:val="auto"/>
              </w:rPr>
              <w:t>October</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40" w:type="dxa"/>
            <w:vAlign w:val="bottom"/>
          </w:tcPr>
          <w:p>
            <w:pPr>
              <w:ind w:left="70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4"/>
                <w:szCs w:val="14"/>
                <w:color w:val="auto"/>
              </w:rPr>
              <w:t>​77</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8"/>
                <w:szCs w:val="18"/>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tcPr>
          <w:p>
            <w:pPr>
              <w:ind w:left="140"/>
              <w:spacing w:after="0"/>
              <w:rPr>
                <w:sz w:val="20"/>
                <w:szCs w:val="20"/>
                <w:color w:val="auto"/>
              </w:rPr>
            </w:pPr>
            <w:r>
              <w:rPr>
                <w:rFonts w:ascii="Arial" w:cs="Arial" w:eastAsia="Arial" w:hAnsi="Arial"/>
                <w:sz w:val="14"/>
                <w:szCs w:val="14"/>
                <w:color w:val="auto"/>
              </w:rPr>
              <w:t>​</w:t>
            </w:r>
          </w:p>
        </w:tc>
        <w:tc>
          <w:tcPr>
            <w:tcW w:w="1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40" w:type="dxa"/>
            <w:vAlign w:val="bottom"/>
            <w:gridSpan w:val="3"/>
          </w:tcPr>
          <w:p>
            <w:pPr>
              <w:ind w:left="740"/>
              <w:spacing w:after="0"/>
              <w:rPr>
                <w:sz w:val="20"/>
                <w:szCs w:val="20"/>
                <w:color w:val="auto"/>
              </w:rPr>
            </w:pPr>
            <w:r>
              <w:rPr>
                <w:rFonts w:ascii="Arial" w:cs="Arial" w:eastAsia="Arial" w:hAnsi="Arial"/>
                <w:sz w:val="14"/>
                <w:szCs w:val="14"/>
                <w:color w:val="auto"/>
              </w:rPr>
              <w:t>Managing Partner,</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rPr>
              <w:t>2017</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840" w:type="dxa"/>
            <w:vAlign w:val="bottom"/>
            <w:tcBorders>
              <w:bottom w:val="single" w:sz="8" w:color="E7417A"/>
            </w:tcBorders>
            <w:gridSpan w:val="2"/>
          </w:tcPr>
          <w:p>
            <w:pPr>
              <w:ind w:left="740"/>
              <w:spacing w:after="0"/>
              <w:rPr>
                <w:sz w:val="20"/>
                <w:szCs w:val="20"/>
                <w:color w:val="auto"/>
              </w:rPr>
            </w:pPr>
            <w:r>
              <w:rPr>
                <w:rFonts w:ascii="Arial" w:cs="Arial" w:eastAsia="Arial" w:hAnsi="Arial"/>
                <w:sz w:val="14"/>
                <w:szCs w:val="14"/>
                <w:color w:val="auto"/>
              </w:rPr>
              <w:t>ABS Ventures</w:t>
            </w:r>
          </w:p>
        </w:tc>
        <w:tc>
          <w:tcPr>
            <w:tcW w:w="200" w:type="dxa"/>
            <w:vAlign w:val="bottom"/>
            <w:tcBorders>
              <w:bottom w:val="single" w:sz="8" w:color="E7417A"/>
            </w:tcBorders>
          </w:tcPr>
          <w:p>
            <w:pPr>
              <w:spacing w:after="0"/>
              <w:rPr>
                <w:sz w:val="16"/>
                <w:szCs w:val="16"/>
                <w:color w:val="auto"/>
              </w:rPr>
            </w:pPr>
          </w:p>
        </w:tc>
        <w:tc>
          <w:tcPr>
            <w:tcW w:w="280" w:type="dxa"/>
            <w:vAlign w:val="bottom"/>
            <w:tcBorders>
              <w:bottom w:val="single" w:sz="8" w:color="E7417A"/>
            </w:tcBorders>
          </w:tcPr>
          <w:p>
            <w:pPr>
              <w:spacing w:after="0"/>
              <w:rPr>
                <w:sz w:val="16"/>
                <w:szCs w:val="16"/>
                <w:color w:val="auto"/>
              </w:rPr>
            </w:pPr>
          </w:p>
        </w:tc>
        <w:tc>
          <w:tcPr>
            <w:tcW w:w="300" w:type="dxa"/>
            <w:vAlign w:val="bottom"/>
            <w:tcBorders>
              <w:bottom w:val="single" w:sz="8" w:color="E7417A"/>
            </w:tcBorders>
          </w:tcPr>
          <w:p>
            <w:pPr>
              <w:spacing w:after="0"/>
              <w:rPr>
                <w:sz w:val="16"/>
                <w:szCs w:val="16"/>
                <w:color w:val="auto"/>
              </w:rPr>
            </w:pPr>
          </w:p>
        </w:tc>
        <w:tc>
          <w:tcPr>
            <w:tcW w:w="100" w:type="dxa"/>
            <w:vAlign w:val="bottom"/>
            <w:tcBorders>
              <w:bottom w:val="single" w:sz="8" w:color="E7417A"/>
            </w:tcBorders>
          </w:tcPr>
          <w:p>
            <w:pPr>
              <w:spacing w:after="0"/>
              <w:rPr>
                <w:sz w:val="16"/>
                <w:szCs w:val="16"/>
                <w:color w:val="auto"/>
              </w:rPr>
            </w:pPr>
          </w:p>
        </w:tc>
        <w:tc>
          <w:tcPr>
            <w:tcW w:w="40" w:type="dxa"/>
            <w:vAlign w:val="bottom"/>
            <w:tcBorders>
              <w:bottom w:val="single" w:sz="8" w:color="E7417A"/>
            </w:tcBorders>
          </w:tcPr>
          <w:p>
            <w:pPr>
              <w:spacing w:after="0"/>
              <w:rPr>
                <w:sz w:val="16"/>
                <w:szCs w:val="16"/>
                <w:color w:val="auto"/>
              </w:rPr>
            </w:pPr>
          </w:p>
        </w:tc>
        <w:tc>
          <w:tcPr>
            <w:tcW w:w="660" w:type="dxa"/>
            <w:vAlign w:val="bottom"/>
            <w:tcBorders>
              <w:bottom w:val="single" w:sz="8" w:color="E7417A"/>
            </w:tcBorders>
          </w:tcPr>
          <w:p>
            <w:pPr>
              <w:spacing w:after="0"/>
              <w:rPr>
                <w:sz w:val="16"/>
                <w:szCs w:val="16"/>
                <w:color w:val="auto"/>
              </w:rPr>
            </w:pPr>
          </w:p>
        </w:tc>
        <w:tc>
          <w:tcPr>
            <w:tcW w:w="140" w:type="dxa"/>
            <w:vAlign w:val="bottom"/>
            <w:tcBorders>
              <w:bottom w:val="single" w:sz="8" w:color="E7417A"/>
            </w:tcBorders>
          </w:tcPr>
          <w:p>
            <w:pPr>
              <w:spacing w:after="0"/>
              <w:rPr>
                <w:sz w:val="16"/>
                <w:szCs w:val="16"/>
                <w:color w:val="auto"/>
              </w:rPr>
            </w:pPr>
          </w:p>
        </w:tc>
        <w:tc>
          <w:tcPr>
            <w:tcW w:w="600" w:type="dxa"/>
            <w:vAlign w:val="bottom"/>
            <w:tcBorders>
              <w:bottom w:val="single" w:sz="8" w:color="E7417A"/>
            </w:tcBorders>
          </w:tcPr>
          <w:p>
            <w:pPr>
              <w:spacing w:after="0"/>
              <w:rPr>
                <w:sz w:val="16"/>
                <w:szCs w:val="16"/>
                <w:color w:val="auto"/>
              </w:rPr>
            </w:pPr>
          </w:p>
        </w:tc>
        <w:tc>
          <w:tcPr>
            <w:tcW w:w="340" w:type="dxa"/>
            <w:vAlign w:val="bottom"/>
            <w:tcBorders>
              <w:bottom w:val="single" w:sz="8" w:color="E7417A"/>
            </w:tcBorders>
          </w:tcPr>
          <w:p>
            <w:pPr>
              <w:spacing w:after="0"/>
              <w:rPr>
                <w:sz w:val="16"/>
                <w:szCs w:val="16"/>
                <w:color w:val="auto"/>
              </w:rPr>
            </w:pPr>
          </w:p>
        </w:tc>
        <w:tc>
          <w:tcPr>
            <w:tcW w:w="560" w:type="dxa"/>
            <w:vAlign w:val="bottom"/>
            <w:tcBorders>
              <w:bottom w:val="single" w:sz="8" w:color="E7417A"/>
            </w:tcBorders>
          </w:tcPr>
          <w:p>
            <w:pPr>
              <w:spacing w:after="0"/>
              <w:rPr>
                <w:sz w:val="16"/>
                <w:szCs w:val="16"/>
                <w:color w:val="auto"/>
              </w:rPr>
            </w:pPr>
          </w:p>
        </w:tc>
        <w:tc>
          <w:tcPr>
            <w:tcW w:w="60" w:type="dxa"/>
            <w:vAlign w:val="bottom"/>
            <w:tcBorders>
              <w:bottom w:val="single" w:sz="8" w:color="E7417A"/>
            </w:tcBorders>
          </w:tcPr>
          <w:p>
            <w:pPr>
              <w:spacing w:after="0"/>
              <w:rPr>
                <w:sz w:val="16"/>
                <w:szCs w:val="16"/>
                <w:color w:val="auto"/>
              </w:rPr>
            </w:pPr>
          </w:p>
        </w:tc>
        <w:tc>
          <w:tcPr>
            <w:tcW w:w="80" w:type="dxa"/>
            <w:vAlign w:val="bottom"/>
            <w:tcBorders>
              <w:bottom w:val="single" w:sz="8" w:color="E7417A"/>
            </w:tcBorders>
          </w:tcPr>
          <w:p>
            <w:pPr>
              <w:spacing w:after="0"/>
              <w:rPr>
                <w:sz w:val="16"/>
                <w:szCs w:val="16"/>
                <w:color w:val="auto"/>
              </w:rPr>
            </w:pPr>
          </w:p>
        </w:tc>
        <w:tc>
          <w:tcPr>
            <w:tcW w:w="160" w:type="dxa"/>
            <w:vAlign w:val="bottom"/>
            <w:tcBorders>
              <w:bottom w:val="single" w:sz="8" w:color="E7417A"/>
            </w:tcBorders>
          </w:tcPr>
          <w:p>
            <w:pPr>
              <w:spacing w:after="0"/>
              <w:rPr>
                <w:sz w:val="16"/>
                <w:szCs w:val="16"/>
                <w:color w:val="auto"/>
              </w:rPr>
            </w:pPr>
          </w:p>
        </w:tc>
        <w:tc>
          <w:tcPr>
            <w:tcW w:w="280" w:type="dxa"/>
            <w:vAlign w:val="bottom"/>
            <w:tcBorders>
              <w:bottom w:val="single" w:sz="8" w:color="E7417A"/>
            </w:tcBorders>
          </w:tcPr>
          <w:p>
            <w:pPr>
              <w:spacing w:after="0"/>
              <w:rPr>
                <w:sz w:val="16"/>
                <w:szCs w:val="16"/>
                <w:color w:val="auto"/>
              </w:rPr>
            </w:pPr>
          </w:p>
        </w:tc>
        <w:tc>
          <w:tcPr>
            <w:tcW w:w="120" w:type="dxa"/>
            <w:vAlign w:val="bottom"/>
            <w:tcBorders>
              <w:bottom w:val="single" w:sz="8" w:color="E7417A"/>
            </w:tcBorders>
          </w:tcPr>
          <w:p>
            <w:pPr>
              <w:spacing w:after="0"/>
              <w:rPr>
                <w:sz w:val="16"/>
                <w:szCs w:val="16"/>
                <w:color w:val="auto"/>
              </w:rPr>
            </w:pPr>
          </w:p>
        </w:tc>
        <w:tc>
          <w:tcPr>
            <w:tcW w:w="880" w:type="dxa"/>
            <w:vAlign w:val="bottom"/>
            <w:tcBorders>
              <w:bottom w:val="single" w:sz="8" w:color="E7417A"/>
            </w:tcBorders>
          </w:tcPr>
          <w:p>
            <w:pPr>
              <w:spacing w:after="0"/>
              <w:rPr>
                <w:sz w:val="16"/>
                <w:szCs w:val="16"/>
                <w:color w:val="auto"/>
              </w:rPr>
            </w:pPr>
          </w:p>
        </w:tc>
        <w:tc>
          <w:tcPr>
            <w:tcW w:w="40" w:type="dxa"/>
            <w:vAlign w:val="bottom"/>
            <w:tcBorders>
              <w:bottom w:val="single" w:sz="8" w:color="E7417A"/>
            </w:tcBorders>
          </w:tcPr>
          <w:p>
            <w:pPr>
              <w:spacing w:after="0"/>
              <w:rPr>
                <w:sz w:val="16"/>
                <w:szCs w:val="16"/>
                <w:color w:val="auto"/>
              </w:rPr>
            </w:pPr>
          </w:p>
        </w:tc>
        <w:tc>
          <w:tcPr>
            <w:tcW w:w="100" w:type="dxa"/>
            <w:vAlign w:val="bottom"/>
            <w:tcBorders>
              <w:bottom w:val="single" w:sz="8" w:color="E7417A"/>
            </w:tcBorders>
          </w:tcPr>
          <w:p>
            <w:pPr>
              <w:spacing w:after="0"/>
              <w:rPr>
                <w:sz w:val="16"/>
                <w:szCs w:val="16"/>
                <w:color w:val="auto"/>
              </w:rPr>
            </w:pPr>
          </w:p>
        </w:tc>
        <w:tc>
          <w:tcPr>
            <w:tcW w:w="360" w:type="dxa"/>
            <w:vAlign w:val="bottom"/>
            <w:tcBorders>
              <w:bottom w:val="single" w:sz="8" w:color="E7417A"/>
            </w:tcBorders>
          </w:tcPr>
          <w:p>
            <w:pPr>
              <w:spacing w:after="0"/>
              <w:rPr>
                <w:sz w:val="16"/>
                <w:szCs w:val="16"/>
                <w:color w:val="auto"/>
              </w:rPr>
            </w:pPr>
          </w:p>
        </w:tc>
        <w:tc>
          <w:tcPr>
            <w:tcW w:w="760" w:type="dxa"/>
            <w:vAlign w:val="bottom"/>
            <w:tcBorders>
              <w:bottom w:val="single" w:sz="8" w:color="E7417A"/>
            </w:tcBorders>
          </w:tcPr>
          <w:p>
            <w:pPr>
              <w:spacing w:after="0"/>
              <w:rPr>
                <w:sz w:val="16"/>
                <w:szCs w:val="16"/>
                <w:color w:val="auto"/>
              </w:rPr>
            </w:pPr>
          </w:p>
        </w:tc>
        <w:tc>
          <w:tcPr>
            <w:tcW w:w="320" w:type="dxa"/>
            <w:vAlign w:val="bottom"/>
            <w:tcBorders>
              <w:bottom w:val="single" w:sz="8" w:color="E7417A"/>
            </w:tcBorders>
          </w:tcPr>
          <w:p>
            <w:pPr>
              <w:spacing w:after="0"/>
              <w:rPr>
                <w:sz w:val="16"/>
                <w:szCs w:val="16"/>
                <w:color w:val="auto"/>
              </w:rPr>
            </w:pPr>
          </w:p>
        </w:tc>
        <w:tc>
          <w:tcPr>
            <w:tcW w:w="580" w:type="dxa"/>
            <w:vAlign w:val="bottom"/>
            <w:tcBorders>
              <w:bottom w:val="single" w:sz="8" w:color="E7417A"/>
            </w:tcBorders>
          </w:tcPr>
          <w:p>
            <w:pPr>
              <w:spacing w:after="0"/>
              <w:rPr>
                <w:sz w:val="16"/>
                <w:szCs w:val="16"/>
                <w:color w:val="auto"/>
              </w:rPr>
            </w:pPr>
          </w:p>
        </w:tc>
        <w:tc>
          <w:tcPr>
            <w:tcW w:w="60" w:type="dxa"/>
            <w:vAlign w:val="bottom"/>
            <w:tcBorders>
              <w:bottom w:val="single" w:sz="8" w:color="E7417A"/>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40" w:type="dxa"/>
            <w:vAlign w:val="bottom"/>
            <w:gridSpan w:val="3"/>
          </w:tcPr>
          <w:p>
            <w:pPr>
              <w:ind w:left="740"/>
              <w:spacing w:after="0"/>
              <w:rPr>
                <w:sz w:val="20"/>
                <w:szCs w:val="20"/>
                <w:color w:val="auto"/>
              </w:rPr>
            </w:pPr>
            <w:r>
              <w:rPr>
                <w:rFonts w:ascii="Arial" w:cs="Arial" w:eastAsia="Arial" w:hAnsi="Arial"/>
                <w:sz w:val="14"/>
                <w:szCs w:val="14"/>
                <w:b w:val="1"/>
                <w:bCs w:val="1"/>
                <w:color w:val="auto"/>
              </w:rPr>
              <w:t>Beatriz V. Infante</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right w:val="single" w:sz="8" w:color="F2F2F2"/>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Borders>
              <w:right w:val="single" w:sz="8" w:color="F2F2F2"/>
            </w:tcBorders>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320" w:type="dxa"/>
            <w:vAlign w:val="bottom"/>
            <w:gridSpan w:val="4"/>
          </w:tcPr>
          <w:p>
            <w:pPr>
              <w:ind w:left="740"/>
              <w:spacing w:after="0" w:line="145" w:lineRule="exact"/>
              <w:rPr>
                <w:sz w:val="20"/>
                <w:szCs w:val="20"/>
                <w:color w:val="auto"/>
              </w:rPr>
            </w:pPr>
            <w:r>
              <w:rPr>
                <w:rFonts w:ascii="Arial" w:cs="Arial" w:eastAsia="Arial" w:hAnsi="Arial"/>
                <w:sz w:val="14"/>
                <w:szCs w:val="14"/>
                <w:color w:val="auto"/>
              </w:rPr>
              <w:t>Chief Executive Officer,</w:t>
            </w:r>
          </w:p>
        </w:tc>
        <w:tc>
          <w:tcPr>
            <w:tcW w:w="300" w:type="dxa"/>
            <w:vAlign w:val="bottom"/>
            <w:vMerge w:val="restart"/>
          </w:tcPr>
          <w:p>
            <w:pPr>
              <w:ind w:left="40"/>
              <w:spacing w:after="0"/>
              <w:rPr>
                <w:sz w:val="20"/>
                <w:szCs w:val="20"/>
                <w:color w:val="auto"/>
              </w:rPr>
            </w:pPr>
            <w:r>
              <w:rPr>
                <w:rFonts w:ascii="Arial" w:cs="Arial" w:eastAsia="Arial" w:hAnsi="Arial"/>
                <w:sz w:val="14"/>
                <w:szCs w:val="14"/>
                <w:color w:val="auto"/>
              </w:rPr>
              <w:t>​71</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60" w:type="dxa"/>
            <w:vAlign w:val="bottom"/>
            <w:vMerge w:val="restart"/>
          </w:tcPr>
          <w:p>
            <w:pPr>
              <w:jc w:val="center"/>
              <w:ind w:right="51"/>
              <w:spacing w:after="0"/>
              <w:rPr>
                <w:sz w:val="20"/>
                <w:szCs w:val="20"/>
                <w:color w:val="auto"/>
              </w:rPr>
            </w:pPr>
            <w:r>
              <w:rPr>
                <w:rFonts w:ascii="Arial" w:cs="Arial" w:eastAsia="Arial" w:hAnsi="Arial"/>
                <w:sz w:val="14"/>
                <w:szCs w:val="14"/>
                <w:color w:val="auto"/>
              </w:rPr>
              <w:t>October</w:t>
            </w:r>
          </w:p>
        </w:tc>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34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208"/>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80" w:type="dxa"/>
            <w:vAlign w:val="bottom"/>
            <w:tcBorders>
              <w:right w:val="single" w:sz="8" w:color="F2F2F2"/>
            </w:tcBorders>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60" w:type="dxa"/>
            <w:vAlign w:val="bottom"/>
            <w:tcBorders>
              <w:right w:val="single" w:sz="8" w:color="F2F2F2"/>
            </w:tcBorders>
            <w:vMerge w:val="restart"/>
          </w:tcPr>
          <w:p>
            <w:pPr>
              <w:ind w:left="14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1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140" w:type="dxa"/>
            <w:vAlign w:val="bottom"/>
          </w:tcPr>
          <w:p>
            <w:pPr>
              <w:ind w:left="700"/>
              <w:spacing w:after="0" w:line="135"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280" w:type="dxa"/>
            <w:vAlign w:val="bottom"/>
            <w:tcBorders>
              <w:right w:val="single" w:sz="8" w:color="F2F2F2"/>
            </w:tcBorders>
          </w:tcPr>
          <w:p>
            <w:pPr>
              <w:spacing w:after="0"/>
              <w:rPr>
                <w:sz w:val="11"/>
                <w:szCs w:val="11"/>
                <w:color w:val="auto"/>
              </w:rPr>
            </w:pPr>
          </w:p>
        </w:tc>
        <w:tc>
          <w:tcPr>
            <w:tcW w:w="12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Borders>
              <w:right w:val="single" w:sz="8" w:color="F2F2F2"/>
            </w:tcBorders>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2320" w:type="dxa"/>
            <w:vAlign w:val="bottom"/>
            <w:gridSpan w:val="4"/>
          </w:tcPr>
          <w:p>
            <w:pPr>
              <w:ind w:left="740"/>
              <w:spacing w:after="0" w:line="59" w:lineRule="exact"/>
              <w:rPr>
                <w:sz w:val="20"/>
                <w:szCs w:val="20"/>
                <w:color w:val="auto"/>
              </w:rPr>
            </w:pPr>
            <w:r>
              <w:rPr>
                <w:rFonts w:ascii="Arial" w:cs="Arial" w:eastAsia="Arial" w:hAnsi="Arial"/>
                <w:sz w:val="6"/>
                <w:szCs w:val="6"/>
                <w:color w:val="auto"/>
              </w:rPr>
              <w:t>Business Excelleration</w:t>
            </w: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jc w:val="center"/>
              <w:spacing w:after="0" w:line="59" w:lineRule="exact"/>
              <w:rPr>
                <w:sz w:val="20"/>
                <w:szCs w:val="20"/>
                <w:color w:val="auto"/>
              </w:rPr>
            </w:pPr>
            <w:r>
              <w:rPr>
                <w:rFonts w:ascii="Arial" w:cs="Arial" w:eastAsia="Arial" w:hAnsi="Arial"/>
                <w:sz w:val="6"/>
                <w:szCs w:val="6"/>
                <w:color w:val="auto"/>
              </w:rPr>
              <w:t>2017</w:t>
            </w: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80" w:type="dxa"/>
            <w:vAlign w:val="bottom"/>
            <w:tcBorders>
              <w:right w:val="single" w:sz="8" w:color="F2F2F2"/>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Borders>
              <w:right w:val="single" w:sz="8" w:color="F2F2F2"/>
            </w:tcBorders>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740"/>
              <w:spacing w:after="0"/>
              <w:rPr>
                <w:sz w:val="20"/>
                <w:szCs w:val="20"/>
                <w:color w:val="auto"/>
              </w:rPr>
            </w:pPr>
            <w:r>
              <w:rPr>
                <w:rFonts w:ascii="Arial" w:cs="Arial" w:eastAsia="Arial" w:hAnsi="Arial"/>
                <w:sz w:val="14"/>
                <w:szCs w:val="14"/>
                <w:color w:val="auto"/>
              </w:rPr>
              <w:t>LLC</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right w:val="single" w:sz="8" w:color="F2F2F2"/>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Borders>
              <w:right w:val="single" w:sz="8" w:color="F2F2F2"/>
            </w:tcBorders>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320" w:type="dxa"/>
            <w:vAlign w:val="bottom"/>
            <w:tcBorders>
              <w:bottom w:val="single" w:sz="8" w:color="E7417A"/>
            </w:tcBorders>
            <w:gridSpan w:val="4"/>
          </w:tcPr>
          <w:p>
            <w:pPr>
              <w:spacing w:after="0"/>
              <w:rPr>
                <w:sz w:val="10"/>
                <w:szCs w:val="10"/>
                <w:color w:val="auto"/>
              </w:rPr>
            </w:pPr>
          </w:p>
        </w:tc>
        <w:tc>
          <w:tcPr>
            <w:tcW w:w="300" w:type="dxa"/>
            <w:vAlign w:val="bottom"/>
            <w:tcBorders>
              <w:bottom w:val="single" w:sz="8" w:color="E7417A"/>
            </w:tcBorders>
          </w:tcPr>
          <w:p>
            <w:pPr>
              <w:spacing w:after="0"/>
              <w:rPr>
                <w:sz w:val="10"/>
                <w:szCs w:val="10"/>
                <w:color w:val="auto"/>
              </w:rPr>
            </w:pPr>
          </w:p>
        </w:tc>
        <w:tc>
          <w:tcPr>
            <w:tcW w:w="100" w:type="dxa"/>
            <w:vAlign w:val="bottom"/>
            <w:tcBorders>
              <w:bottom w:val="single" w:sz="8" w:color="E7417A"/>
            </w:tcBorders>
          </w:tcPr>
          <w:p>
            <w:pPr>
              <w:spacing w:after="0"/>
              <w:rPr>
                <w:sz w:val="10"/>
                <w:szCs w:val="10"/>
                <w:color w:val="auto"/>
              </w:rPr>
            </w:pPr>
          </w:p>
        </w:tc>
        <w:tc>
          <w:tcPr>
            <w:tcW w:w="40" w:type="dxa"/>
            <w:vAlign w:val="bottom"/>
            <w:tcBorders>
              <w:bottom w:val="single" w:sz="8" w:color="E7417A"/>
            </w:tcBorders>
          </w:tcPr>
          <w:p>
            <w:pPr>
              <w:spacing w:after="0"/>
              <w:rPr>
                <w:sz w:val="10"/>
                <w:szCs w:val="10"/>
                <w:color w:val="auto"/>
              </w:rPr>
            </w:pPr>
          </w:p>
        </w:tc>
        <w:tc>
          <w:tcPr>
            <w:tcW w:w="660" w:type="dxa"/>
            <w:vAlign w:val="bottom"/>
            <w:tcBorders>
              <w:bottom w:val="single" w:sz="8" w:color="E7417A"/>
            </w:tcBorders>
          </w:tcPr>
          <w:p>
            <w:pPr>
              <w:spacing w:after="0"/>
              <w:rPr>
                <w:sz w:val="10"/>
                <w:szCs w:val="10"/>
                <w:color w:val="auto"/>
              </w:rPr>
            </w:pPr>
          </w:p>
        </w:tc>
        <w:tc>
          <w:tcPr>
            <w:tcW w:w="140" w:type="dxa"/>
            <w:vAlign w:val="bottom"/>
            <w:tcBorders>
              <w:bottom w:val="single" w:sz="8" w:color="E7417A"/>
            </w:tcBorders>
          </w:tcPr>
          <w:p>
            <w:pPr>
              <w:spacing w:after="0"/>
              <w:rPr>
                <w:sz w:val="10"/>
                <w:szCs w:val="10"/>
                <w:color w:val="auto"/>
              </w:rPr>
            </w:pPr>
          </w:p>
        </w:tc>
        <w:tc>
          <w:tcPr>
            <w:tcW w:w="600" w:type="dxa"/>
            <w:vAlign w:val="bottom"/>
            <w:tcBorders>
              <w:bottom w:val="single" w:sz="8" w:color="E7417A"/>
            </w:tcBorders>
          </w:tcPr>
          <w:p>
            <w:pPr>
              <w:spacing w:after="0"/>
              <w:rPr>
                <w:sz w:val="10"/>
                <w:szCs w:val="10"/>
                <w:color w:val="auto"/>
              </w:rPr>
            </w:pPr>
          </w:p>
        </w:tc>
        <w:tc>
          <w:tcPr>
            <w:tcW w:w="340" w:type="dxa"/>
            <w:vAlign w:val="bottom"/>
            <w:tcBorders>
              <w:bottom w:val="single" w:sz="8" w:color="E7417A"/>
            </w:tcBorders>
          </w:tcPr>
          <w:p>
            <w:pPr>
              <w:spacing w:after="0"/>
              <w:rPr>
                <w:sz w:val="10"/>
                <w:szCs w:val="10"/>
                <w:color w:val="auto"/>
              </w:rPr>
            </w:pPr>
          </w:p>
        </w:tc>
        <w:tc>
          <w:tcPr>
            <w:tcW w:w="560" w:type="dxa"/>
            <w:vAlign w:val="bottom"/>
            <w:tcBorders>
              <w:bottom w:val="single" w:sz="8" w:color="E7417A"/>
            </w:tcBorders>
          </w:tcPr>
          <w:p>
            <w:pPr>
              <w:spacing w:after="0"/>
              <w:rPr>
                <w:sz w:val="10"/>
                <w:szCs w:val="10"/>
                <w:color w:val="auto"/>
              </w:rPr>
            </w:pPr>
          </w:p>
        </w:tc>
        <w:tc>
          <w:tcPr>
            <w:tcW w:w="60" w:type="dxa"/>
            <w:vAlign w:val="bottom"/>
            <w:tcBorders>
              <w:bottom w:val="single" w:sz="8" w:color="E7417A"/>
            </w:tcBorders>
          </w:tcPr>
          <w:p>
            <w:pPr>
              <w:spacing w:after="0"/>
              <w:rPr>
                <w:sz w:val="10"/>
                <w:szCs w:val="10"/>
                <w:color w:val="auto"/>
              </w:rPr>
            </w:pPr>
          </w:p>
        </w:tc>
        <w:tc>
          <w:tcPr>
            <w:tcW w:w="80" w:type="dxa"/>
            <w:vAlign w:val="bottom"/>
            <w:tcBorders>
              <w:bottom w:val="single" w:sz="8" w:color="E7417A"/>
            </w:tcBorders>
          </w:tcPr>
          <w:p>
            <w:pPr>
              <w:spacing w:after="0"/>
              <w:rPr>
                <w:sz w:val="10"/>
                <w:szCs w:val="10"/>
                <w:color w:val="auto"/>
              </w:rPr>
            </w:pPr>
          </w:p>
        </w:tc>
        <w:tc>
          <w:tcPr>
            <w:tcW w:w="160" w:type="dxa"/>
            <w:vAlign w:val="bottom"/>
            <w:tcBorders>
              <w:bottom w:val="single" w:sz="8" w:color="E7417A"/>
            </w:tcBorders>
          </w:tcPr>
          <w:p>
            <w:pPr>
              <w:spacing w:after="0"/>
              <w:rPr>
                <w:sz w:val="10"/>
                <w:szCs w:val="10"/>
                <w:color w:val="auto"/>
              </w:rPr>
            </w:pPr>
          </w:p>
        </w:tc>
        <w:tc>
          <w:tcPr>
            <w:tcW w:w="280" w:type="dxa"/>
            <w:vAlign w:val="bottom"/>
            <w:tcBorders>
              <w:bottom w:val="single" w:sz="8" w:color="E7417A"/>
              <w:right w:val="single" w:sz="8" w:color="F2F2F2"/>
            </w:tcBorders>
          </w:tcPr>
          <w:p>
            <w:pPr>
              <w:spacing w:after="0"/>
              <w:rPr>
                <w:sz w:val="10"/>
                <w:szCs w:val="10"/>
                <w:color w:val="auto"/>
              </w:rPr>
            </w:pPr>
          </w:p>
        </w:tc>
        <w:tc>
          <w:tcPr>
            <w:tcW w:w="120" w:type="dxa"/>
            <w:vAlign w:val="bottom"/>
            <w:tcBorders>
              <w:bottom w:val="single" w:sz="8" w:color="E7417A"/>
            </w:tcBorders>
          </w:tcPr>
          <w:p>
            <w:pPr>
              <w:spacing w:after="0"/>
              <w:rPr>
                <w:sz w:val="10"/>
                <w:szCs w:val="10"/>
                <w:color w:val="auto"/>
              </w:rPr>
            </w:pPr>
          </w:p>
        </w:tc>
        <w:tc>
          <w:tcPr>
            <w:tcW w:w="880" w:type="dxa"/>
            <w:vAlign w:val="bottom"/>
            <w:tcBorders>
              <w:bottom w:val="single" w:sz="8" w:color="E7417A"/>
            </w:tcBorders>
          </w:tcPr>
          <w:p>
            <w:pPr>
              <w:spacing w:after="0"/>
              <w:rPr>
                <w:sz w:val="10"/>
                <w:szCs w:val="10"/>
                <w:color w:val="auto"/>
              </w:rPr>
            </w:pPr>
          </w:p>
        </w:tc>
        <w:tc>
          <w:tcPr>
            <w:tcW w:w="40" w:type="dxa"/>
            <w:vAlign w:val="bottom"/>
            <w:tcBorders>
              <w:bottom w:val="single" w:sz="8" w:color="E7417A"/>
            </w:tcBorders>
          </w:tcPr>
          <w:p>
            <w:pPr>
              <w:spacing w:after="0"/>
              <w:rPr>
                <w:sz w:val="10"/>
                <w:szCs w:val="10"/>
                <w:color w:val="auto"/>
              </w:rPr>
            </w:pPr>
          </w:p>
        </w:tc>
        <w:tc>
          <w:tcPr>
            <w:tcW w:w="100" w:type="dxa"/>
            <w:vAlign w:val="bottom"/>
            <w:tcBorders>
              <w:bottom w:val="single" w:sz="8" w:color="E7417A"/>
            </w:tcBorders>
          </w:tcPr>
          <w:p>
            <w:pPr>
              <w:spacing w:after="0"/>
              <w:rPr>
                <w:sz w:val="10"/>
                <w:szCs w:val="10"/>
                <w:color w:val="auto"/>
              </w:rPr>
            </w:pPr>
          </w:p>
        </w:tc>
        <w:tc>
          <w:tcPr>
            <w:tcW w:w="360" w:type="dxa"/>
            <w:vAlign w:val="bottom"/>
            <w:tcBorders>
              <w:bottom w:val="single" w:sz="8" w:color="E7417A"/>
            </w:tcBorders>
          </w:tcPr>
          <w:p>
            <w:pPr>
              <w:spacing w:after="0"/>
              <w:rPr>
                <w:sz w:val="10"/>
                <w:szCs w:val="10"/>
                <w:color w:val="auto"/>
              </w:rPr>
            </w:pPr>
          </w:p>
        </w:tc>
        <w:tc>
          <w:tcPr>
            <w:tcW w:w="760" w:type="dxa"/>
            <w:vAlign w:val="bottom"/>
            <w:tcBorders>
              <w:bottom w:val="single" w:sz="8" w:color="E7417A"/>
              <w:right w:val="single" w:sz="8" w:color="F2F2F2"/>
            </w:tcBorders>
          </w:tcPr>
          <w:p>
            <w:pPr>
              <w:spacing w:after="0"/>
              <w:rPr>
                <w:sz w:val="10"/>
                <w:szCs w:val="10"/>
                <w:color w:val="auto"/>
              </w:rPr>
            </w:pPr>
          </w:p>
        </w:tc>
        <w:tc>
          <w:tcPr>
            <w:tcW w:w="320" w:type="dxa"/>
            <w:vAlign w:val="bottom"/>
            <w:tcBorders>
              <w:bottom w:val="single" w:sz="8" w:color="E7417A"/>
            </w:tcBorders>
          </w:tcPr>
          <w:p>
            <w:pPr>
              <w:spacing w:after="0"/>
              <w:rPr>
                <w:sz w:val="10"/>
                <w:szCs w:val="10"/>
                <w:color w:val="auto"/>
              </w:rPr>
            </w:pPr>
          </w:p>
        </w:tc>
        <w:tc>
          <w:tcPr>
            <w:tcW w:w="580" w:type="dxa"/>
            <w:vAlign w:val="bottom"/>
            <w:tcBorders>
              <w:bottom w:val="single" w:sz="8" w:color="E7417A"/>
            </w:tcBorders>
          </w:tcPr>
          <w:p>
            <w:pPr>
              <w:spacing w:after="0"/>
              <w:rPr>
                <w:sz w:val="10"/>
                <w:szCs w:val="10"/>
                <w:color w:val="auto"/>
              </w:rPr>
            </w:pPr>
          </w:p>
        </w:tc>
        <w:tc>
          <w:tcPr>
            <w:tcW w:w="60" w:type="dxa"/>
            <w:vAlign w:val="bottom"/>
            <w:tcBorders>
              <w:bottom w:val="single" w:sz="8" w:color="E7417A"/>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320" w:type="dxa"/>
            <w:vAlign w:val="bottom"/>
            <w:gridSpan w:val="4"/>
          </w:tcPr>
          <w:p>
            <w:pPr>
              <w:ind w:left="740"/>
              <w:spacing w:after="0"/>
              <w:rPr>
                <w:sz w:val="20"/>
                <w:szCs w:val="20"/>
                <w:color w:val="auto"/>
              </w:rPr>
            </w:pPr>
            <w:r>
              <w:rPr>
                <w:rFonts w:ascii="Arial" w:cs="Arial" w:eastAsia="Arial" w:hAnsi="Arial"/>
                <w:sz w:val="14"/>
                <w:szCs w:val="14"/>
                <w:b w:val="1"/>
                <w:bCs w:val="1"/>
                <w:color w:val="auto"/>
              </w:rPr>
              <w:t>Bruce W. McClelland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right w:val="single" w:sz="8" w:color="F2F2F2"/>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Borders>
              <w:right w:val="single" w:sz="8" w:color="F2F2F2"/>
            </w:tcBorders>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40" w:type="dxa"/>
            <w:vAlign w:val="bottom"/>
            <w:gridSpan w:val="3"/>
          </w:tcPr>
          <w:p>
            <w:pPr>
              <w:ind w:left="740"/>
              <w:spacing w:after="0" w:line="149" w:lineRule="exact"/>
              <w:rPr>
                <w:sz w:val="20"/>
                <w:szCs w:val="20"/>
                <w:color w:val="auto"/>
              </w:rPr>
            </w:pPr>
            <w:r>
              <w:rPr>
                <w:rFonts w:ascii="Arial" w:cs="Arial" w:eastAsia="Arial" w:hAnsi="Arial"/>
                <w:sz w:val="14"/>
                <w:szCs w:val="14"/>
                <w:color w:val="auto"/>
              </w:rPr>
              <w:t>President and Chief</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vMerge w:val="restart"/>
          </w:tcPr>
          <w:p>
            <w:pPr>
              <w:jc w:val="center"/>
              <w:ind w:right="51"/>
              <w:spacing w:after="0"/>
              <w:rPr>
                <w:sz w:val="20"/>
                <w:szCs w:val="20"/>
                <w:color w:val="auto"/>
              </w:rPr>
            </w:pPr>
            <w:r>
              <w:rPr>
                <w:rFonts w:ascii="Arial" w:cs="Arial" w:eastAsia="Arial" w:hAnsi="Arial"/>
                <w:sz w:val="14"/>
                <w:szCs w:val="14"/>
                <w:color w:val="auto"/>
              </w:rPr>
              <w:t>March</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right w:val="single" w:sz="8" w:color="F2F2F2"/>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Borders>
              <w:right w:val="single" w:sz="8" w:color="F2F2F2"/>
            </w:tcBorders>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40" w:type="dxa"/>
            <w:vAlign w:val="bottom"/>
            <w:gridSpan w:val="3"/>
          </w:tcPr>
          <w:p>
            <w:pPr>
              <w:ind w:left="700"/>
              <w:spacing w:after="0" w:line="158" w:lineRule="exact"/>
              <w:rPr>
                <w:sz w:val="20"/>
                <w:szCs w:val="20"/>
                <w:color w:val="auto"/>
              </w:rPr>
            </w:pPr>
            <w:r>
              <w:rPr>
                <w:rFonts w:ascii="Arial" w:cs="Arial" w:eastAsia="Arial" w:hAnsi="Arial"/>
                <w:sz w:val="14"/>
                <w:szCs w:val="14"/>
                <w:color w:val="auto"/>
              </w:rPr>
              <w:t>​​Executive Officer,</w:t>
            </w:r>
          </w:p>
        </w:tc>
        <w:tc>
          <w:tcPr>
            <w:tcW w:w="280" w:type="dxa"/>
            <w:vAlign w:val="bottom"/>
          </w:tcPr>
          <w:p>
            <w:pPr>
              <w:spacing w:after="0"/>
              <w:rPr>
                <w:sz w:val="13"/>
                <w:szCs w:val="13"/>
                <w:color w:val="auto"/>
              </w:rPr>
            </w:pPr>
          </w:p>
        </w:tc>
        <w:tc>
          <w:tcPr>
            <w:tcW w:w="300" w:type="dxa"/>
            <w:vAlign w:val="bottom"/>
          </w:tcPr>
          <w:p>
            <w:pPr>
              <w:ind w:left="40"/>
              <w:spacing w:after="0" w:line="158" w:lineRule="exact"/>
              <w:rPr>
                <w:sz w:val="20"/>
                <w:szCs w:val="20"/>
                <w:color w:val="auto"/>
              </w:rPr>
            </w:pPr>
            <w:r>
              <w:rPr>
                <w:rFonts w:ascii="Arial" w:cs="Arial" w:eastAsia="Arial" w:hAnsi="Arial"/>
                <w:sz w:val="14"/>
                <w:szCs w:val="14"/>
                <w:color w:val="auto"/>
              </w:rPr>
              <w:t>​58</w:t>
            </w:r>
          </w:p>
        </w:tc>
        <w:tc>
          <w:tcPr>
            <w:tcW w:w="1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4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600" w:type="dxa"/>
            <w:vAlign w:val="bottom"/>
          </w:tcPr>
          <w:p>
            <w:pPr>
              <w:ind w:left="360"/>
              <w:spacing w:after="0" w:line="158" w:lineRule="exact"/>
              <w:rPr>
                <w:sz w:val="20"/>
                <w:szCs w:val="20"/>
                <w:color w:val="auto"/>
              </w:rPr>
            </w:pPr>
            <w:r>
              <w:rPr>
                <w:rFonts w:ascii="Arial" w:cs="Arial" w:eastAsia="Arial" w:hAnsi="Arial"/>
                <w:sz w:val="14"/>
                <w:szCs w:val="14"/>
                <w:color w:val="auto"/>
              </w:rPr>
              <w:t>​</w:t>
            </w:r>
          </w:p>
        </w:tc>
        <w:tc>
          <w:tcPr>
            <w:tcW w:w="340" w:type="dxa"/>
            <w:vAlign w:val="bottom"/>
          </w:tcPr>
          <w:p>
            <w:pPr>
              <w:ind w:left="200"/>
              <w:spacing w:after="0" w:line="158"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208"/>
              <w:spacing w:after="0" w:line="158"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13"/>
                <w:szCs w:val="13"/>
                <w:color w:val="auto"/>
              </w:rPr>
            </w:pP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80" w:type="dxa"/>
            <w:vAlign w:val="bottom"/>
            <w:tcBorders>
              <w:right w:val="single" w:sz="8" w:color="F2F2F2"/>
            </w:tcBorders>
          </w:tcPr>
          <w:p>
            <w:pPr>
              <w:ind w:left="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880" w:type="dxa"/>
            <w:vAlign w:val="bottom"/>
          </w:tcPr>
          <w:p>
            <w:pPr>
              <w:ind w:left="40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760" w:type="dxa"/>
            <w:vAlign w:val="bottom"/>
            <w:tcBorders>
              <w:right w:val="single" w:sz="8" w:color="F2F2F2"/>
            </w:tcBorders>
          </w:tcPr>
          <w:p>
            <w:pPr>
              <w:ind w:left="140"/>
              <w:spacing w:after="0" w:line="158" w:lineRule="exact"/>
              <w:rPr>
                <w:sz w:val="20"/>
                <w:szCs w:val="20"/>
                <w:color w:val="auto"/>
              </w:rPr>
            </w:pPr>
            <w:r>
              <w:rPr>
                <w:rFonts w:ascii="Arial" w:cs="Arial" w:eastAsia="Arial" w:hAnsi="Arial"/>
                <w:sz w:val="14"/>
                <w:szCs w:val="14"/>
                <w:color w:val="auto"/>
              </w:rPr>
              <w:t>​</w:t>
            </w:r>
          </w:p>
        </w:tc>
        <w:tc>
          <w:tcPr>
            <w:tcW w:w="32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580" w:type="dxa"/>
            <w:vAlign w:val="bottom"/>
          </w:tcPr>
          <w:p>
            <w:pPr>
              <w:ind w:left="140"/>
              <w:spacing w:after="0" w:line="158" w:lineRule="exact"/>
              <w:rPr>
                <w:sz w:val="20"/>
                <w:szCs w:val="20"/>
                <w:color w:val="auto"/>
              </w:rPr>
            </w:pPr>
            <w:r>
              <w:rPr>
                <w:rFonts w:ascii="Arial" w:cs="Arial" w:eastAsia="Arial" w:hAnsi="Arial"/>
                <w:sz w:val="14"/>
                <w:szCs w:val="14"/>
                <w:color w:val="auto"/>
              </w:rPr>
              <w:t>​</w:t>
            </w:r>
          </w:p>
        </w:tc>
        <w:tc>
          <w:tcPr>
            <w:tcW w:w="10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840" w:type="dxa"/>
            <w:vAlign w:val="bottom"/>
            <w:gridSpan w:val="2"/>
          </w:tcPr>
          <w:p>
            <w:pPr>
              <w:ind w:left="740"/>
              <w:spacing w:after="0"/>
              <w:rPr>
                <w:sz w:val="20"/>
                <w:szCs w:val="20"/>
                <w:color w:val="auto"/>
              </w:rPr>
            </w:pPr>
            <w:r>
              <w:rPr>
                <w:rFonts w:ascii="Arial" w:cs="Arial" w:eastAsia="Arial" w:hAnsi="Arial"/>
                <w:sz w:val="14"/>
                <w:szCs w:val="14"/>
                <w:color w:val="auto"/>
              </w:rPr>
              <w:t>Ribbon</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right w:val="single" w:sz="8" w:color="F2F2F2"/>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Borders>
              <w:right w:val="single" w:sz="8" w:color="F2F2F2"/>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320" w:type="dxa"/>
            <w:vAlign w:val="bottom"/>
            <w:tcBorders>
              <w:bottom w:val="single" w:sz="8" w:color="E7417A"/>
            </w:tcBorders>
            <w:gridSpan w:val="4"/>
          </w:tcPr>
          <w:p>
            <w:pPr>
              <w:ind w:left="740"/>
              <w:spacing w:after="0"/>
              <w:rPr>
                <w:sz w:val="20"/>
                <w:szCs w:val="20"/>
                <w:color w:val="auto"/>
              </w:rPr>
            </w:pPr>
            <w:r>
              <w:rPr>
                <w:rFonts w:ascii="Arial" w:cs="Arial" w:eastAsia="Arial" w:hAnsi="Arial"/>
                <w:sz w:val="14"/>
                <w:szCs w:val="14"/>
                <w:color w:val="auto"/>
              </w:rPr>
              <w:t>Communications Inc.</w:t>
            </w:r>
          </w:p>
        </w:tc>
        <w:tc>
          <w:tcPr>
            <w:tcW w:w="300" w:type="dxa"/>
            <w:vAlign w:val="bottom"/>
            <w:tcBorders>
              <w:bottom w:val="single" w:sz="8" w:color="E7417A"/>
            </w:tcBorders>
          </w:tcPr>
          <w:p>
            <w:pPr>
              <w:spacing w:after="0"/>
              <w:rPr>
                <w:sz w:val="16"/>
                <w:szCs w:val="16"/>
                <w:color w:val="auto"/>
              </w:rPr>
            </w:pPr>
          </w:p>
        </w:tc>
        <w:tc>
          <w:tcPr>
            <w:tcW w:w="100" w:type="dxa"/>
            <w:vAlign w:val="bottom"/>
            <w:tcBorders>
              <w:bottom w:val="single" w:sz="8" w:color="E7417A"/>
            </w:tcBorders>
          </w:tcPr>
          <w:p>
            <w:pPr>
              <w:spacing w:after="0"/>
              <w:rPr>
                <w:sz w:val="16"/>
                <w:szCs w:val="16"/>
                <w:color w:val="auto"/>
              </w:rPr>
            </w:pPr>
          </w:p>
        </w:tc>
        <w:tc>
          <w:tcPr>
            <w:tcW w:w="40" w:type="dxa"/>
            <w:vAlign w:val="bottom"/>
            <w:tcBorders>
              <w:bottom w:val="single" w:sz="8" w:color="E7417A"/>
            </w:tcBorders>
          </w:tcPr>
          <w:p>
            <w:pPr>
              <w:spacing w:after="0"/>
              <w:rPr>
                <w:sz w:val="16"/>
                <w:szCs w:val="16"/>
                <w:color w:val="auto"/>
              </w:rPr>
            </w:pPr>
          </w:p>
        </w:tc>
        <w:tc>
          <w:tcPr>
            <w:tcW w:w="660" w:type="dxa"/>
            <w:vAlign w:val="bottom"/>
            <w:tcBorders>
              <w:bottom w:val="single" w:sz="8" w:color="E7417A"/>
            </w:tcBorders>
          </w:tcPr>
          <w:p>
            <w:pPr>
              <w:spacing w:after="0"/>
              <w:rPr>
                <w:sz w:val="16"/>
                <w:szCs w:val="16"/>
                <w:color w:val="auto"/>
              </w:rPr>
            </w:pPr>
          </w:p>
        </w:tc>
        <w:tc>
          <w:tcPr>
            <w:tcW w:w="140" w:type="dxa"/>
            <w:vAlign w:val="bottom"/>
            <w:tcBorders>
              <w:bottom w:val="single" w:sz="8" w:color="E7417A"/>
            </w:tcBorders>
          </w:tcPr>
          <w:p>
            <w:pPr>
              <w:spacing w:after="0"/>
              <w:rPr>
                <w:sz w:val="16"/>
                <w:szCs w:val="16"/>
                <w:color w:val="auto"/>
              </w:rPr>
            </w:pPr>
          </w:p>
        </w:tc>
        <w:tc>
          <w:tcPr>
            <w:tcW w:w="600" w:type="dxa"/>
            <w:vAlign w:val="bottom"/>
            <w:tcBorders>
              <w:bottom w:val="single" w:sz="8" w:color="E7417A"/>
            </w:tcBorders>
          </w:tcPr>
          <w:p>
            <w:pPr>
              <w:spacing w:after="0"/>
              <w:rPr>
                <w:sz w:val="16"/>
                <w:szCs w:val="16"/>
                <w:color w:val="auto"/>
              </w:rPr>
            </w:pPr>
          </w:p>
        </w:tc>
        <w:tc>
          <w:tcPr>
            <w:tcW w:w="340" w:type="dxa"/>
            <w:vAlign w:val="bottom"/>
            <w:tcBorders>
              <w:bottom w:val="single" w:sz="8" w:color="E7417A"/>
            </w:tcBorders>
          </w:tcPr>
          <w:p>
            <w:pPr>
              <w:spacing w:after="0"/>
              <w:rPr>
                <w:sz w:val="16"/>
                <w:szCs w:val="16"/>
                <w:color w:val="auto"/>
              </w:rPr>
            </w:pPr>
          </w:p>
        </w:tc>
        <w:tc>
          <w:tcPr>
            <w:tcW w:w="560" w:type="dxa"/>
            <w:vAlign w:val="bottom"/>
            <w:tcBorders>
              <w:bottom w:val="single" w:sz="8" w:color="E7417A"/>
            </w:tcBorders>
          </w:tcPr>
          <w:p>
            <w:pPr>
              <w:spacing w:after="0"/>
              <w:rPr>
                <w:sz w:val="16"/>
                <w:szCs w:val="16"/>
                <w:color w:val="auto"/>
              </w:rPr>
            </w:pPr>
          </w:p>
        </w:tc>
        <w:tc>
          <w:tcPr>
            <w:tcW w:w="60" w:type="dxa"/>
            <w:vAlign w:val="bottom"/>
            <w:tcBorders>
              <w:bottom w:val="single" w:sz="8" w:color="E7417A"/>
            </w:tcBorders>
          </w:tcPr>
          <w:p>
            <w:pPr>
              <w:spacing w:after="0"/>
              <w:rPr>
                <w:sz w:val="16"/>
                <w:szCs w:val="16"/>
                <w:color w:val="auto"/>
              </w:rPr>
            </w:pPr>
          </w:p>
        </w:tc>
        <w:tc>
          <w:tcPr>
            <w:tcW w:w="80" w:type="dxa"/>
            <w:vAlign w:val="bottom"/>
            <w:tcBorders>
              <w:bottom w:val="single" w:sz="8" w:color="E7417A"/>
            </w:tcBorders>
          </w:tcPr>
          <w:p>
            <w:pPr>
              <w:spacing w:after="0"/>
              <w:rPr>
                <w:sz w:val="16"/>
                <w:szCs w:val="16"/>
                <w:color w:val="auto"/>
              </w:rPr>
            </w:pPr>
          </w:p>
        </w:tc>
        <w:tc>
          <w:tcPr>
            <w:tcW w:w="160" w:type="dxa"/>
            <w:vAlign w:val="bottom"/>
            <w:tcBorders>
              <w:bottom w:val="single" w:sz="8" w:color="E7417A"/>
            </w:tcBorders>
          </w:tcPr>
          <w:p>
            <w:pPr>
              <w:spacing w:after="0"/>
              <w:rPr>
                <w:sz w:val="16"/>
                <w:szCs w:val="16"/>
                <w:color w:val="auto"/>
              </w:rPr>
            </w:pPr>
          </w:p>
        </w:tc>
        <w:tc>
          <w:tcPr>
            <w:tcW w:w="280" w:type="dxa"/>
            <w:vAlign w:val="bottom"/>
            <w:tcBorders>
              <w:bottom w:val="single" w:sz="8" w:color="E7417A"/>
              <w:right w:val="single" w:sz="8" w:color="F2F2F2"/>
            </w:tcBorders>
          </w:tcPr>
          <w:p>
            <w:pPr>
              <w:spacing w:after="0"/>
              <w:rPr>
                <w:sz w:val="16"/>
                <w:szCs w:val="16"/>
                <w:color w:val="auto"/>
              </w:rPr>
            </w:pPr>
          </w:p>
        </w:tc>
        <w:tc>
          <w:tcPr>
            <w:tcW w:w="120" w:type="dxa"/>
            <w:vAlign w:val="bottom"/>
            <w:tcBorders>
              <w:bottom w:val="single" w:sz="8" w:color="E7417A"/>
            </w:tcBorders>
          </w:tcPr>
          <w:p>
            <w:pPr>
              <w:spacing w:after="0"/>
              <w:rPr>
                <w:sz w:val="16"/>
                <w:szCs w:val="16"/>
                <w:color w:val="auto"/>
              </w:rPr>
            </w:pPr>
          </w:p>
        </w:tc>
        <w:tc>
          <w:tcPr>
            <w:tcW w:w="880" w:type="dxa"/>
            <w:vAlign w:val="bottom"/>
            <w:tcBorders>
              <w:bottom w:val="single" w:sz="8" w:color="E7417A"/>
            </w:tcBorders>
          </w:tcPr>
          <w:p>
            <w:pPr>
              <w:spacing w:after="0"/>
              <w:rPr>
                <w:sz w:val="16"/>
                <w:szCs w:val="16"/>
                <w:color w:val="auto"/>
              </w:rPr>
            </w:pPr>
          </w:p>
        </w:tc>
        <w:tc>
          <w:tcPr>
            <w:tcW w:w="40" w:type="dxa"/>
            <w:vAlign w:val="bottom"/>
            <w:tcBorders>
              <w:bottom w:val="single" w:sz="8" w:color="E7417A"/>
            </w:tcBorders>
          </w:tcPr>
          <w:p>
            <w:pPr>
              <w:spacing w:after="0"/>
              <w:rPr>
                <w:sz w:val="16"/>
                <w:szCs w:val="16"/>
                <w:color w:val="auto"/>
              </w:rPr>
            </w:pPr>
          </w:p>
        </w:tc>
        <w:tc>
          <w:tcPr>
            <w:tcW w:w="100" w:type="dxa"/>
            <w:vAlign w:val="bottom"/>
            <w:tcBorders>
              <w:bottom w:val="single" w:sz="8" w:color="E7417A"/>
            </w:tcBorders>
          </w:tcPr>
          <w:p>
            <w:pPr>
              <w:spacing w:after="0"/>
              <w:rPr>
                <w:sz w:val="16"/>
                <w:szCs w:val="16"/>
                <w:color w:val="auto"/>
              </w:rPr>
            </w:pPr>
          </w:p>
        </w:tc>
        <w:tc>
          <w:tcPr>
            <w:tcW w:w="360" w:type="dxa"/>
            <w:vAlign w:val="bottom"/>
            <w:tcBorders>
              <w:bottom w:val="single" w:sz="8" w:color="E7417A"/>
            </w:tcBorders>
          </w:tcPr>
          <w:p>
            <w:pPr>
              <w:spacing w:after="0"/>
              <w:rPr>
                <w:sz w:val="16"/>
                <w:szCs w:val="16"/>
                <w:color w:val="auto"/>
              </w:rPr>
            </w:pPr>
          </w:p>
        </w:tc>
        <w:tc>
          <w:tcPr>
            <w:tcW w:w="760" w:type="dxa"/>
            <w:vAlign w:val="bottom"/>
            <w:tcBorders>
              <w:bottom w:val="single" w:sz="8" w:color="E7417A"/>
              <w:right w:val="single" w:sz="8" w:color="F2F2F2"/>
            </w:tcBorders>
          </w:tcPr>
          <w:p>
            <w:pPr>
              <w:spacing w:after="0"/>
              <w:rPr>
                <w:sz w:val="16"/>
                <w:szCs w:val="16"/>
                <w:color w:val="auto"/>
              </w:rPr>
            </w:pPr>
          </w:p>
        </w:tc>
        <w:tc>
          <w:tcPr>
            <w:tcW w:w="320" w:type="dxa"/>
            <w:vAlign w:val="bottom"/>
            <w:tcBorders>
              <w:bottom w:val="single" w:sz="8" w:color="E7417A"/>
            </w:tcBorders>
          </w:tcPr>
          <w:p>
            <w:pPr>
              <w:spacing w:after="0"/>
              <w:rPr>
                <w:sz w:val="16"/>
                <w:szCs w:val="16"/>
                <w:color w:val="auto"/>
              </w:rPr>
            </w:pPr>
          </w:p>
        </w:tc>
        <w:tc>
          <w:tcPr>
            <w:tcW w:w="580" w:type="dxa"/>
            <w:vAlign w:val="bottom"/>
            <w:tcBorders>
              <w:bottom w:val="single" w:sz="8" w:color="E7417A"/>
            </w:tcBorders>
          </w:tcPr>
          <w:p>
            <w:pPr>
              <w:spacing w:after="0"/>
              <w:rPr>
                <w:sz w:val="16"/>
                <w:szCs w:val="16"/>
                <w:color w:val="auto"/>
              </w:rPr>
            </w:pPr>
          </w:p>
        </w:tc>
        <w:tc>
          <w:tcPr>
            <w:tcW w:w="60" w:type="dxa"/>
            <w:vAlign w:val="bottom"/>
            <w:tcBorders>
              <w:bottom w:val="single" w:sz="8" w:color="E7417A"/>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40" w:type="dxa"/>
            <w:vAlign w:val="bottom"/>
            <w:gridSpan w:val="2"/>
          </w:tcPr>
          <w:p>
            <w:pPr>
              <w:ind w:left="740"/>
              <w:spacing w:after="0"/>
              <w:rPr>
                <w:sz w:val="20"/>
                <w:szCs w:val="20"/>
                <w:color w:val="auto"/>
              </w:rPr>
            </w:pPr>
            <w:r>
              <w:rPr>
                <w:rFonts w:ascii="Arial" w:cs="Arial" w:eastAsia="Arial" w:hAnsi="Arial"/>
                <w:sz w:val="14"/>
                <w:szCs w:val="14"/>
                <w:b w:val="1"/>
                <w:bCs w:val="1"/>
                <w:color w:val="auto"/>
              </w:rPr>
              <w:t>Scott Mair</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right w:val="single" w:sz="8" w:color="F2F2F2"/>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Borders>
              <w:right w:val="single" w:sz="8" w:color="F2F2F2"/>
            </w:tcBorders>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40" w:type="dxa"/>
            <w:vAlign w:val="bottom"/>
            <w:gridSpan w:val="3"/>
          </w:tcPr>
          <w:p>
            <w:pPr>
              <w:ind w:left="740"/>
              <w:spacing w:after="0" w:line="149" w:lineRule="exact"/>
              <w:rPr>
                <w:sz w:val="20"/>
                <w:szCs w:val="20"/>
                <w:color w:val="auto"/>
              </w:rPr>
            </w:pPr>
            <w:r>
              <w:rPr>
                <w:rFonts w:ascii="Arial" w:cs="Arial" w:eastAsia="Arial" w:hAnsi="Arial"/>
                <w:sz w:val="14"/>
                <w:szCs w:val="14"/>
                <w:color w:val="auto"/>
              </w:rPr>
              <w:t>Former President,</w:t>
            </w:r>
          </w:p>
        </w:tc>
        <w:tc>
          <w:tcPr>
            <w:tcW w:w="280" w:type="dxa"/>
            <w:vAlign w:val="bottom"/>
          </w:tcPr>
          <w:p>
            <w:pPr>
              <w:spacing w:after="0"/>
              <w:rPr>
                <w:sz w:val="12"/>
                <w:szCs w:val="12"/>
                <w:color w:val="auto"/>
              </w:rPr>
            </w:pPr>
          </w:p>
        </w:tc>
        <w:tc>
          <w:tcPr>
            <w:tcW w:w="1100" w:type="dxa"/>
            <w:vAlign w:val="bottom"/>
            <w:gridSpan w:val="4"/>
            <w:vMerge w:val="restart"/>
          </w:tcPr>
          <w:p>
            <w:pPr>
              <w:ind w:left="40"/>
              <w:spacing w:after="0" w:line="306" w:lineRule="exact"/>
              <w:rPr>
                <w:sz w:val="20"/>
                <w:szCs w:val="20"/>
                <w:color w:val="auto"/>
              </w:rPr>
            </w:pPr>
            <w:r>
              <w:rPr>
                <w:rFonts w:ascii="Arial" w:cs="Arial" w:eastAsia="Arial" w:hAnsi="Arial"/>
                <w:sz w:val="28"/>
                <w:szCs w:val="28"/>
                <w:color w:val="auto"/>
                <w:vertAlign w:val="subscript"/>
              </w:rPr>
              <w:t>​64 ​</w:t>
            </w:r>
            <w:r>
              <w:rPr>
                <w:rFonts w:ascii="Arial" w:cs="Arial" w:eastAsia="Arial" w:hAnsi="Arial"/>
                <w:sz w:val="14"/>
                <w:szCs w:val="14"/>
                <w:color w:val="auto"/>
              </w:rPr>
              <w:t>September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right w:val="single" w:sz="8" w:color="F2F2F2"/>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Borders>
              <w:right w:val="single" w:sz="8" w:color="F2F2F2"/>
            </w:tcBorders>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840" w:type="dxa"/>
            <w:vAlign w:val="bottom"/>
            <w:gridSpan w:val="2"/>
          </w:tcPr>
          <w:p>
            <w:pPr>
              <w:ind w:left="700"/>
              <w:spacing w:after="0" w:line="158" w:lineRule="exact"/>
              <w:rPr>
                <w:sz w:val="20"/>
                <w:szCs w:val="20"/>
                <w:color w:val="auto"/>
              </w:rPr>
            </w:pPr>
            <w:r>
              <w:rPr>
                <w:rFonts w:ascii="Arial" w:cs="Arial" w:eastAsia="Arial" w:hAnsi="Arial"/>
                <w:sz w:val="14"/>
                <w:szCs w:val="14"/>
                <w:color w:val="auto"/>
              </w:rPr>
              <w:t>​​AT&amp;T Network</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14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3"/>
                <w:szCs w:val="13"/>
                <w:color w:val="auto"/>
              </w:rPr>
            </w:pPr>
          </w:p>
        </w:tc>
        <w:tc>
          <w:tcPr>
            <w:tcW w:w="340" w:type="dxa"/>
            <w:vAlign w:val="bottom"/>
          </w:tcPr>
          <w:p>
            <w:pPr>
              <w:ind w:left="200"/>
              <w:spacing w:after="0" w:line="158"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208"/>
              <w:spacing w:after="0" w:line="158"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13"/>
                <w:szCs w:val="13"/>
                <w:color w:val="auto"/>
              </w:rPr>
            </w:pP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80" w:type="dxa"/>
            <w:vAlign w:val="bottom"/>
            <w:tcBorders>
              <w:right w:val="single" w:sz="8" w:color="F2F2F2"/>
            </w:tcBorders>
          </w:tcPr>
          <w:p>
            <w:pPr>
              <w:spacing w:after="0"/>
              <w:rPr>
                <w:sz w:val="13"/>
                <w:szCs w:val="13"/>
                <w:color w:val="auto"/>
              </w:rPr>
            </w:pPr>
          </w:p>
        </w:tc>
        <w:tc>
          <w:tcPr>
            <w:tcW w:w="12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880" w:type="dxa"/>
            <w:vAlign w:val="bottom"/>
          </w:tcPr>
          <w:p>
            <w:pPr>
              <w:ind w:left="40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760" w:type="dxa"/>
            <w:vAlign w:val="bottom"/>
            <w:tcBorders>
              <w:right w:val="single" w:sz="8" w:color="F2F2F2"/>
            </w:tcBorders>
          </w:tcPr>
          <w:p>
            <w:pPr>
              <w:ind w:left="140"/>
              <w:spacing w:after="0" w:line="158" w:lineRule="exact"/>
              <w:rPr>
                <w:sz w:val="20"/>
                <w:szCs w:val="20"/>
                <w:color w:val="auto"/>
              </w:rPr>
            </w:pPr>
            <w:r>
              <w:rPr>
                <w:rFonts w:ascii="Arial" w:cs="Arial" w:eastAsia="Arial" w:hAnsi="Arial"/>
                <w:sz w:val="14"/>
                <w:szCs w:val="14"/>
                <w:color w:val="auto"/>
              </w:rPr>
              <w:t>​</w:t>
            </w:r>
          </w:p>
        </w:tc>
        <w:tc>
          <w:tcPr>
            <w:tcW w:w="32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3"/>
                <w:szCs w:val="13"/>
                <w:color w:val="auto"/>
              </w:rPr>
            </w:pPr>
          </w:p>
        </w:tc>
        <w:tc>
          <w:tcPr>
            <w:tcW w:w="10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840" w:type="dxa"/>
            <w:vAlign w:val="bottom"/>
            <w:gridSpan w:val="2"/>
          </w:tcPr>
          <w:p>
            <w:pPr>
              <w:ind w:left="740"/>
              <w:spacing w:after="0"/>
              <w:rPr>
                <w:sz w:val="20"/>
                <w:szCs w:val="20"/>
                <w:color w:val="auto"/>
              </w:rPr>
            </w:pPr>
            <w:r>
              <w:rPr>
                <w:rFonts w:ascii="Arial" w:cs="Arial" w:eastAsia="Arial" w:hAnsi="Arial"/>
                <w:sz w:val="14"/>
                <w:szCs w:val="14"/>
                <w:color w:val="auto"/>
              </w:rPr>
              <w:t>Engineering &amp;</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2022</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right w:val="single" w:sz="8" w:color="F2F2F2"/>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Borders>
              <w:right w:val="single" w:sz="8" w:color="F2F2F2"/>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40" w:type="dxa"/>
            <w:vAlign w:val="bottom"/>
            <w:tcBorders>
              <w:bottom w:val="single" w:sz="8" w:color="E7417A"/>
            </w:tcBorders>
            <w:gridSpan w:val="2"/>
          </w:tcPr>
          <w:p>
            <w:pPr>
              <w:ind w:left="740"/>
              <w:spacing w:after="0"/>
              <w:rPr>
                <w:sz w:val="20"/>
                <w:szCs w:val="20"/>
                <w:color w:val="auto"/>
              </w:rPr>
            </w:pPr>
            <w:r>
              <w:rPr>
                <w:rFonts w:ascii="Arial" w:cs="Arial" w:eastAsia="Arial" w:hAnsi="Arial"/>
                <w:sz w:val="14"/>
                <w:szCs w:val="14"/>
                <w:color w:val="auto"/>
              </w:rPr>
              <w:t>Operations</w:t>
            </w:r>
          </w:p>
        </w:tc>
        <w:tc>
          <w:tcPr>
            <w:tcW w:w="200" w:type="dxa"/>
            <w:vAlign w:val="bottom"/>
            <w:tcBorders>
              <w:bottom w:val="single" w:sz="8" w:color="E7417A"/>
            </w:tcBorders>
          </w:tcPr>
          <w:p>
            <w:pPr>
              <w:spacing w:after="0"/>
              <w:rPr>
                <w:sz w:val="16"/>
                <w:szCs w:val="16"/>
                <w:color w:val="auto"/>
              </w:rPr>
            </w:pPr>
          </w:p>
        </w:tc>
        <w:tc>
          <w:tcPr>
            <w:tcW w:w="280" w:type="dxa"/>
            <w:vAlign w:val="bottom"/>
            <w:tcBorders>
              <w:bottom w:val="single" w:sz="8" w:color="E7417A"/>
            </w:tcBorders>
          </w:tcPr>
          <w:p>
            <w:pPr>
              <w:spacing w:after="0"/>
              <w:rPr>
                <w:sz w:val="16"/>
                <w:szCs w:val="16"/>
                <w:color w:val="auto"/>
              </w:rPr>
            </w:pPr>
          </w:p>
        </w:tc>
        <w:tc>
          <w:tcPr>
            <w:tcW w:w="300" w:type="dxa"/>
            <w:vAlign w:val="bottom"/>
            <w:tcBorders>
              <w:bottom w:val="single" w:sz="8" w:color="E7417A"/>
            </w:tcBorders>
          </w:tcPr>
          <w:p>
            <w:pPr>
              <w:spacing w:after="0"/>
              <w:rPr>
                <w:sz w:val="16"/>
                <w:szCs w:val="16"/>
                <w:color w:val="auto"/>
              </w:rPr>
            </w:pPr>
          </w:p>
        </w:tc>
        <w:tc>
          <w:tcPr>
            <w:tcW w:w="100" w:type="dxa"/>
            <w:vAlign w:val="bottom"/>
            <w:tcBorders>
              <w:bottom w:val="single" w:sz="8" w:color="E7417A"/>
            </w:tcBorders>
          </w:tcPr>
          <w:p>
            <w:pPr>
              <w:spacing w:after="0"/>
              <w:rPr>
                <w:sz w:val="16"/>
                <w:szCs w:val="16"/>
                <w:color w:val="auto"/>
              </w:rPr>
            </w:pPr>
          </w:p>
        </w:tc>
        <w:tc>
          <w:tcPr>
            <w:tcW w:w="40" w:type="dxa"/>
            <w:vAlign w:val="bottom"/>
            <w:tcBorders>
              <w:bottom w:val="single" w:sz="8" w:color="E7417A"/>
            </w:tcBorders>
          </w:tcPr>
          <w:p>
            <w:pPr>
              <w:spacing w:after="0"/>
              <w:rPr>
                <w:sz w:val="16"/>
                <w:szCs w:val="16"/>
                <w:color w:val="auto"/>
              </w:rPr>
            </w:pPr>
          </w:p>
        </w:tc>
        <w:tc>
          <w:tcPr>
            <w:tcW w:w="660" w:type="dxa"/>
            <w:vAlign w:val="bottom"/>
            <w:tcBorders>
              <w:bottom w:val="single" w:sz="8" w:color="E7417A"/>
            </w:tcBorders>
          </w:tcPr>
          <w:p>
            <w:pPr>
              <w:spacing w:after="0"/>
              <w:rPr>
                <w:sz w:val="16"/>
                <w:szCs w:val="16"/>
                <w:color w:val="auto"/>
              </w:rPr>
            </w:pPr>
          </w:p>
        </w:tc>
        <w:tc>
          <w:tcPr>
            <w:tcW w:w="140" w:type="dxa"/>
            <w:vAlign w:val="bottom"/>
            <w:tcBorders>
              <w:bottom w:val="single" w:sz="8" w:color="E7417A"/>
            </w:tcBorders>
          </w:tcPr>
          <w:p>
            <w:pPr>
              <w:spacing w:after="0"/>
              <w:rPr>
                <w:sz w:val="16"/>
                <w:szCs w:val="16"/>
                <w:color w:val="auto"/>
              </w:rPr>
            </w:pPr>
          </w:p>
        </w:tc>
        <w:tc>
          <w:tcPr>
            <w:tcW w:w="600" w:type="dxa"/>
            <w:vAlign w:val="bottom"/>
            <w:tcBorders>
              <w:bottom w:val="single" w:sz="8" w:color="E7417A"/>
            </w:tcBorders>
          </w:tcPr>
          <w:p>
            <w:pPr>
              <w:spacing w:after="0"/>
              <w:rPr>
                <w:sz w:val="16"/>
                <w:szCs w:val="16"/>
                <w:color w:val="auto"/>
              </w:rPr>
            </w:pPr>
          </w:p>
        </w:tc>
        <w:tc>
          <w:tcPr>
            <w:tcW w:w="340" w:type="dxa"/>
            <w:vAlign w:val="bottom"/>
            <w:tcBorders>
              <w:bottom w:val="single" w:sz="8" w:color="E7417A"/>
            </w:tcBorders>
          </w:tcPr>
          <w:p>
            <w:pPr>
              <w:spacing w:after="0"/>
              <w:rPr>
                <w:sz w:val="16"/>
                <w:szCs w:val="16"/>
                <w:color w:val="auto"/>
              </w:rPr>
            </w:pPr>
          </w:p>
        </w:tc>
        <w:tc>
          <w:tcPr>
            <w:tcW w:w="560" w:type="dxa"/>
            <w:vAlign w:val="bottom"/>
            <w:tcBorders>
              <w:bottom w:val="single" w:sz="8" w:color="E7417A"/>
            </w:tcBorders>
          </w:tcPr>
          <w:p>
            <w:pPr>
              <w:spacing w:after="0"/>
              <w:rPr>
                <w:sz w:val="16"/>
                <w:szCs w:val="16"/>
                <w:color w:val="auto"/>
              </w:rPr>
            </w:pPr>
          </w:p>
        </w:tc>
        <w:tc>
          <w:tcPr>
            <w:tcW w:w="60" w:type="dxa"/>
            <w:vAlign w:val="bottom"/>
            <w:tcBorders>
              <w:bottom w:val="single" w:sz="8" w:color="E7417A"/>
            </w:tcBorders>
          </w:tcPr>
          <w:p>
            <w:pPr>
              <w:spacing w:after="0"/>
              <w:rPr>
                <w:sz w:val="16"/>
                <w:szCs w:val="16"/>
                <w:color w:val="auto"/>
              </w:rPr>
            </w:pPr>
          </w:p>
        </w:tc>
        <w:tc>
          <w:tcPr>
            <w:tcW w:w="80" w:type="dxa"/>
            <w:vAlign w:val="bottom"/>
            <w:tcBorders>
              <w:bottom w:val="single" w:sz="8" w:color="E7417A"/>
            </w:tcBorders>
          </w:tcPr>
          <w:p>
            <w:pPr>
              <w:spacing w:after="0"/>
              <w:rPr>
                <w:sz w:val="16"/>
                <w:szCs w:val="16"/>
                <w:color w:val="auto"/>
              </w:rPr>
            </w:pPr>
          </w:p>
        </w:tc>
        <w:tc>
          <w:tcPr>
            <w:tcW w:w="160" w:type="dxa"/>
            <w:vAlign w:val="bottom"/>
            <w:tcBorders>
              <w:bottom w:val="single" w:sz="8" w:color="E7417A"/>
            </w:tcBorders>
          </w:tcPr>
          <w:p>
            <w:pPr>
              <w:spacing w:after="0"/>
              <w:rPr>
                <w:sz w:val="16"/>
                <w:szCs w:val="16"/>
                <w:color w:val="auto"/>
              </w:rPr>
            </w:pPr>
          </w:p>
        </w:tc>
        <w:tc>
          <w:tcPr>
            <w:tcW w:w="280" w:type="dxa"/>
            <w:vAlign w:val="bottom"/>
            <w:tcBorders>
              <w:bottom w:val="single" w:sz="8" w:color="E7417A"/>
              <w:right w:val="single" w:sz="8" w:color="F2F2F2"/>
            </w:tcBorders>
          </w:tcPr>
          <w:p>
            <w:pPr>
              <w:spacing w:after="0"/>
              <w:rPr>
                <w:sz w:val="16"/>
                <w:szCs w:val="16"/>
                <w:color w:val="auto"/>
              </w:rPr>
            </w:pPr>
          </w:p>
        </w:tc>
        <w:tc>
          <w:tcPr>
            <w:tcW w:w="120" w:type="dxa"/>
            <w:vAlign w:val="bottom"/>
            <w:tcBorders>
              <w:bottom w:val="single" w:sz="8" w:color="E7417A"/>
            </w:tcBorders>
          </w:tcPr>
          <w:p>
            <w:pPr>
              <w:spacing w:after="0"/>
              <w:rPr>
                <w:sz w:val="16"/>
                <w:szCs w:val="16"/>
                <w:color w:val="auto"/>
              </w:rPr>
            </w:pPr>
          </w:p>
        </w:tc>
        <w:tc>
          <w:tcPr>
            <w:tcW w:w="880" w:type="dxa"/>
            <w:vAlign w:val="bottom"/>
            <w:tcBorders>
              <w:bottom w:val="single" w:sz="8" w:color="E7417A"/>
            </w:tcBorders>
          </w:tcPr>
          <w:p>
            <w:pPr>
              <w:spacing w:after="0"/>
              <w:rPr>
                <w:sz w:val="16"/>
                <w:szCs w:val="16"/>
                <w:color w:val="auto"/>
              </w:rPr>
            </w:pPr>
          </w:p>
        </w:tc>
        <w:tc>
          <w:tcPr>
            <w:tcW w:w="40" w:type="dxa"/>
            <w:vAlign w:val="bottom"/>
            <w:tcBorders>
              <w:bottom w:val="single" w:sz="8" w:color="E7417A"/>
            </w:tcBorders>
          </w:tcPr>
          <w:p>
            <w:pPr>
              <w:spacing w:after="0"/>
              <w:rPr>
                <w:sz w:val="16"/>
                <w:szCs w:val="16"/>
                <w:color w:val="auto"/>
              </w:rPr>
            </w:pPr>
          </w:p>
        </w:tc>
        <w:tc>
          <w:tcPr>
            <w:tcW w:w="100" w:type="dxa"/>
            <w:vAlign w:val="bottom"/>
            <w:tcBorders>
              <w:bottom w:val="single" w:sz="8" w:color="E7417A"/>
            </w:tcBorders>
          </w:tcPr>
          <w:p>
            <w:pPr>
              <w:spacing w:after="0"/>
              <w:rPr>
                <w:sz w:val="16"/>
                <w:szCs w:val="16"/>
                <w:color w:val="auto"/>
              </w:rPr>
            </w:pPr>
          </w:p>
        </w:tc>
        <w:tc>
          <w:tcPr>
            <w:tcW w:w="360" w:type="dxa"/>
            <w:vAlign w:val="bottom"/>
            <w:tcBorders>
              <w:bottom w:val="single" w:sz="8" w:color="E7417A"/>
            </w:tcBorders>
          </w:tcPr>
          <w:p>
            <w:pPr>
              <w:spacing w:after="0"/>
              <w:rPr>
                <w:sz w:val="16"/>
                <w:szCs w:val="16"/>
                <w:color w:val="auto"/>
              </w:rPr>
            </w:pPr>
          </w:p>
        </w:tc>
        <w:tc>
          <w:tcPr>
            <w:tcW w:w="760" w:type="dxa"/>
            <w:vAlign w:val="bottom"/>
            <w:tcBorders>
              <w:bottom w:val="single" w:sz="8" w:color="E7417A"/>
              <w:right w:val="single" w:sz="8" w:color="F2F2F2"/>
            </w:tcBorders>
          </w:tcPr>
          <w:p>
            <w:pPr>
              <w:spacing w:after="0"/>
              <w:rPr>
                <w:sz w:val="16"/>
                <w:szCs w:val="16"/>
                <w:color w:val="auto"/>
              </w:rPr>
            </w:pPr>
          </w:p>
        </w:tc>
        <w:tc>
          <w:tcPr>
            <w:tcW w:w="320" w:type="dxa"/>
            <w:vAlign w:val="bottom"/>
            <w:tcBorders>
              <w:bottom w:val="single" w:sz="8" w:color="E7417A"/>
            </w:tcBorders>
          </w:tcPr>
          <w:p>
            <w:pPr>
              <w:spacing w:after="0"/>
              <w:rPr>
                <w:sz w:val="16"/>
                <w:szCs w:val="16"/>
                <w:color w:val="auto"/>
              </w:rPr>
            </w:pPr>
          </w:p>
        </w:tc>
        <w:tc>
          <w:tcPr>
            <w:tcW w:w="580" w:type="dxa"/>
            <w:vAlign w:val="bottom"/>
            <w:tcBorders>
              <w:bottom w:val="single" w:sz="8" w:color="E7417A"/>
            </w:tcBorders>
          </w:tcPr>
          <w:p>
            <w:pPr>
              <w:spacing w:after="0"/>
              <w:rPr>
                <w:sz w:val="16"/>
                <w:szCs w:val="16"/>
                <w:color w:val="auto"/>
              </w:rPr>
            </w:pPr>
          </w:p>
        </w:tc>
        <w:tc>
          <w:tcPr>
            <w:tcW w:w="60" w:type="dxa"/>
            <w:vAlign w:val="bottom"/>
            <w:tcBorders>
              <w:bottom w:val="single" w:sz="8" w:color="E7417A"/>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840" w:type="dxa"/>
            <w:vAlign w:val="bottom"/>
            <w:gridSpan w:val="2"/>
          </w:tcPr>
          <w:p>
            <w:pPr>
              <w:ind w:left="740"/>
              <w:spacing w:after="0"/>
              <w:rPr>
                <w:sz w:val="20"/>
                <w:szCs w:val="20"/>
                <w:color w:val="auto"/>
              </w:rPr>
            </w:pPr>
            <w:r>
              <w:rPr>
                <w:rFonts w:ascii="Arial" w:cs="Arial" w:eastAsia="Arial" w:hAnsi="Arial"/>
                <w:sz w:val="14"/>
                <w:szCs w:val="14"/>
                <w:b w:val="1"/>
                <w:bCs w:val="1"/>
                <w:color w:val="auto"/>
              </w:rPr>
              <w:t>Shaul Shani</w:t>
            </w:r>
            <w:r>
              <w:rPr>
                <w:rFonts w:ascii="Arial" w:cs="Arial" w:eastAsia="Arial" w:hAnsi="Arial"/>
                <w:sz w:val="14"/>
                <w:szCs w:val="14"/>
                <w:color w:val="auto"/>
              </w:rPr>
              <w:t xml:space="preserve"> </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vMerge w:val="restart"/>
          </w:tcPr>
          <w:p>
            <w:pPr>
              <w:jc w:val="center"/>
              <w:ind w:right="31"/>
              <w:spacing w:after="0"/>
              <w:rPr>
                <w:sz w:val="20"/>
                <w:szCs w:val="20"/>
                <w:color w:val="auto"/>
              </w:rPr>
            </w:pPr>
            <w:r>
              <w:rPr>
                <w:rFonts w:ascii="Arial" w:cs="Arial" w:eastAsia="Arial" w:hAnsi="Arial"/>
                <w:sz w:val="14"/>
                <w:szCs w:val="14"/>
                <w:color w:val="auto"/>
              </w:rPr>
              <w:t>June</w:t>
            </w: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Borders>
              <w:right w:val="single" w:sz="8" w:color="F2F2F2"/>
            </w:tcBorders>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Borders>
              <w:right w:val="single" w:sz="8" w:color="F2F2F2"/>
            </w:tcBorders>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1840" w:type="dxa"/>
            <w:vAlign w:val="bottom"/>
            <w:gridSpan w:val="2"/>
            <w:vMerge w:val="restart"/>
          </w:tcPr>
          <w:p>
            <w:pPr>
              <w:ind w:left="700"/>
              <w:spacing w:after="0" w:line="172"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1"/>
                <w:szCs w:val="11"/>
                <w:color w:val="auto"/>
              </w:rPr>
              <w:t>Founder and</w:t>
            </w: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vMerge w:val="restart"/>
          </w:tcPr>
          <w:p>
            <w:pPr>
              <w:ind w:left="40"/>
              <w:spacing w:after="0"/>
              <w:rPr>
                <w:sz w:val="20"/>
                <w:szCs w:val="20"/>
                <w:color w:val="auto"/>
              </w:rPr>
            </w:pPr>
            <w:r>
              <w:rPr>
                <w:rFonts w:ascii="Arial" w:cs="Arial" w:eastAsia="Arial" w:hAnsi="Arial"/>
                <w:sz w:val="14"/>
                <w:szCs w:val="14"/>
                <w:color w:val="auto"/>
              </w:rPr>
              <w:t>​70</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208"/>
              <w:spacing w:after="0"/>
              <w:rPr>
                <w:sz w:val="20"/>
                <w:szCs w:val="20"/>
                <w:color w:val="auto"/>
              </w:rPr>
            </w:pPr>
            <w:r>
              <w:rPr>
                <w:rFonts w:ascii="Arial" w:cs="Arial" w:eastAsia="Arial" w:hAnsi="Arial"/>
                <w:sz w:val="14"/>
                <w:szCs w:val="14"/>
                <w:color w:val="auto"/>
              </w:rPr>
              <w:t>0</w:t>
            </w:r>
          </w:p>
        </w:tc>
        <w:tc>
          <w:tcPr>
            <w:tcW w:w="6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8"/>
                <w:szCs w:val="8"/>
                <w:color w:val="auto"/>
              </w:rPr>
            </w:pPr>
          </w:p>
        </w:tc>
        <w:tc>
          <w:tcPr>
            <w:tcW w:w="280" w:type="dxa"/>
            <w:vAlign w:val="bottom"/>
            <w:tcBorders>
              <w:right w:val="single" w:sz="8" w:color="F2F2F2"/>
            </w:tcBorders>
            <w:vMerge w:val="restart"/>
          </w:tcPr>
          <w:p>
            <w:pPr>
              <w:ind w:left="2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8"/>
                <w:szCs w:val="8"/>
                <w:color w:val="auto"/>
              </w:rPr>
            </w:pPr>
          </w:p>
        </w:tc>
        <w:tc>
          <w:tcPr>
            <w:tcW w:w="760" w:type="dxa"/>
            <w:vAlign w:val="bottom"/>
            <w:tcBorders>
              <w:right w:val="single" w:sz="8" w:color="F2F2F2"/>
            </w:tcBorders>
            <w:vMerge w:val="restart"/>
          </w:tcPr>
          <w:p>
            <w:pPr>
              <w:ind w:left="14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7"/>
        </w:trPr>
        <w:tc>
          <w:tcPr>
            <w:tcW w:w="18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1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right w:val="single" w:sz="8" w:color="F2F2F2"/>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Borders>
              <w:right w:val="single" w:sz="8" w:color="F2F2F2"/>
            </w:tcBorders>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840" w:type="dxa"/>
            <w:vAlign w:val="bottom"/>
            <w:gridSpan w:val="2"/>
            <w:vMerge w:val="restart"/>
          </w:tcPr>
          <w:p>
            <w:pPr>
              <w:ind w:left="740"/>
              <w:spacing w:after="0" w:line="153" w:lineRule="exact"/>
              <w:rPr>
                <w:sz w:val="20"/>
                <w:szCs w:val="20"/>
                <w:color w:val="auto"/>
              </w:rPr>
            </w:pPr>
            <w:r>
              <w:rPr>
                <w:rFonts w:ascii="Arial" w:cs="Arial" w:eastAsia="Arial" w:hAnsi="Arial"/>
                <w:sz w:val="14"/>
                <w:szCs w:val="14"/>
                <w:color w:val="auto"/>
              </w:rPr>
              <w:t>Chairman,</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right w:val="single" w:sz="8" w:color="F2F2F2"/>
            </w:tcBorders>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Borders>
              <w:right w:val="single" w:sz="8" w:color="F2F2F2"/>
            </w:tcBorders>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8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Borders>
              <w:right w:val="single" w:sz="8" w:color="F2F2F2"/>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Borders>
              <w:right w:val="single" w:sz="8" w:color="F2F2F2"/>
            </w:tcBorders>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840" w:type="dxa"/>
            <w:vAlign w:val="bottom"/>
            <w:tcBorders>
              <w:bottom w:val="single" w:sz="8" w:color="E7417A"/>
            </w:tcBorders>
            <w:gridSpan w:val="2"/>
          </w:tcPr>
          <w:p>
            <w:pPr>
              <w:ind w:left="740"/>
              <w:spacing w:after="0"/>
              <w:rPr>
                <w:sz w:val="20"/>
                <w:szCs w:val="20"/>
                <w:color w:val="auto"/>
              </w:rPr>
            </w:pPr>
            <w:r>
              <w:rPr>
                <w:rFonts w:ascii="Arial" w:cs="Arial" w:eastAsia="Arial" w:hAnsi="Arial"/>
                <w:sz w:val="14"/>
                <w:szCs w:val="14"/>
                <w:color w:val="auto"/>
              </w:rPr>
              <w:t>Swarth Group</w:t>
            </w:r>
          </w:p>
        </w:tc>
        <w:tc>
          <w:tcPr>
            <w:tcW w:w="200" w:type="dxa"/>
            <w:vAlign w:val="bottom"/>
            <w:tcBorders>
              <w:bottom w:val="single" w:sz="8" w:color="E7417A"/>
            </w:tcBorders>
          </w:tcPr>
          <w:p>
            <w:pPr>
              <w:spacing w:after="0"/>
              <w:rPr>
                <w:sz w:val="16"/>
                <w:szCs w:val="16"/>
                <w:color w:val="auto"/>
              </w:rPr>
            </w:pPr>
          </w:p>
        </w:tc>
        <w:tc>
          <w:tcPr>
            <w:tcW w:w="280" w:type="dxa"/>
            <w:vAlign w:val="bottom"/>
            <w:tcBorders>
              <w:bottom w:val="single" w:sz="8" w:color="E7417A"/>
            </w:tcBorders>
          </w:tcPr>
          <w:p>
            <w:pPr>
              <w:spacing w:after="0"/>
              <w:rPr>
                <w:sz w:val="16"/>
                <w:szCs w:val="16"/>
                <w:color w:val="auto"/>
              </w:rPr>
            </w:pPr>
          </w:p>
        </w:tc>
        <w:tc>
          <w:tcPr>
            <w:tcW w:w="300" w:type="dxa"/>
            <w:vAlign w:val="bottom"/>
            <w:tcBorders>
              <w:bottom w:val="single" w:sz="8" w:color="E7417A"/>
            </w:tcBorders>
          </w:tcPr>
          <w:p>
            <w:pPr>
              <w:spacing w:after="0"/>
              <w:rPr>
                <w:sz w:val="16"/>
                <w:szCs w:val="16"/>
                <w:color w:val="auto"/>
              </w:rPr>
            </w:pPr>
          </w:p>
        </w:tc>
        <w:tc>
          <w:tcPr>
            <w:tcW w:w="100" w:type="dxa"/>
            <w:vAlign w:val="bottom"/>
            <w:tcBorders>
              <w:bottom w:val="single" w:sz="8" w:color="E7417A"/>
            </w:tcBorders>
          </w:tcPr>
          <w:p>
            <w:pPr>
              <w:spacing w:after="0"/>
              <w:rPr>
                <w:sz w:val="16"/>
                <w:szCs w:val="16"/>
                <w:color w:val="auto"/>
              </w:rPr>
            </w:pPr>
          </w:p>
        </w:tc>
        <w:tc>
          <w:tcPr>
            <w:tcW w:w="40" w:type="dxa"/>
            <w:vAlign w:val="bottom"/>
            <w:tcBorders>
              <w:bottom w:val="single" w:sz="8" w:color="E7417A"/>
            </w:tcBorders>
          </w:tcPr>
          <w:p>
            <w:pPr>
              <w:spacing w:after="0"/>
              <w:rPr>
                <w:sz w:val="16"/>
                <w:szCs w:val="16"/>
                <w:color w:val="auto"/>
              </w:rPr>
            </w:pPr>
          </w:p>
        </w:tc>
        <w:tc>
          <w:tcPr>
            <w:tcW w:w="660" w:type="dxa"/>
            <w:vAlign w:val="bottom"/>
            <w:tcBorders>
              <w:bottom w:val="single" w:sz="8" w:color="E7417A"/>
            </w:tcBorders>
          </w:tcPr>
          <w:p>
            <w:pPr>
              <w:spacing w:after="0"/>
              <w:rPr>
                <w:sz w:val="16"/>
                <w:szCs w:val="16"/>
                <w:color w:val="auto"/>
              </w:rPr>
            </w:pPr>
          </w:p>
        </w:tc>
        <w:tc>
          <w:tcPr>
            <w:tcW w:w="140" w:type="dxa"/>
            <w:vAlign w:val="bottom"/>
            <w:tcBorders>
              <w:bottom w:val="single" w:sz="8" w:color="E7417A"/>
            </w:tcBorders>
          </w:tcPr>
          <w:p>
            <w:pPr>
              <w:spacing w:after="0"/>
              <w:rPr>
                <w:sz w:val="16"/>
                <w:szCs w:val="16"/>
                <w:color w:val="auto"/>
              </w:rPr>
            </w:pPr>
          </w:p>
        </w:tc>
        <w:tc>
          <w:tcPr>
            <w:tcW w:w="600" w:type="dxa"/>
            <w:vAlign w:val="bottom"/>
            <w:tcBorders>
              <w:bottom w:val="single" w:sz="8" w:color="E7417A"/>
            </w:tcBorders>
          </w:tcPr>
          <w:p>
            <w:pPr>
              <w:spacing w:after="0"/>
              <w:rPr>
                <w:sz w:val="16"/>
                <w:szCs w:val="16"/>
                <w:color w:val="auto"/>
              </w:rPr>
            </w:pPr>
          </w:p>
        </w:tc>
        <w:tc>
          <w:tcPr>
            <w:tcW w:w="340" w:type="dxa"/>
            <w:vAlign w:val="bottom"/>
            <w:tcBorders>
              <w:bottom w:val="single" w:sz="8" w:color="E7417A"/>
            </w:tcBorders>
          </w:tcPr>
          <w:p>
            <w:pPr>
              <w:spacing w:after="0"/>
              <w:rPr>
                <w:sz w:val="16"/>
                <w:szCs w:val="16"/>
                <w:color w:val="auto"/>
              </w:rPr>
            </w:pPr>
          </w:p>
        </w:tc>
        <w:tc>
          <w:tcPr>
            <w:tcW w:w="560" w:type="dxa"/>
            <w:vAlign w:val="bottom"/>
            <w:tcBorders>
              <w:bottom w:val="single" w:sz="8" w:color="E7417A"/>
            </w:tcBorders>
          </w:tcPr>
          <w:p>
            <w:pPr>
              <w:spacing w:after="0"/>
              <w:rPr>
                <w:sz w:val="16"/>
                <w:szCs w:val="16"/>
                <w:color w:val="auto"/>
              </w:rPr>
            </w:pPr>
          </w:p>
        </w:tc>
        <w:tc>
          <w:tcPr>
            <w:tcW w:w="60" w:type="dxa"/>
            <w:vAlign w:val="bottom"/>
            <w:tcBorders>
              <w:bottom w:val="single" w:sz="8" w:color="E7417A"/>
            </w:tcBorders>
          </w:tcPr>
          <w:p>
            <w:pPr>
              <w:spacing w:after="0"/>
              <w:rPr>
                <w:sz w:val="16"/>
                <w:szCs w:val="16"/>
                <w:color w:val="auto"/>
              </w:rPr>
            </w:pPr>
          </w:p>
        </w:tc>
        <w:tc>
          <w:tcPr>
            <w:tcW w:w="80" w:type="dxa"/>
            <w:vAlign w:val="bottom"/>
            <w:tcBorders>
              <w:bottom w:val="single" w:sz="8" w:color="E7417A"/>
            </w:tcBorders>
          </w:tcPr>
          <w:p>
            <w:pPr>
              <w:spacing w:after="0"/>
              <w:rPr>
                <w:sz w:val="16"/>
                <w:szCs w:val="16"/>
                <w:color w:val="auto"/>
              </w:rPr>
            </w:pPr>
          </w:p>
        </w:tc>
        <w:tc>
          <w:tcPr>
            <w:tcW w:w="160" w:type="dxa"/>
            <w:vAlign w:val="bottom"/>
            <w:tcBorders>
              <w:bottom w:val="single" w:sz="8" w:color="E7417A"/>
            </w:tcBorders>
          </w:tcPr>
          <w:p>
            <w:pPr>
              <w:spacing w:after="0"/>
              <w:rPr>
                <w:sz w:val="16"/>
                <w:szCs w:val="16"/>
                <w:color w:val="auto"/>
              </w:rPr>
            </w:pPr>
          </w:p>
        </w:tc>
        <w:tc>
          <w:tcPr>
            <w:tcW w:w="280" w:type="dxa"/>
            <w:vAlign w:val="bottom"/>
            <w:tcBorders>
              <w:bottom w:val="single" w:sz="8" w:color="E7417A"/>
              <w:right w:val="single" w:sz="8" w:color="F2F2F2"/>
            </w:tcBorders>
          </w:tcPr>
          <w:p>
            <w:pPr>
              <w:spacing w:after="0"/>
              <w:rPr>
                <w:sz w:val="16"/>
                <w:szCs w:val="16"/>
                <w:color w:val="auto"/>
              </w:rPr>
            </w:pPr>
          </w:p>
        </w:tc>
        <w:tc>
          <w:tcPr>
            <w:tcW w:w="120" w:type="dxa"/>
            <w:vAlign w:val="bottom"/>
            <w:tcBorders>
              <w:bottom w:val="single" w:sz="8" w:color="E7417A"/>
            </w:tcBorders>
          </w:tcPr>
          <w:p>
            <w:pPr>
              <w:spacing w:after="0"/>
              <w:rPr>
                <w:sz w:val="16"/>
                <w:szCs w:val="16"/>
                <w:color w:val="auto"/>
              </w:rPr>
            </w:pPr>
          </w:p>
        </w:tc>
        <w:tc>
          <w:tcPr>
            <w:tcW w:w="880" w:type="dxa"/>
            <w:vAlign w:val="bottom"/>
            <w:tcBorders>
              <w:bottom w:val="single" w:sz="8" w:color="E7417A"/>
            </w:tcBorders>
          </w:tcPr>
          <w:p>
            <w:pPr>
              <w:spacing w:after="0"/>
              <w:rPr>
                <w:sz w:val="16"/>
                <w:szCs w:val="16"/>
                <w:color w:val="auto"/>
              </w:rPr>
            </w:pPr>
          </w:p>
        </w:tc>
        <w:tc>
          <w:tcPr>
            <w:tcW w:w="40" w:type="dxa"/>
            <w:vAlign w:val="bottom"/>
            <w:tcBorders>
              <w:bottom w:val="single" w:sz="8" w:color="E7417A"/>
            </w:tcBorders>
          </w:tcPr>
          <w:p>
            <w:pPr>
              <w:spacing w:after="0"/>
              <w:rPr>
                <w:sz w:val="16"/>
                <w:szCs w:val="16"/>
                <w:color w:val="auto"/>
              </w:rPr>
            </w:pPr>
          </w:p>
        </w:tc>
        <w:tc>
          <w:tcPr>
            <w:tcW w:w="100" w:type="dxa"/>
            <w:vAlign w:val="bottom"/>
            <w:tcBorders>
              <w:bottom w:val="single" w:sz="8" w:color="E7417A"/>
            </w:tcBorders>
          </w:tcPr>
          <w:p>
            <w:pPr>
              <w:spacing w:after="0"/>
              <w:rPr>
                <w:sz w:val="16"/>
                <w:szCs w:val="16"/>
                <w:color w:val="auto"/>
              </w:rPr>
            </w:pPr>
          </w:p>
        </w:tc>
        <w:tc>
          <w:tcPr>
            <w:tcW w:w="360" w:type="dxa"/>
            <w:vAlign w:val="bottom"/>
            <w:tcBorders>
              <w:bottom w:val="single" w:sz="8" w:color="E7417A"/>
            </w:tcBorders>
          </w:tcPr>
          <w:p>
            <w:pPr>
              <w:spacing w:after="0"/>
              <w:rPr>
                <w:sz w:val="16"/>
                <w:szCs w:val="16"/>
                <w:color w:val="auto"/>
              </w:rPr>
            </w:pPr>
          </w:p>
        </w:tc>
        <w:tc>
          <w:tcPr>
            <w:tcW w:w="760" w:type="dxa"/>
            <w:vAlign w:val="bottom"/>
            <w:tcBorders>
              <w:bottom w:val="single" w:sz="8" w:color="E7417A"/>
              <w:right w:val="single" w:sz="8" w:color="F2F2F2"/>
            </w:tcBorders>
          </w:tcPr>
          <w:p>
            <w:pPr>
              <w:spacing w:after="0"/>
              <w:rPr>
                <w:sz w:val="16"/>
                <w:szCs w:val="16"/>
                <w:color w:val="auto"/>
              </w:rPr>
            </w:pPr>
          </w:p>
        </w:tc>
        <w:tc>
          <w:tcPr>
            <w:tcW w:w="320" w:type="dxa"/>
            <w:vAlign w:val="bottom"/>
            <w:tcBorders>
              <w:bottom w:val="single" w:sz="8" w:color="E7417A"/>
            </w:tcBorders>
          </w:tcPr>
          <w:p>
            <w:pPr>
              <w:spacing w:after="0"/>
              <w:rPr>
                <w:sz w:val="16"/>
                <w:szCs w:val="16"/>
                <w:color w:val="auto"/>
              </w:rPr>
            </w:pPr>
          </w:p>
        </w:tc>
        <w:tc>
          <w:tcPr>
            <w:tcW w:w="580" w:type="dxa"/>
            <w:vAlign w:val="bottom"/>
            <w:tcBorders>
              <w:bottom w:val="single" w:sz="8" w:color="E7417A"/>
            </w:tcBorders>
          </w:tcPr>
          <w:p>
            <w:pPr>
              <w:spacing w:after="0"/>
              <w:rPr>
                <w:sz w:val="16"/>
                <w:szCs w:val="16"/>
                <w:color w:val="auto"/>
              </w:rPr>
            </w:pPr>
          </w:p>
        </w:tc>
        <w:tc>
          <w:tcPr>
            <w:tcW w:w="60" w:type="dxa"/>
            <w:vAlign w:val="bottom"/>
            <w:tcBorders>
              <w:bottom w:val="single" w:sz="8" w:color="E7417A"/>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40" w:type="dxa"/>
            <w:vAlign w:val="bottom"/>
            <w:gridSpan w:val="3"/>
          </w:tcPr>
          <w:p>
            <w:pPr>
              <w:ind w:left="740"/>
              <w:spacing w:after="0"/>
              <w:rPr>
                <w:sz w:val="20"/>
                <w:szCs w:val="20"/>
                <w:color w:val="auto"/>
              </w:rPr>
            </w:pPr>
            <w:r>
              <w:rPr>
                <w:rFonts w:ascii="Arial" w:cs="Arial" w:eastAsia="Arial" w:hAnsi="Arial"/>
                <w:sz w:val="14"/>
                <w:szCs w:val="14"/>
                <w:b w:val="1"/>
                <w:bCs w:val="1"/>
                <w:color w:val="auto"/>
              </w:rPr>
              <w:t>Richard W. Smith</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right w:val="single" w:sz="8" w:color="F2F2F2"/>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Borders>
              <w:right w:val="single" w:sz="8" w:color="F2F2F2"/>
            </w:tcBorders>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320" w:type="dxa"/>
            <w:vAlign w:val="bottom"/>
            <w:gridSpan w:val="4"/>
          </w:tcPr>
          <w:p>
            <w:pPr>
              <w:ind w:left="740"/>
              <w:spacing w:after="0" w:line="158" w:lineRule="exact"/>
              <w:rPr>
                <w:sz w:val="20"/>
                <w:szCs w:val="20"/>
                <w:color w:val="auto"/>
              </w:rPr>
            </w:pPr>
            <w:r>
              <w:rPr>
                <w:rFonts w:ascii="Arial" w:cs="Arial" w:eastAsia="Arial" w:hAnsi="Arial"/>
                <w:sz w:val="14"/>
                <w:szCs w:val="14"/>
                <w:color w:val="auto"/>
              </w:rPr>
              <w:t>Chairman of Private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jc w:val="center"/>
              <w:ind w:right="51"/>
              <w:spacing w:after="0" w:line="158" w:lineRule="exact"/>
              <w:rPr>
                <w:sz w:val="20"/>
                <w:szCs w:val="20"/>
                <w:color w:val="auto"/>
              </w:rPr>
            </w:pPr>
            <w:r>
              <w:rPr>
                <w:rFonts w:ascii="Arial" w:cs="Arial" w:eastAsia="Arial" w:hAnsi="Arial"/>
                <w:sz w:val="14"/>
                <w:szCs w:val="14"/>
                <w:color w:val="auto"/>
              </w:rPr>
              <w:t>October</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right w:val="single" w:sz="8" w:color="F2F2F2"/>
            </w:tcBorders>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Borders>
              <w:right w:val="single" w:sz="8" w:color="F2F2F2"/>
            </w:tcBorders>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40" w:type="dxa"/>
            <w:vAlign w:val="bottom"/>
            <w:gridSpan w:val="3"/>
          </w:tcPr>
          <w:p>
            <w:pPr>
              <w:ind w:left="700"/>
              <w:spacing w:after="0" w:line="166"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Capital, JPMorgan</w:t>
            </w:r>
          </w:p>
        </w:tc>
        <w:tc>
          <w:tcPr>
            <w:tcW w:w="28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​72 ​</w:t>
            </w:r>
          </w:p>
        </w:tc>
        <w:tc>
          <w:tcPr>
            <w:tcW w:w="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2017</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600" w:type="dxa"/>
            <w:vAlign w:val="bottom"/>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80" w:type="dxa"/>
            <w:vAlign w:val="bottom"/>
            <w:tcBorders>
              <w:right w:val="single" w:sz="8" w:color="F2F2F2"/>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tcPr>
          <w:p>
            <w:pPr>
              <w:ind w:lef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760" w:type="dxa"/>
            <w:vAlign w:val="bottom"/>
            <w:tcBorders>
              <w:right w:val="single" w:sz="8" w:color="F2F2F2"/>
            </w:tcBorders>
          </w:tcPr>
          <w:p>
            <w:pPr>
              <w:ind w:lef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tcPr>
          <w:p>
            <w:pPr>
              <w:ind w:left="140"/>
              <w:spacing w:after="0"/>
              <w:rPr>
                <w:sz w:val="20"/>
                <w:szCs w:val="20"/>
                <w:color w:val="auto"/>
              </w:rPr>
            </w:pPr>
            <w:r>
              <w:rPr>
                <w:rFonts w:ascii="Arial" w:cs="Arial" w:eastAsia="Arial" w:hAnsi="Arial"/>
                <w:sz w:val="14"/>
                <w:szCs w:val="14"/>
                <w:color w:val="auto"/>
              </w:rPr>
              <w:t>​</w:t>
            </w:r>
          </w:p>
        </w:tc>
        <w:tc>
          <w:tcPr>
            <w:tcW w:w="1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840" w:type="dxa"/>
            <w:vAlign w:val="bottom"/>
            <w:gridSpan w:val="2"/>
          </w:tcPr>
          <w:p>
            <w:pPr>
              <w:ind w:left="740"/>
              <w:spacing w:after="0"/>
              <w:rPr>
                <w:sz w:val="20"/>
                <w:szCs w:val="20"/>
                <w:color w:val="auto"/>
              </w:rPr>
            </w:pPr>
            <w:r>
              <w:rPr>
                <w:rFonts w:ascii="Arial" w:cs="Arial" w:eastAsia="Arial" w:hAnsi="Arial"/>
                <w:sz w:val="14"/>
                <w:szCs w:val="14"/>
                <w:color w:val="auto"/>
              </w:rPr>
              <w:t>Chase &amp; Co.</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right w:val="single" w:sz="8" w:color="F2F2F2"/>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Borders>
              <w:right w:val="single" w:sz="8" w:color="F2F2F2"/>
            </w:tcBorders>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840" w:type="dxa"/>
            <w:vAlign w:val="bottom"/>
            <w:tcBorders>
              <w:bottom w:val="single" w:sz="8" w:color="E7417A"/>
            </w:tcBorders>
            <w:gridSpan w:val="2"/>
          </w:tcPr>
          <w:p>
            <w:pPr>
              <w:spacing w:after="0"/>
              <w:rPr>
                <w:sz w:val="6"/>
                <w:szCs w:val="6"/>
                <w:color w:val="auto"/>
              </w:rPr>
            </w:pPr>
          </w:p>
        </w:tc>
        <w:tc>
          <w:tcPr>
            <w:tcW w:w="200" w:type="dxa"/>
            <w:vAlign w:val="bottom"/>
            <w:tcBorders>
              <w:bottom w:val="single" w:sz="8" w:color="E7417A"/>
            </w:tcBorders>
          </w:tcPr>
          <w:p>
            <w:pPr>
              <w:spacing w:after="0"/>
              <w:rPr>
                <w:sz w:val="6"/>
                <w:szCs w:val="6"/>
                <w:color w:val="auto"/>
              </w:rPr>
            </w:pPr>
          </w:p>
        </w:tc>
        <w:tc>
          <w:tcPr>
            <w:tcW w:w="280" w:type="dxa"/>
            <w:vAlign w:val="bottom"/>
            <w:tcBorders>
              <w:bottom w:val="single" w:sz="8" w:color="E7417A"/>
            </w:tcBorders>
          </w:tcPr>
          <w:p>
            <w:pPr>
              <w:spacing w:after="0"/>
              <w:rPr>
                <w:sz w:val="6"/>
                <w:szCs w:val="6"/>
                <w:color w:val="auto"/>
              </w:rPr>
            </w:pPr>
          </w:p>
        </w:tc>
        <w:tc>
          <w:tcPr>
            <w:tcW w:w="300" w:type="dxa"/>
            <w:vAlign w:val="bottom"/>
            <w:tcBorders>
              <w:bottom w:val="single" w:sz="8" w:color="E7417A"/>
            </w:tcBorders>
          </w:tcPr>
          <w:p>
            <w:pPr>
              <w:spacing w:after="0"/>
              <w:rPr>
                <w:sz w:val="6"/>
                <w:szCs w:val="6"/>
                <w:color w:val="auto"/>
              </w:rPr>
            </w:pPr>
          </w:p>
        </w:tc>
        <w:tc>
          <w:tcPr>
            <w:tcW w:w="100" w:type="dxa"/>
            <w:vAlign w:val="bottom"/>
            <w:tcBorders>
              <w:bottom w:val="single" w:sz="8" w:color="E7417A"/>
            </w:tcBorders>
          </w:tcPr>
          <w:p>
            <w:pPr>
              <w:spacing w:after="0"/>
              <w:rPr>
                <w:sz w:val="6"/>
                <w:szCs w:val="6"/>
                <w:color w:val="auto"/>
              </w:rPr>
            </w:pPr>
          </w:p>
        </w:tc>
        <w:tc>
          <w:tcPr>
            <w:tcW w:w="40" w:type="dxa"/>
            <w:vAlign w:val="bottom"/>
            <w:tcBorders>
              <w:bottom w:val="single" w:sz="8" w:color="E7417A"/>
            </w:tcBorders>
          </w:tcPr>
          <w:p>
            <w:pPr>
              <w:spacing w:after="0"/>
              <w:rPr>
                <w:sz w:val="6"/>
                <w:szCs w:val="6"/>
                <w:color w:val="auto"/>
              </w:rPr>
            </w:pPr>
          </w:p>
        </w:tc>
        <w:tc>
          <w:tcPr>
            <w:tcW w:w="660" w:type="dxa"/>
            <w:vAlign w:val="bottom"/>
            <w:tcBorders>
              <w:bottom w:val="single" w:sz="8" w:color="E7417A"/>
            </w:tcBorders>
          </w:tcPr>
          <w:p>
            <w:pPr>
              <w:spacing w:after="0"/>
              <w:rPr>
                <w:sz w:val="6"/>
                <w:szCs w:val="6"/>
                <w:color w:val="auto"/>
              </w:rPr>
            </w:pPr>
          </w:p>
        </w:tc>
        <w:tc>
          <w:tcPr>
            <w:tcW w:w="140" w:type="dxa"/>
            <w:vAlign w:val="bottom"/>
            <w:tcBorders>
              <w:bottom w:val="single" w:sz="8" w:color="E7417A"/>
            </w:tcBorders>
          </w:tcPr>
          <w:p>
            <w:pPr>
              <w:spacing w:after="0"/>
              <w:rPr>
                <w:sz w:val="6"/>
                <w:szCs w:val="6"/>
                <w:color w:val="auto"/>
              </w:rPr>
            </w:pPr>
          </w:p>
        </w:tc>
        <w:tc>
          <w:tcPr>
            <w:tcW w:w="600" w:type="dxa"/>
            <w:vAlign w:val="bottom"/>
            <w:tcBorders>
              <w:bottom w:val="single" w:sz="8" w:color="E7417A"/>
            </w:tcBorders>
          </w:tcPr>
          <w:p>
            <w:pPr>
              <w:spacing w:after="0"/>
              <w:rPr>
                <w:sz w:val="6"/>
                <w:szCs w:val="6"/>
                <w:color w:val="auto"/>
              </w:rPr>
            </w:pPr>
          </w:p>
        </w:tc>
        <w:tc>
          <w:tcPr>
            <w:tcW w:w="340" w:type="dxa"/>
            <w:vAlign w:val="bottom"/>
            <w:tcBorders>
              <w:bottom w:val="single" w:sz="8" w:color="E7417A"/>
            </w:tcBorders>
          </w:tcPr>
          <w:p>
            <w:pPr>
              <w:spacing w:after="0"/>
              <w:rPr>
                <w:sz w:val="6"/>
                <w:szCs w:val="6"/>
                <w:color w:val="auto"/>
              </w:rPr>
            </w:pPr>
          </w:p>
        </w:tc>
        <w:tc>
          <w:tcPr>
            <w:tcW w:w="560" w:type="dxa"/>
            <w:vAlign w:val="bottom"/>
            <w:tcBorders>
              <w:bottom w:val="single" w:sz="8" w:color="E7417A"/>
            </w:tcBorders>
          </w:tcPr>
          <w:p>
            <w:pPr>
              <w:spacing w:after="0"/>
              <w:rPr>
                <w:sz w:val="6"/>
                <w:szCs w:val="6"/>
                <w:color w:val="auto"/>
              </w:rPr>
            </w:pPr>
          </w:p>
        </w:tc>
        <w:tc>
          <w:tcPr>
            <w:tcW w:w="60" w:type="dxa"/>
            <w:vAlign w:val="bottom"/>
            <w:tcBorders>
              <w:bottom w:val="single" w:sz="8" w:color="E7417A"/>
            </w:tcBorders>
          </w:tcPr>
          <w:p>
            <w:pPr>
              <w:spacing w:after="0"/>
              <w:rPr>
                <w:sz w:val="6"/>
                <w:szCs w:val="6"/>
                <w:color w:val="auto"/>
              </w:rPr>
            </w:pPr>
          </w:p>
        </w:tc>
        <w:tc>
          <w:tcPr>
            <w:tcW w:w="80" w:type="dxa"/>
            <w:vAlign w:val="bottom"/>
            <w:tcBorders>
              <w:bottom w:val="single" w:sz="8" w:color="E7417A"/>
            </w:tcBorders>
          </w:tcPr>
          <w:p>
            <w:pPr>
              <w:spacing w:after="0"/>
              <w:rPr>
                <w:sz w:val="6"/>
                <w:szCs w:val="6"/>
                <w:color w:val="auto"/>
              </w:rPr>
            </w:pPr>
          </w:p>
        </w:tc>
        <w:tc>
          <w:tcPr>
            <w:tcW w:w="160" w:type="dxa"/>
            <w:vAlign w:val="bottom"/>
            <w:tcBorders>
              <w:bottom w:val="single" w:sz="8" w:color="E7417A"/>
            </w:tcBorders>
          </w:tcPr>
          <w:p>
            <w:pPr>
              <w:spacing w:after="0"/>
              <w:rPr>
                <w:sz w:val="6"/>
                <w:szCs w:val="6"/>
                <w:color w:val="auto"/>
              </w:rPr>
            </w:pPr>
          </w:p>
        </w:tc>
        <w:tc>
          <w:tcPr>
            <w:tcW w:w="280" w:type="dxa"/>
            <w:vAlign w:val="bottom"/>
            <w:tcBorders>
              <w:bottom w:val="single" w:sz="8" w:color="E7417A"/>
              <w:right w:val="single" w:sz="8" w:color="F2F2F2"/>
            </w:tcBorders>
          </w:tcPr>
          <w:p>
            <w:pPr>
              <w:spacing w:after="0"/>
              <w:rPr>
                <w:sz w:val="6"/>
                <w:szCs w:val="6"/>
                <w:color w:val="auto"/>
              </w:rPr>
            </w:pPr>
          </w:p>
        </w:tc>
        <w:tc>
          <w:tcPr>
            <w:tcW w:w="120" w:type="dxa"/>
            <w:vAlign w:val="bottom"/>
            <w:tcBorders>
              <w:bottom w:val="single" w:sz="8" w:color="E7417A"/>
            </w:tcBorders>
          </w:tcPr>
          <w:p>
            <w:pPr>
              <w:spacing w:after="0"/>
              <w:rPr>
                <w:sz w:val="6"/>
                <w:szCs w:val="6"/>
                <w:color w:val="auto"/>
              </w:rPr>
            </w:pPr>
          </w:p>
        </w:tc>
        <w:tc>
          <w:tcPr>
            <w:tcW w:w="880" w:type="dxa"/>
            <w:vAlign w:val="bottom"/>
            <w:tcBorders>
              <w:bottom w:val="single" w:sz="8" w:color="E7417A"/>
            </w:tcBorders>
          </w:tcPr>
          <w:p>
            <w:pPr>
              <w:spacing w:after="0"/>
              <w:rPr>
                <w:sz w:val="6"/>
                <w:szCs w:val="6"/>
                <w:color w:val="auto"/>
              </w:rPr>
            </w:pPr>
          </w:p>
        </w:tc>
        <w:tc>
          <w:tcPr>
            <w:tcW w:w="40" w:type="dxa"/>
            <w:vAlign w:val="bottom"/>
            <w:tcBorders>
              <w:bottom w:val="single" w:sz="8" w:color="E7417A"/>
            </w:tcBorders>
          </w:tcPr>
          <w:p>
            <w:pPr>
              <w:spacing w:after="0"/>
              <w:rPr>
                <w:sz w:val="6"/>
                <w:szCs w:val="6"/>
                <w:color w:val="auto"/>
              </w:rPr>
            </w:pPr>
          </w:p>
        </w:tc>
        <w:tc>
          <w:tcPr>
            <w:tcW w:w="100" w:type="dxa"/>
            <w:vAlign w:val="bottom"/>
            <w:tcBorders>
              <w:bottom w:val="single" w:sz="8" w:color="E7417A"/>
            </w:tcBorders>
          </w:tcPr>
          <w:p>
            <w:pPr>
              <w:spacing w:after="0"/>
              <w:rPr>
                <w:sz w:val="6"/>
                <w:szCs w:val="6"/>
                <w:color w:val="auto"/>
              </w:rPr>
            </w:pPr>
          </w:p>
        </w:tc>
        <w:tc>
          <w:tcPr>
            <w:tcW w:w="360" w:type="dxa"/>
            <w:vAlign w:val="bottom"/>
            <w:tcBorders>
              <w:bottom w:val="single" w:sz="8" w:color="E7417A"/>
            </w:tcBorders>
          </w:tcPr>
          <w:p>
            <w:pPr>
              <w:spacing w:after="0"/>
              <w:rPr>
                <w:sz w:val="6"/>
                <w:szCs w:val="6"/>
                <w:color w:val="auto"/>
              </w:rPr>
            </w:pPr>
          </w:p>
        </w:tc>
        <w:tc>
          <w:tcPr>
            <w:tcW w:w="760" w:type="dxa"/>
            <w:vAlign w:val="bottom"/>
            <w:tcBorders>
              <w:bottom w:val="single" w:sz="8" w:color="E7417A"/>
              <w:right w:val="single" w:sz="8" w:color="F2F2F2"/>
            </w:tcBorders>
          </w:tcPr>
          <w:p>
            <w:pPr>
              <w:spacing w:after="0"/>
              <w:rPr>
                <w:sz w:val="6"/>
                <w:szCs w:val="6"/>
                <w:color w:val="auto"/>
              </w:rPr>
            </w:pPr>
          </w:p>
        </w:tc>
        <w:tc>
          <w:tcPr>
            <w:tcW w:w="320" w:type="dxa"/>
            <w:vAlign w:val="bottom"/>
            <w:tcBorders>
              <w:bottom w:val="single" w:sz="8" w:color="E7417A"/>
            </w:tcBorders>
          </w:tcPr>
          <w:p>
            <w:pPr>
              <w:spacing w:after="0"/>
              <w:rPr>
                <w:sz w:val="6"/>
                <w:szCs w:val="6"/>
                <w:color w:val="auto"/>
              </w:rPr>
            </w:pPr>
          </w:p>
        </w:tc>
        <w:tc>
          <w:tcPr>
            <w:tcW w:w="580" w:type="dxa"/>
            <w:vAlign w:val="bottom"/>
            <w:tcBorders>
              <w:bottom w:val="single" w:sz="8" w:color="E7417A"/>
            </w:tcBorders>
          </w:tcPr>
          <w:p>
            <w:pPr>
              <w:spacing w:after="0"/>
              <w:rPr>
                <w:sz w:val="6"/>
                <w:szCs w:val="6"/>
                <w:color w:val="auto"/>
              </w:rPr>
            </w:pPr>
          </w:p>
        </w:tc>
        <w:tc>
          <w:tcPr>
            <w:tcW w:w="60" w:type="dxa"/>
            <w:vAlign w:val="bottom"/>
            <w:tcBorders>
              <w:bottom w:val="single" w:sz="8" w:color="E7417A"/>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840" w:type="dxa"/>
            <w:vAlign w:val="bottom"/>
            <w:gridSpan w:val="2"/>
          </w:tcPr>
          <w:p>
            <w:pPr>
              <w:ind w:left="740"/>
              <w:spacing w:after="0"/>
              <w:rPr>
                <w:sz w:val="20"/>
                <w:szCs w:val="20"/>
                <w:color w:val="auto"/>
              </w:rPr>
            </w:pPr>
            <w:r>
              <w:rPr>
                <w:rFonts w:ascii="Arial" w:cs="Arial" w:eastAsia="Arial" w:hAnsi="Arial"/>
                <w:sz w:val="14"/>
                <w:szCs w:val="14"/>
                <w:b w:val="1"/>
                <w:bCs w:val="1"/>
                <w:color w:val="auto"/>
              </w:rPr>
              <w:t>Tanya Tamone</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right w:val="single" w:sz="8" w:color="F2F2F2"/>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Borders>
              <w:right w:val="single" w:sz="8" w:color="F2F2F2"/>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840" w:type="dxa"/>
            <w:vAlign w:val="bottom"/>
            <w:gridSpan w:val="2"/>
          </w:tcPr>
          <w:p>
            <w:pPr>
              <w:ind w:left="740"/>
              <w:spacing w:after="0" w:line="145" w:lineRule="exact"/>
              <w:rPr>
                <w:sz w:val="20"/>
                <w:szCs w:val="20"/>
                <w:color w:val="auto"/>
              </w:rPr>
            </w:pPr>
            <w:r>
              <w:rPr>
                <w:rFonts w:ascii="Arial" w:cs="Arial" w:eastAsia="Arial" w:hAnsi="Arial"/>
                <w:sz w:val="14"/>
                <w:szCs w:val="14"/>
                <w:color w:val="auto"/>
              </w:rPr>
              <w:t>Chief Executive</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center"/>
              <w:ind w:right="31"/>
              <w:spacing w:after="0" w:line="145" w:lineRule="exact"/>
              <w:rPr>
                <w:sz w:val="20"/>
                <w:szCs w:val="20"/>
                <w:color w:val="auto"/>
              </w:rPr>
            </w:pPr>
            <w:r>
              <w:rPr>
                <w:rFonts w:ascii="Arial" w:cs="Arial" w:eastAsia="Arial" w:hAnsi="Arial"/>
                <w:sz w:val="14"/>
                <w:szCs w:val="14"/>
                <w:color w:val="auto"/>
              </w:rPr>
              <w:t>June</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right w:val="single" w:sz="8" w:color="F2F2F2"/>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Borders>
              <w:right w:val="single" w:sz="8" w:color="F2F2F2"/>
            </w:tcBorders>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6"/>
        </w:trPr>
        <w:tc>
          <w:tcPr>
            <w:tcW w:w="2320" w:type="dxa"/>
            <w:vAlign w:val="bottom"/>
            <w:gridSpan w:val="4"/>
          </w:tcPr>
          <w:p>
            <w:pPr>
              <w:ind w:left="70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Officer, Sogerco S.A.</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​63 ​</w:t>
            </w:r>
          </w:p>
        </w:tc>
        <w:tc>
          <w:tcPr>
            <w:tcW w:w="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2020</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4"/>
                <w:szCs w:val="24"/>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280" w:type="dxa"/>
            <w:vAlign w:val="bottom"/>
            <w:tcBorders>
              <w:right w:val="single" w:sz="8" w:color="F2F2F2"/>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760" w:type="dxa"/>
            <w:vAlign w:val="bottom"/>
            <w:tcBorders>
              <w:right w:val="single" w:sz="8" w:color="F2F2F2"/>
            </w:tcBorders>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tcPr>
          <w:p>
            <w:pPr>
              <w:ind w:left="140"/>
              <w:spacing w:after="0"/>
              <w:rPr>
                <w:sz w:val="20"/>
                <w:szCs w:val="20"/>
                <w:color w:val="auto"/>
              </w:rPr>
            </w:pPr>
            <w:r>
              <w:rPr>
                <w:rFonts w:ascii="Arial" w:cs="Arial" w:eastAsia="Arial" w:hAnsi="Arial"/>
                <w:sz w:val="14"/>
                <w:szCs w:val="14"/>
                <w:color w:val="auto"/>
              </w:rPr>
              <w:t>​</w:t>
            </w:r>
          </w:p>
        </w:tc>
        <w:tc>
          <w:tcPr>
            <w:tcW w:w="1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1140" w:type="dxa"/>
            <w:vAlign w:val="bottom"/>
            <w:tcBorders>
              <w:bottom w:val="single" w:sz="8" w:color="62259D"/>
            </w:tcBorders>
          </w:tcPr>
          <w:p>
            <w:pPr>
              <w:spacing w:after="0"/>
              <w:rPr>
                <w:sz w:val="6"/>
                <w:szCs w:val="6"/>
                <w:color w:val="auto"/>
              </w:rPr>
            </w:pPr>
          </w:p>
        </w:tc>
        <w:tc>
          <w:tcPr>
            <w:tcW w:w="700" w:type="dxa"/>
            <w:vAlign w:val="bottom"/>
            <w:tcBorders>
              <w:bottom w:val="single" w:sz="8" w:color="62259D"/>
            </w:tcBorders>
          </w:tcPr>
          <w:p>
            <w:pPr>
              <w:spacing w:after="0"/>
              <w:rPr>
                <w:sz w:val="6"/>
                <w:szCs w:val="6"/>
                <w:color w:val="auto"/>
              </w:rPr>
            </w:pPr>
          </w:p>
        </w:tc>
        <w:tc>
          <w:tcPr>
            <w:tcW w:w="200" w:type="dxa"/>
            <w:vAlign w:val="bottom"/>
            <w:tcBorders>
              <w:bottom w:val="single" w:sz="8" w:color="62259D"/>
            </w:tcBorders>
          </w:tcPr>
          <w:p>
            <w:pPr>
              <w:spacing w:after="0"/>
              <w:rPr>
                <w:sz w:val="6"/>
                <w:szCs w:val="6"/>
                <w:color w:val="auto"/>
              </w:rPr>
            </w:pPr>
          </w:p>
        </w:tc>
        <w:tc>
          <w:tcPr>
            <w:tcW w:w="720" w:type="dxa"/>
            <w:vAlign w:val="bottom"/>
            <w:tcBorders>
              <w:bottom w:val="single" w:sz="8" w:color="62259D"/>
            </w:tcBorders>
            <w:gridSpan w:val="4"/>
          </w:tcPr>
          <w:p>
            <w:pPr>
              <w:spacing w:after="0"/>
              <w:rPr>
                <w:sz w:val="6"/>
                <w:szCs w:val="6"/>
                <w:color w:val="auto"/>
              </w:rPr>
            </w:pPr>
          </w:p>
        </w:tc>
        <w:tc>
          <w:tcPr>
            <w:tcW w:w="660" w:type="dxa"/>
            <w:vAlign w:val="bottom"/>
            <w:tcBorders>
              <w:bottom w:val="single" w:sz="8" w:color="62259D"/>
            </w:tcBorders>
          </w:tcPr>
          <w:p>
            <w:pPr>
              <w:spacing w:after="0"/>
              <w:rPr>
                <w:sz w:val="6"/>
                <w:szCs w:val="6"/>
                <w:color w:val="auto"/>
              </w:rPr>
            </w:pPr>
          </w:p>
        </w:tc>
        <w:tc>
          <w:tcPr>
            <w:tcW w:w="140" w:type="dxa"/>
            <w:vAlign w:val="bottom"/>
            <w:tcBorders>
              <w:bottom w:val="single" w:sz="8" w:color="62259D"/>
            </w:tcBorders>
          </w:tcPr>
          <w:p>
            <w:pPr>
              <w:spacing w:after="0"/>
              <w:rPr>
                <w:sz w:val="6"/>
                <w:szCs w:val="6"/>
                <w:color w:val="auto"/>
              </w:rPr>
            </w:pPr>
          </w:p>
        </w:tc>
        <w:tc>
          <w:tcPr>
            <w:tcW w:w="600" w:type="dxa"/>
            <w:vAlign w:val="bottom"/>
            <w:tcBorders>
              <w:bottom w:val="single" w:sz="8" w:color="62259D"/>
            </w:tcBorders>
          </w:tcPr>
          <w:p>
            <w:pPr>
              <w:spacing w:after="0"/>
              <w:rPr>
                <w:sz w:val="6"/>
                <w:szCs w:val="6"/>
                <w:color w:val="auto"/>
              </w:rPr>
            </w:pPr>
          </w:p>
        </w:tc>
        <w:tc>
          <w:tcPr>
            <w:tcW w:w="340" w:type="dxa"/>
            <w:vAlign w:val="bottom"/>
            <w:tcBorders>
              <w:bottom w:val="single" w:sz="8" w:color="62259D"/>
            </w:tcBorders>
          </w:tcPr>
          <w:p>
            <w:pPr>
              <w:spacing w:after="0"/>
              <w:rPr>
                <w:sz w:val="6"/>
                <w:szCs w:val="6"/>
                <w:color w:val="auto"/>
              </w:rPr>
            </w:pPr>
          </w:p>
        </w:tc>
        <w:tc>
          <w:tcPr>
            <w:tcW w:w="560" w:type="dxa"/>
            <w:vAlign w:val="bottom"/>
            <w:tcBorders>
              <w:bottom w:val="single" w:sz="8" w:color="62259D"/>
            </w:tcBorders>
          </w:tcPr>
          <w:p>
            <w:pPr>
              <w:spacing w:after="0"/>
              <w:rPr>
                <w:sz w:val="6"/>
                <w:szCs w:val="6"/>
                <w:color w:val="auto"/>
              </w:rPr>
            </w:pPr>
          </w:p>
        </w:tc>
        <w:tc>
          <w:tcPr>
            <w:tcW w:w="60" w:type="dxa"/>
            <w:vAlign w:val="bottom"/>
            <w:tcBorders>
              <w:bottom w:val="single" w:sz="8" w:color="62259D"/>
            </w:tcBorders>
          </w:tcPr>
          <w:p>
            <w:pPr>
              <w:spacing w:after="0"/>
              <w:rPr>
                <w:sz w:val="6"/>
                <w:szCs w:val="6"/>
                <w:color w:val="auto"/>
              </w:rPr>
            </w:pPr>
          </w:p>
        </w:tc>
        <w:tc>
          <w:tcPr>
            <w:tcW w:w="80" w:type="dxa"/>
            <w:vAlign w:val="bottom"/>
            <w:tcBorders>
              <w:bottom w:val="single" w:sz="8" w:color="62259D"/>
            </w:tcBorders>
          </w:tcPr>
          <w:p>
            <w:pPr>
              <w:spacing w:after="0"/>
              <w:rPr>
                <w:sz w:val="6"/>
                <w:szCs w:val="6"/>
                <w:color w:val="auto"/>
              </w:rPr>
            </w:pPr>
          </w:p>
        </w:tc>
        <w:tc>
          <w:tcPr>
            <w:tcW w:w="160" w:type="dxa"/>
            <w:vAlign w:val="bottom"/>
            <w:tcBorders>
              <w:bottom w:val="single" w:sz="8" w:color="62259D"/>
            </w:tcBorders>
          </w:tcPr>
          <w:p>
            <w:pPr>
              <w:spacing w:after="0"/>
              <w:rPr>
                <w:sz w:val="6"/>
                <w:szCs w:val="6"/>
                <w:color w:val="auto"/>
              </w:rPr>
            </w:pPr>
          </w:p>
        </w:tc>
        <w:tc>
          <w:tcPr>
            <w:tcW w:w="280" w:type="dxa"/>
            <w:vAlign w:val="bottom"/>
            <w:tcBorders>
              <w:bottom w:val="single" w:sz="8" w:color="62259D"/>
              <w:right w:val="single" w:sz="8" w:color="F2F2F2"/>
            </w:tcBorders>
          </w:tcPr>
          <w:p>
            <w:pPr>
              <w:spacing w:after="0"/>
              <w:rPr>
                <w:sz w:val="6"/>
                <w:szCs w:val="6"/>
                <w:color w:val="auto"/>
              </w:rPr>
            </w:pPr>
          </w:p>
        </w:tc>
        <w:tc>
          <w:tcPr>
            <w:tcW w:w="1000" w:type="dxa"/>
            <w:vAlign w:val="bottom"/>
            <w:tcBorders>
              <w:bottom w:val="single" w:sz="8" w:color="62259D"/>
            </w:tcBorders>
            <w:gridSpan w:val="2"/>
          </w:tcPr>
          <w:p>
            <w:pPr>
              <w:spacing w:after="0"/>
              <w:rPr>
                <w:sz w:val="6"/>
                <w:szCs w:val="6"/>
                <w:color w:val="auto"/>
              </w:rPr>
            </w:pPr>
          </w:p>
        </w:tc>
        <w:tc>
          <w:tcPr>
            <w:tcW w:w="40" w:type="dxa"/>
            <w:vAlign w:val="bottom"/>
            <w:tcBorders>
              <w:bottom w:val="single" w:sz="8" w:color="62259D"/>
            </w:tcBorders>
          </w:tcPr>
          <w:p>
            <w:pPr>
              <w:spacing w:after="0"/>
              <w:rPr>
                <w:sz w:val="6"/>
                <w:szCs w:val="6"/>
                <w:color w:val="auto"/>
              </w:rPr>
            </w:pPr>
          </w:p>
        </w:tc>
        <w:tc>
          <w:tcPr>
            <w:tcW w:w="100" w:type="dxa"/>
            <w:vAlign w:val="bottom"/>
            <w:tcBorders>
              <w:bottom w:val="single" w:sz="8" w:color="62259D"/>
            </w:tcBorders>
          </w:tcPr>
          <w:p>
            <w:pPr>
              <w:spacing w:after="0"/>
              <w:rPr>
                <w:sz w:val="6"/>
                <w:szCs w:val="6"/>
                <w:color w:val="auto"/>
              </w:rPr>
            </w:pPr>
          </w:p>
        </w:tc>
        <w:tc>
          <w:tcPr>
            <w:tcW w:w="360" w:type="dxa"/>
            <w:vAlign w:val="bottom"/>
            <w:tcBorders>
              <w:bottom w:val="single" w:sz="8" w:color="62259D"/>
            </w:tcBorders>
          </w:tcPr>
          <w:p>
            <w:pPr>
              <w:spacing w:after="0"/>
              <w:rPr>
                <w:sz w:val="6"/>
                <w:szCs w:val="6"/>
                <w:color w:val="auto"/>
              </w:rPr>
            </w:pPr>
          </w:p>
        </w:tc>
        <w:tc>
          <w:tcPr>
            <w:tcW w:w="760" w:type="dxa"/>
            <w:vAlign w:val="bottom"/>
            <w:tcBorders>
              <w:bottom w:val="single" w:sz="8" w:color="62259D"/>
              <w:right w:val="single" w:sz="8" w:color="F2F2F2"/>
            </w:tcBorders>
          </w:tcPr>
          <w:p>
            <w:pPr>
              <w:spacing w:after="0"/>
              <w:rPr>
                <w:sz w:val="6"/>
                <w:szCs w:val="6"/>
                <w:color w:val="auto"/>
              </w:rPr>
            </w:pPr>
          </w:p>
        </w:tc>
        <w:tc>
          <w:tcPr>
            <w:tcW w:w="900" w:type="dxa"/>
            <w:vAlign w:val="bottom"/>
            <w:tcBorders>
              <w:bottom w:val="single" w:sz="8" w:color="62259D"/>
            </w:tcBorders>
            <w:gridSpan w:val="2"/>
          </w:tcPr>
          <w:p>
            <w:pPr>
              <w:spacing w:after="0"/>
              <w:rPr>
                <w:sz w:val="6"/>
                <w:szCs w:val="6"/>
                <w:color w:val="auto"/>
              </w:rPr>
            </w:pPr>
          </w:p>
        </w:tc>
        <w:tc>
          <w:tcPr>
            <w:tcW w:w="60" w:type="dxa"/>
            <w:vAlign w:val="bottom"/>
            <w:tcBorders>
              <w:bottom w:val="single" w:sz="8" w:color="62259D"/>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1140" w:type="dxa"/>
            <w:vAlign w:val="bottom"/>
          </w:tcPr>
          <w:p>
            <w:pPr>
              <w:ind w:left="380"/>
              <w:spacing w:after="0"/>
              <w:rPr>
                <w:sz w:val="20"/>
                <w:szCs w:val="20"/>
                <w:color w:val="auto"/>
              </w:rPr>
            </w:pPr>
            <w:r>
              <w:rPr>
                <w:rFonts w:ascii="Arial" w:cs="Arial" w:eastAsia="Arial" w:hAnsi="Arial"/>
                <w:sz w:val="14"/>
                <w:szCs w:val="14"/>
                <w:color w:val="auto"/>
              </w:rPr>
              <w:t>Committee</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4"/>
          </w:tcPr>
          <w:p>
            <w:pPr>
              <w:spacing w:after="0"/>
              <w:rPr>
                <w:sz w:val="20"/>
                <w:szCs w:val="20"/>
                <w:color w:val="auto"/>
              </w:rPr>
            </w:pPr>
            <w:r>
              <w:rPr>
                <w:rFonts w:ascii="Arial" w:cs="Arial" w:eastAsia="Arial" w:hAnsi="Arial"/>
                <w:sz w:val="14"/>
                <w:szCs w:val="14"/>
                <w:color w:val="auto"/>
              </w:rPr>
              <w:t>Committee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color w:val="auto"/>
              </w:rPr>
              <w:t>Lead Independent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color w:val="auto"/>
              </w:rPr>
              <w:t>Audit Committee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1140" w:type="dxa"/>
            <w:vAlign w:val="bottom"/>
          </w:tcPr>
          <w:p>
            <w:pPr>
              <w:spacing w:after="0"/>
              <w:rPr>
                <w:sz w:val="20"/>
                <w:szCs w:val="20"/>
                <w:color w:val="auto"/>
              </w:rPr>
            </w:pPr>
            <w:r>
              <w:rPr>
                <w:rFonts w:ascii="Arial" w:cs="Arial" w:eastAsia="Arial" w:hAnsi="Arial"/>
                <w:sz w:val="28"/>
                <w:szCs w:val="28"/>
                <w:color w:val="auto"/>
                <w:vertAlign w:val="superscript"/>
              </w:rPr>
              <w:t>​   ​ ​</w:t>
            </w:r>
            <w:r>
              <w:rPr>
                <w:rFonts w:ascii="Arial" w:cs="Arial" w:eastAsia="Arial" w:hAnsi="Arial"/>
                <w:sz w:val="14"/>
                <w:szCs w:val="14"/>
                <w:color w:val="auto"/>
              </w:rPr>
              <w:t xml:space="preserve"> Chair</w:t>
            </w:r>
          </w:p>
        </w:tc>
        <w:tc>
          <w:tcPr>
            <w:tcW w:w="700" w:type="dxa"/>
            <w:vAlign w:val="bottom"/>
          </w:tcPr>
          <w:p>
            <w:pPr>
              <w:ind w:left="20"/>
              <w:spacing w:after="0"/>
              <w:rPr>
                <w:sz w:val="20"/>
                <w:szCs w:val="20"/>
                <w:color w:val="auto"/>
              </w:rPr>
            </w:pPr>
            <w:r>
              <w:rPr>
                <w:rFonts w:ascii="Arial" w:cs="Arial" w:eastAsia="Arial" w:hAnsi="Arial"/>
                <w:sz w:val="14"/>
                <w:szCs w:val="14"/>
                <w:color w:val="auto"/>
              </w:rPr>
              <w:t>​   ​</w:t>
            </w:r>
          </w:p>
        </w:tc>
        <w:tc>
          <w:tcPr>
            <w:tcW w:w="200" w:type="dxa"/>
            <w:vAlign w:val="bottom"/>
          </w:tcPr>
          <w:p>
            <w:pPr>
              <w:ind w:left="40"/>
              <w:spacing w:after="0"/>
              <w:rPr>
                <w:sz w:val="20"/>
                <w:szCs w:val="20"/>
                <w:color w:val="auto"/>
              </w:rPr>
            </w:pPr>
            <w:r>
              <w:rPr>
                <w:rFonts w:ascii="Arial" w:cs="Arial" w:eastAsia="Arial" w:hAnsi="Arial"/>
                <w:sz w:val="14"/>
                <w:szCs w:val="14"/>
                <w:color w:val="auto"/>
              </w:rPr>
              <w:t>​ ​</w:t>
            </w:r>
          </w:p>
        </w:tc>
        <w:tc>
          <w:tcPr>
            <w:tcW w:w="580" w:type="dxa"/>
            <w:vAlign w:val="bottom"/>
            <w:gridSpan w:val="2"/>
          </w:tcPr>
          <w:p>
            <w:pPr>
              <w:spacing w:after="0"/>
              <w:rPr>
                <w:sz w:val="20"/>
                <w:szCs w:val="20"/>
                <w:color w:val="auto"/>
              </w:rPr>
            </w:pPr>
            <w:r>
              <w:rPr>
                <w:rFonts w:ascii="Arial" w:cs="Arial" w:eastAsia="Arial" w:hAnsi="Arial"/>
                <w:sz w:val="14"/>
                <w:szCs w:val="14"/>
                <w:color w:val="auto"/>
              </w:rPr>
              <w:t>Member</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color w:val="auto"/>
              </w:rPr>
              <w:t>​ ​ Chairman ​</w:t>
            </w:r>
          </w:p>
        </w:tc>
        <w:tc>
          <w:tcPr>
            <w:tcW w:w="5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 ​</w:t>
            </w:r>
          </w:p>
        </w:tc>
        <w:tc>
          <w:tcPr>
            <w:tcW w:w="1280" w:type="dxa"/>
            <w:vAlign w:val="bottom"/>
            <w:gridSpan w:val="3"/>
          </w:tcPr>
          <w:p>
            <w:pPr>
              <w:ind w:left="40"/>
              <w:spacing w:after="0"/>
              <w:rPr>
                <w:sz w:val="20"/>
                <w:szCs w:val="20"/>
                <w:color w:val="auto"/>
              </w:rPr>
            </w:pPr>
            <w:r>
              <w:rPr>
                <w:rFonts w:ascii="Arial" w:cs="Arial" w:eastAsia="Arial" w:hAnsi="Arial"/>
                <w:sz w:val="14"/>
                <w:szCs w:val="14"/>
                <w:color w:val="auto"/>
              </w:rPr>
              <w:t>Director</w:t>
            </w: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ind w:left="200"/>
              <w:spacing w:after="0"/>
              <w:rPr>
                <w:sz w:val="20"/>
                <w:szCs w:val="20"/>
                <w:color w:val="auto"/>
              </w:rPr>
            </w:pPr>
            <w:r>
              <w:rPr>
                <w:rFonts w:ascii="Arial" w:cs="Arial" w:eastAsia="Arial" w:hAnsi="Arial"/>
                <w:sz w:val="14"/>
                <w:szCs w:val="14"/>
                <w:color w:val="auto"/>
              </w:rPr>
              <w:t>​</w:t>
            </w:r>
          </w:p>
        </w:tc>
        <w:tc>
          <w:tcPr>
            <w:tcW w:w="1660" w:type="dxa"/>
            <w:vAlign w:val="bottom"/>
            <w:gridSpan w:val="3"/>
          </w:tcPr>
          <w:p>
            <w:pPr>
              <w:ind w:left="320"/>
              <w:spacing w:after="0"/>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xml:space="preserve"> Financial expert</w:t>
            </w:r>
          </w:p>
        </w:tc>
        <w:tc>
          <w:tcPr>
            <w:tcW w:w="6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-4667885</wp:posOffset>
            </wp:positionV>
            <wp:extent cx="5374640" cy="45262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74640" cy="452628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E7417A"/>
            </w:tcBorders>
          </w:tcPr>
          <w:p>
            <w:pPr>
              <w:spacing w:after="0"/>
              <w:rPr>
                <w:sz w:val="20"/>
                <w:szCs w:val="20"/>
                <w:color w:val="auto"/>
              </w:rPr>
            </w:pPr>
            <w:r>
              <w:rPr>
                <w:rFonts w:ascii="Arial" w:cs="Arial" w:eastAsia="Arial" w:hAnsi="Arial"/>
                <w:sz w:val="13"/>
                <w:szCs w:val="13"/>
                <w:b w:val="1"/>
                <w:bCs w:val="1"/>
                <w:color w:val="9166BA"/>
              </w:rPr>
              <w:t>​</w:t>
            </w:r>
          </w:p>
        </w:tc>
        <w:tc>
          <w:tcPr>
            <w:tcW w:w="840" w:type="dxa"/>
            <w:vAlign w:val="bottom"/>
            <w:tcBorders>
              <w:bottom w:val="single" w:sz="8" w:color="E7417A"/>
            </w:tcBorders>
          </w:tcPr>
          <w:p>
            <w:pPr>
              <w:ind w:left="380"/>
              <w:spacing w:after="0"/>
              <w:rPr>
                <w:sz w:val="20"/>
                <w:szCs w:val="20"/>
                <w:color w:val="auto"/>
              </w:rPr>
            </w:pPr>
            <w:r>
              <w:rPr>
                <w:rFonts w:ascii="Arial" w:cs="Arial" w:eastAsia="Arial" w:hAnsi="Arial"/>
                <w:sz w:val="13"/>
                <w:szCs w:val="13"/>
                <w:b w:val="1"/>
                <w:bCs w:val="1"/>
                <w:color w:val="9166BA"/>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9166BA"/>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9166BA"/>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9166BA"/>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9166BA"/>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9166BA"/>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9166BA"/>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9166BA"/>
              </w:rPr>
              <w:t>​</w:t>
            </w:r>
          </w:p>
        </w:tc>
        <w:tc>
          <w:tcPr>
            <w:tcW w:w="40" w:type="dxa"/>
            <w:vAlign w:val="bottom"/>
          </w:tcPr>
          <w:p>
            <w:pPr>
              <w:spacing w:after="0"/>
              <w:rPr>
                <w:sz w:val="20"/>
                <w:szCs w:val="20"/>
                <w:color w:val="auto"/>
              </w:rPr>
            </w:pPr>
            <w:r>
              <w:rPr>
                <w:rFonts w:ascii="Arial" w:cs="Arial" w:eastAsia="Arial" w:hAnsi="Arial"/>
                <w:sz w:val="13"/>
                <w:szCs w:val="13"/>
                <w:b w:val="1"/>
                <w:bCs w:val="1"/>
                <w:color w:val="9166BA"/>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9166BA"/>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236220</wp:posOffset>
            </wp:positionV>
            <wp:extent cx="5589270" cy="15087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8927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Annual Meeting Proposals</w:t>
      </w:r>
    </w:p>
    <w:tbl>
      <w:tblPr>
        <w:tblLayout w:type="fixed"/>
        <w:tblInd w:w="920" w:type="dxa"/>
        <w:tblCellMar>
          <w:top w:w="0" w:type="dxa"/>
          <w:left w:w="0" w:type="dxa"/>
          <w:bottom w:w="0" w:type="dxa"/>
          <w:right w:w="0" w:type="dxa"/>
        </w:tblCellMar>
      </w:tblPr>
      <w:tr>
        <w:trPr>
          <w:trHeight w:val="326"/>
        </w:trPr>
        <w:tc>
          <w:tcPr>
            <w:tcW w:w="4380" w:type="dxa"/>
            <w:vAlign w:val="bottom"/>
            <w:gridSpan w:val="4"/>
            <w:shd w:val="clear" w:color="auto" w:fill="62259D"/>
          </w:tcPr>
          <w:p>
            <w:pPr>
              <w:spacing w:after="0" w:line="326" w:lineRule="exact"/>
              <w:rPr>
                <w:sz w:val="20"/>
                <w:szCs w:val="20"/>
                <w:color w:val="auto"/>
              </w:rPr>
            </w:pPr>
            <w:r>
              <w:rPr>
                <w:rFonts w:ascii="Arial" w:cs="Arial" w:eastAsia="Arial" w:hAnsi="Arial"/>
                <w:sz w:val="32"/>
                <w:szCs w:val="32"/>
                <w:b w:val="1"/>
                <w:bCs w:val="1"/>
                <w:color w:val="FEFEFE"/>
                <w:vertAlign w:val="subscript"/>
              </w:rPr>
              <w:t>​</w:t>
            </w:r>
            <w:r>
              <w:rPr>
                <w:rFonts w:ascii="Arial" w:cs="Arial" w:eastAsia="Arial" w:hAnsi="Arial"/>
                <w:sz w:val="16"/>
                <w:szCs w:val="16"/>
                <w:b w:val="1"/>
                <w:bCs w:val="1"/>
                <w:color w:val="FEFEFE"/>
              </w:rPr>
              <w:t xml:space="preserve"> Proposal</w:t>
            </w:r>
          </w:p>
        </w:tc>
        <w:tc>
          <w:tcPr>
            <w:tcW w:w="2760" w:type="dxa"/>
            <w:vAlign w:val="bottom"/>
            <w:gridSpan w:val="2"/>
            <w:shd w:val="clear" w:color="auto" w:fill="62259D"/>
          </w:tcPr>
          <w:p>
            <w:pPr>
              <w:ind w:left="100"/>
              <w:spacing w:after="0" w:line="326" w:lineRule="exact"/>
              <w:rPr>
                <w:sz w:val="20"/>
                <w:szCs w:val="20"/>
                <w:color w:val="auto"/>
              </w:rPr>
            </w:pPr>
            <w:r>
              <w:rPr>
                <w:rFonts w:ascii="Arial" w:cs="Arial" w:eastAsia="Arial" w:hAnsi="Arial"/>
                <w:sz w:val="32"/>
                <w:szCs w:val="32"/>
                <w:b w:val="1"/>
                <w:bCs w:val="1"/>
                <w:color w:val="FEFEFE"/>
                <w:vertAlign w:val="subscript"/>
              </w:rPr>
              <w:t>​ ​</w:t>
            </w:r>
            <w:r>
              <w:rPr>
                <w:rFonts w:ascii="Arial" w:cs="Arial" w:eastAsia="Arial" w:hAnsi="Arial"/>
                <w:sz w:val="16"/>
                <w:szCs w:val="16"/>
                <w:b w:val="1"/>
                <w:bCs w:val="1"/>
                <w:color w:val="FEFEFE"/>
              </w:rPr>
              <w:t xml:space="preserve"> Board Recommendation</w:t>
            </w:r>
          </w:p>
        </w:tc>
        <w:tc>
          <w:tcPr>
            <w:tcW w:w="1720" w:type="dxa"/>
            <w:vAlign w:val="bottom"/>
            <w:gridSpan w:val="5"/>
            <w:shd w:val="clear" w:color="auto" w:fill="62259D"/>
          </w:tcPr>
          <w:p>
            <w:pPr>
              <w:ind w:left="60"/>
              <w:spacing w:after="0" w:line="326" w:lineRule="exact"/>
              <w:rPr>
                <w:sz w:val="20"/>
                <w:szCs w:val="20"/>
                <w:color w:val="auto"/>
              </w:rPr>
            </w:pPr>
            <w:r>
              <w:rPr>
                <w:rFonts w:ascii="Arial" w:cs="Arial" w:eastAsia="Arial" w:hAnsi="Arial"/>
                <w:sz w:val="32"/>
                <w:szCs w:val="32"/>
                <w:b w:val="1"/>
                <w:bCs w:val="1"/>
                <w:color w:val="FEFEFE"/>
                <w:vertAlign w:val="subscript"/>
              </w:rPr>
              <w:t>​ ​</w:t>
            </w:r>
            <w:r>
              <w:rPr>
                <w:rFonts w:ascii="Arial" w:cs="Arial" w:eastAsia="Arial" w:hAnsi="Arial"/>
                <w:sz w:val="16"/>
                <w:szCs w:val="16"/>
                <w:b w:val="1"/>
                <w:bCs w:val="1"/>
                <w:color w:val="FEFEFE"/>
              </w:rPr>
              <w:t xml:space="preserve"> Page Reference</w:t>
            </w:r>
            <w:r>
              <w:rPr>
                <w:rFonts w:ascii="Arial" w:cs="Arial" w:eastAsia="Arial" w:hAnsi="Arial"/>
                <w:sz w:val="32"/>
                <w:szCs w:val="32"/>
                <w:b w:val="1"/>
                <w:bCs w:val="1"/>
                <w:color w:val="FEFEFE"/>
                <w:vertAlign w:val="subscript"/>
              </w:rPr>
              <w:t>​</w:t>
            </w:r>
          </w:p>
        </w:tc>
        <w:tc>
          <w:tcPr>
            <w:tcW w:w="0" w:type="dxa"/>
            <w:vAlign w:val="bottom"/>
          </w:tcPr>
          <w:p>
            <w:pPr>
              <w:spacing w:after="0"/>
              <w:rPr>
                <w:sz w:val="1"/>
                <w:szCs w:val="1"/>
                <w:color w:val="auto"/>
              </w:rPr>
            </w:pPr>
          </w:p>
        </w:tc>
      </w:tr>
      <w:tr>
        <w:trPr>
          <w:trHeight w:val="162"/>
        </w:trPr>
        <w:tc>
          <w:tcPr>
            <w:tcW w:w="80" w:type="dxa"/>
            <w:vAlign w:val="bottom"/>
          </w:tcPr>
          <w:p>
            <w:pPr>
              <w:spacing w:after="0" w:line="162" w:lineRule="exact"/>
              <w:rPr>
                <w:sz w:val="20"/>
                <w:szCs w:val="20"/>
                <w:color w:val="auto"/>
              </w:rPr>
            </w:pPr>
            <w:r>
              <w:rPr>
                <w:rFonts w:ascii="Arial" w:cs="Arial" w:eastAsia="Arial" w:hAnsi="Arial"/>
                <w:sz w:val="16"/>
                <w:szCs w:val="16"/>
                <w:color w:val="auto"/>
              </w:rPr>
              <w:t>​</w:t>
            </w:r>
          </w:p>
        </w:tc>
        <w:tc>
          <w:tcPr>
            <w:tcW w:w="200" w:type="dxa"/>
            <w:vAlign w:val="bottom"/>
            <w:vMerge w:val="restart"/>
          </w:tcPr>
          <w:p>
            <w:pPr>
              <w:jc w:val="right"/>
              <w:spacing w:after="0"/>
              <w:rPr>
                <w:sz w:val="20"/>
                <w:szCs w:val="20"/>
                <w:color w:val="auto"/>
              </w:rPr>
            </w:pPr>
            <w:r>
              <w:rPr>
                <w:rFonts w:ascii="Arial" w:cs="Arial" w:eastAsia="Arial" w:hAnsi="Arial"/>
                <w:sz w:val="32"/>
                <w:szCs w:val="32"/>
                <w:color w:val="62259D"/>
              </w:rPr>
              <w:t>1</w:t>
            </w:r>
          </w:p>
        </w:tc>
        <w:tc>
          <w:tcPr>
            <w:tcW w:w="180" w:type="dxa"/>
            <w:vAlign w:val="bottom"/>
          </w:tcPr>
          <w:p>
            <w:pPr>
              <w:jc w:val="right"/>
              <w:spacing w:after="0" w:line="162" w:lineRule="exact"/>
              <w:rPr>
                <w:sz w:val="20"/>
                <w:szCs w:val="20"/>
                <w:color w:val="auto"/>
              </w:rPr>
            </w:pPr>
            <w:r>
              <w:rPr>
                <w:rFonts w:ascii="Arial" w:cs="Arial" w:eastAsia="Arial" w:hAnsi="Arial"/>
                <w:sz w:val="16"/>
                <w:szCs w:val="16"/>
                <w:color w:val="auto"/>
              </w:rPr>
              <w:t>​ ​</w:t>
            </w:r>
          </w:p>
        </w:tc>
        <w:tc>
          <w:tcPr>
            <w:tcW w:w="3920" w:type="dxa"/>
            <w:vAlign w:val="bottom"/>
          </w:tcPr>
          <w:p>
            <w:pPr>
              <w:ind w:left="40"/>
              <w:spacing w:after="0" w:line="162" w:lineRule="exact"/>
              <w:rPr>
                <w:sz w:val="20"/>
                <w:szCs w:val="20"/>
                <w:color w:val="auto"/>
              </w:rPr>
            </w:pPr>
            <w:r>
              <w:rPr>
                <w:rFonts w:ascii="Arial" w:cs="Arial" w:eastAsia="Arial" w:hAnsi="Arial"/>
                <w:sz w:val="16"/>
                <w:szCs w:val="16"/>
                <w:color w:val="auto"/>
              </w:rPr>
              <w:t>Election of eight directors as named in this Proxy</w:t>
            </w:r>
          </w:p>
        </w:tc>
        <w:tc>
          <w:tcPr>
            <w:tcW w:w="420" w:type="dxa"/>
            <w:vAlign w:val="bottom"/>
          </w:tcPr>
          <w:p>
            <w:pPr>
              <w:ind w:left="100"/>
              <w:spacing w:after="0" w:line="162" w:lineRule="exact"/>
              <w:rPr>
                <w:sz w:val="20"/>
                <w:szCs w:val="20"/>
                <w:color w:val="auto"/>
              </w:rPr>
            </w:pPr>
            <w:r>
              <w:rPr>
                <w:rFonts w:ascii="Arial" w:cs="Arial" w:eastAsia="Arial" w:hAnsi="Arial"/>
                <w:sz w:val="16"/>
                <w:szCs w:val="16"/>
                <w:color w:val="auto"/>
              </w:rPr>
              <w:t>​ ​</w:t>
            </w:r>
          </w:p>
        </w:tc>
        <w:tc>
          <w:tcPr>
            <w:tcW w:w="2340" w:type="dxa"/>
            <w:vAlign w:val="bottom"/>
          </w:tcPr>
          <w:p>
            <w:pPr>
              <w:ind w:left="160"/>
              <w:spacing w:after="0" w:line="162" w:lineRule="exact"/>
              <w:rPr>
                <w:sz w:val="20"/>
                <w:szCs w:val="20"/>
                <w:color w:val="auto"/>
              </w:rPr>
            </w:pPr>
            <w:r>
              <w:rPr>
                <w:rFonts w:ascii="Arial" w:cs="Arial" w:eastAsia="Arial" w:hAnsi="Arial"/>
                <w:sz w:val="16"/>
                <w:szCs w:val="16"/>
                <w:color w:val="auto"/>
              </w:rPr>
              <w:t>​​</w:t>
            </w:r>
          </w:p>
        </w:tc>
        <w:tc>
          <w:tcPr>
            <w:tcW w:w="860" w:type="dxa"/>
            <w:vAlign w:val="bottom"/>
          </w:tcPr>
          <w:p>
            <w:pPr>
              <w:ind w:left="60"/>
              <w:spacing w:after="0" w:line="162" w:lineRule="exact"/>
              <w:rPr>
                <w:sz w:val="20"/>
                <w:szCs w:val="20"/>
                <w:color w:val="auto"/>
              </w:rPr>
            </w:pPr>
            <w:r>
              <w:rPr>
                <w:rFonts w:ascii="Arial" w:cs="Arial" w:eastAsia="Arial" w:hAnsi="Arial"/>
                <w:sz w:val="16"/>
                <w:szCs w:val="16"/>
                <w:color w:val="auto"/>
              </w:rPr>
              <w:t>​ ​</w:t>
            </w:r>
          </w:p>
        </w:tc>
        <w:tc>
          <w:tcPr>
            <w:tcW w:w="40" w:type="dxa"/>
            <w:vAlign w:val="bottom"/>
          </w:tcPr>
          <w:p>
            <w:pPr>
              <w:spacing w:after="0"/>
              <w:rPr>
                <w:sz w:val="14"/>
                <w:szCs w:val="14"/>
                <w:color w:val="auto"/>
              </w:rPr>
            </w:pPr>
          </w:p>
        </w:tc>
        <w:tc>
          <w:tcPr>
            <w:tcW w:w="100" w:type="dxa"/>
            <w:vAlign w:val="bottom"/>
            <w:vMerge w:val="restart"/>
          </w:tcPr>
          <w:p>
            <w:pPr>
              <w:jc w:val="center"/>
              <w:spacing w:after="0"/>
              <w:rPr>
                <w:sz w:val="20"/>
                <w:szCs w:val="20"/>
                <w:color w:val="auto"/>
              </w:rPr>
            </w:pPr>
            <w:r>
              <w:rPr>
                <w:rFonts w:ascii="Arial" w:cs="Arial" w:eastAsia="Arial" w:hAnsi="Arial"/>
                <w:sz w:val="16"/>
                <w:szCs w:val="16"/>
                <w:color w:val="0000EE"/>
                <w:w w:val="89"/>
              </w:rPr>
              <w:t>7</w:t>
            </w:r>
          </w:p>
        </w:tc>
        <w:tc>
          <w:tcPr>
            <w:tcW w:w="40" w:type="dxa"/>
            <w:vAlign w:val="bottom"/>
          </w:tcPr>
          <w:p>
            <w:pPr>
              <w:spacing w:after="0"/>
              <w:rPr>
                <w:sz w:val="14"/>
                <w:szCs w:val="14"/>
                <w:color w:val="auto"/>
              </w:rPr>
            </w:pPr>
          </w:p>
        </w:tc>
        <w:tc>
          <w:tcPr>
            <w:tcW w:w="680" w:type="dxa"/>
            <w:vAlign w:val="bottom"/>
          </w:tcPr>
          <w:p>
            <w:pPr>
              <w:ind w:left="58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920" w:type="dxa"/>
            <w:vAlign w:val="bottom"/>
            <w:vMerge w:val="restart"/>
          </w:tcPr>
          <w:p>
            <w:pPr>
              <w:ind w:left="40"/>
              <w:spacing w:after="0"/>
              <w:rPr>
                <w:sz w:val="20"/>
                <w:szCs w:val="20"/>
                <w:color w:val="auto"/>
              </w:rPr>
            </w:pPr>
            <w:r>
              <w:rPr>
                <w:rFonts w:ascii="Arial" w:cs="Arial" w:eastAsia="Arial" w:hAnsi="Arial"/>
                <w:sz w:val="16"/>
                <w:szCs w:val="16"/>
                <w:color w:val="auto"/>
              </w:rPr>
              <w:t>Statement</w:t>
            </w:r>
          </w:p>
        </w:tc>
        <w:tc>
          <w:tcPr>
            <w:tcW w:w="420" w:type="dxa"/>
            <w:vAlign w:val="bottom"/>
          </w:tcPr>
          <w:p>
            <w:pPr>
              <w:spacing w:after="0"/>
              <w:rPr>
                <w:sz w:val="12"/>
                <w:szCs w:val="12"/>
                <w:color w:val="auto"/>
              </w:rPr>
            </w:pPr>
          </w:p>
        </w:tc>
        <w:tc>
          <w:tcPr>
            <w:tcW w:w="2340" w:type="dxa"/>
            <w:vAlign w:val="bottom"/>
            <w:vMerge w:val="restart"/>
          </w:tcPr>
          <w:p>
            <w:pPr>
              <w:ind w:left="260"/>
              <w:spacing w:after="0"/>
              <w:rPr>
                <w:sz w:val="20"/>
                <w:szCs w:val="20"/>
                <w:color w:val="auto"/>
              </w:rPr>
            </w:pPr>
            <w:r>
              <w:rPr>
                <w:rFonts w:ascii="Arial" w:cs="Arial" w:eastAsia="Arial" w:hAnsi="Arial"/>
                <w:sz w:val="16"/>
                <w:szCs w:val="16"/>
                <w:b w:val="1"/>
                <w:bCs w:val="1"/>
                <w:color w:val="E7417A"/>
              </w:rPr>
              <w:t xml:space="preserve">FOR </w:t>
            </w:r>
            <w:r>
              <w:rPr>
                <w:rFonts w:ascii="Arial" w:cs="Arial" w:eastAsia="Arial" w:hAnsi="Arial"/>
                <w:sz w:val="16"/>
                <w:szCs w:val="16"/>
                <w:color w:val="000000"/>
              </w:rPr>
              <w:t>each of the nominees</w:t>
            </w:r>
          </w:p>
        </w:tc>
        <w:tc>
          <w:tcPr>
            <w:tcW w:w="86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100" w:type="dxa"/>
            <w:vAlign w:val="bottom"/>
            <w:tcBorders>
              <w:bottom w:val="single" w:sz="8" w:color="0000EE"/>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E7417A"/>
            </w:tcBorders>
          </w:tcPr>
          <w:p>
            <w:pPr>
              <w:spacing w:after="0"/>
              <w:rPr>
                <w:sz w:val="7"/>
                <w:szCs w:val="7"/>
                <w:color w:val="auto"/>
              </w:rPr>
            </w:pPr>
          </w:p>
        </w:tc>
        <w:tc>
          <w:tcPr>
            <w:tcW w:w="200" w:type="dxa"/>
            <w:vAlign w:val="bottom"/>
            <w:tcBorders>
              <w:bottom w:val="single" w:sz="8" w:color="E7417A"/>
            </w:tcBorders>
            <w:vMerge w:val="continue"/>
          </w:tcPr>
          <w:p>
            <w:pPr>
              <w:spacing w:after="0"/>
              <w:rPr>
                <w:sz w:val="7"/>
                <w:szCs w:val="7"/>
                <w:color w:val="auto"/>
              </w:rPr>
            </w:pPr>
          </w:p>
        </w:tc>
        <w:tc>
          <w:tcPr>
            <w:tcW w:w="180" w:type="dxa"/>
            <w:vAlign w:val="bottom"/>
            <w:tcBorders>
              <w:bottom w:val="single" w:sz="8" w:color="E7417A"/>
            </w:tcBorders>
          </w:tcPr>
          <w:p>
            <w:pPr>
              <w:spacing w:after="0"/>
              <w:rPr>
                <w:sz w:val="7"/>
                <w:szCs w:val="7"/>
                <w:color w:val="auto"/>
              </w:rPr>
            </w:pPr>
          </w:p>
        </w:tc>
        <w:tc>
          <w:tcPr>
            <w:tcW w:w="3920" w:type="dxa"/>
            <w:vAlign w:val="bottom"/>
            <w:tcBorders>
              <w:bottom w:val="single" w:sz="8" w:color="E7417A"/>
            </w:tcBorders>
            <w:vMerge w:val="continue"/>
          </w:tcPr>
          <w:p>
            <w:pPr>
              <w:spacing w:after="0"/>
              <w:rPr>
                <w:sz w:val="7"/>
                <w:szCs w:val="7"/>
                <w:color w:val="auto"/>
              </w:rPr>
            </w:pPr>
          </w:p>
        </w:tc>
        <w:tc>
          <w:tcPr>
            <w:tcW w:w="420" w:type="dxa"/>
            <w:vAlign w:val="bottom"/>
            <w:tcBorders>
              <w:bottom w:val="single" w:sz="8" w:color="E7417A"/>
            </w:tcBorders>
          </w:tcPr>
          <w:p>
            <w:pPr>
              <w:spacing w:after="0"/>
              <w:rPr>
                <w:sz w:val="7"/>
                <w:szCs w:val="7"/>
                <w:color w:val="auto"/>
              </w:rPr>
            </w:pPr>
          </w:p>
        </w:tc>
        <w:tc>
          <w:tcPr>
            <w:tcW w:w="2340" w:type="dxa"/>
            <w:vAlign w:val="bottom"/>
            <w:tcBorders>
              <w:bottom w:val="single" w:sz="8" w:color="E7417A"/>
            </w:tcBorders>
            <w:vMerge w:val="continue"/>
          </w:tcPr>
          <w:p>
            <w:pPr>
              <w:spacing w:after="0"/>
              <w:rPr>
                <w:sz w:val="7"/>
                <w:szCs w:val="7"/>
                <w:color w:val="auto"/>
              </w:rPr>
            </w:pPr>
          </w:p>
        </w:tc>
        <w:tc>
          <w:tcPr>
            <w:tcW w:w="860" w:type="dxa"/>
            <w:vAlign w:val="bottom"/>
            <w:tcBorders>
              <w:bottom w:val="single" w:sz="8" w:color="E7417A"/>
            </w:tcBorders>
          </w:tcPr>
          <w:p>
            <w:pPr>
              <w:spacing w:after="0"/>
              <w:rPr>
                <w:sz w:val="7"/>
                <w:szCs w:val="7"/>
                <w:color w:val="auto"/>
              </w:rPr>
            </w:pPr>
          </w:p>
        </w:tc>
        <w:tc>
          <w:tcPr>
            <w:tcW w:w="40" w:type="dxa"/>
            <w:vAlign w:val="bottom"/>
            <w:tcBorders>
              <w:bottom w:val="single" w:sz="8" w:color="E7417A"/>
            </w:tcBorders>
            <w:vMerge w:val="continue"/>
          </w:tcPr>
          <w:p>
            <w:pPr>
              <w:spacing w:after="0"/>
              <w:rPr>
                <w:sz w:val="7"/>
                <w:szCs w:val="7"/>
                <w:color w:val="auto"/>
              </w:rPr>
            </w:pPr>
          </w:p>
        </w:tc>
        <w:tc>
          <w:tcPr>
            <w:tcW w:w="100" w:type="dxa"/>
            <w:vAlign w:val="bottom"/>
            <w:tcBorders>
              <w:bottom w:val="single" w:sz="8" w:color="E7417A"/>
            </w:tcBorders>
          </w:tcPr>
          <w:p>
            <w:pPr>
              <w:spacing w:after="0"/>
              <w:rPr>
                <w:sz w:val="7"/>
                <w:szCs w:val="7"/>
                <w:color w:val="auto"/>
              </w:rPr>
            </w:pPr>
          </w:p>
        </w:tc>
        <w:tc>
          <w:tcPr>
            <w:tcW w:w="40" w:type="dxa"/>
            <w:vAlign w:val="bottom"/>
            <w:tcBorders>
              <w:bottom w:val="single" w:sz="8" w:color="E7417A"/>
            </w:tcBorders>
          </w:tcPr>
          <w:p>
            <w:pPr>
              <w:spacing w:after="0"/>
              <w:rPr>
                <w:sz w:val="7"/>
                <w:szCs w:val="7"/>
                <w:color w:val="auto"/>
              </w:rPr>
            </w:pPr>
          </w:p>
        </w:tc>
        <w:tc>
          <w:tcPr>
            <w:tcW w:w="680" w:type="dxa"/>
            <w:vAlign w:val="bottom"/>
            <w:tcBorders>
              <w:bottom w:val="single" w:sz="8" w:color="E7417A"/>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60" w:type="dxa"/>
            <w:vAlign w:val="bottom"/>
            <w:gridSpan w:val="3"/>
          </w:tcPr>
          <w:p>
            <w:pPr>
              <w:jc w:val="right"/>
              <w:spacing w:after="0" w:line="276" w:lineRule="exact"/>
              <w:rPr>
                <w:sz w:val="20"/>
                <w:szCs w:val="20"/>
                <w:color w:val="auto"/>
              </w:rPr>
            </w:pPr>
            <w:r>
              <w:rPr>
                <w:rFonts w:ascii="Arial" w:cs="Arial" w:eastAsia="Arial" w:hAnsi="Arial"/>
                <w:sz w:val="14"/>
                <w:szCs w:val="14"/>
                <w:color w:val="auto"/>
              </w:rPr>
              <w:t xml:space="preserve">​ </w:t>
            </w:r>
            <w:r>
              <w:rPr>
                <w:rFonts w:ascii="Arial" w:cs="Arial" w:eastAsia="Arial" w:hAnsi="Arial"/>
                <w:sz w:val="32"/>
                <w:szCs w:val="32"/>
                <w:color w:val="62259D"/>
                <w:vertAlign w:val="subscript"/>
              </w:rPr>
              <w:t>2</w:t>
            </w:r>
            <w:r>
              <w:rPr>
                <w:rFonts w:ascii="Arial" w:cs="Arial" w:eastAsia="Arial" w:hAnsi="Arial"/>
                <w:sz w:val="14"/>
                <w:szCs w:val="14"/>
                <w:color w:val="auto"/>
              </w:rPr>
              <w:t>​ ​</w:t>
            </w:r>
          </w:p>
        </w:tc>
        <w:tc>
          <w:tcPr>
            <w:tcW w:w="3920" w:type="dxa"/>
            <w:vAlign w:val="bottom"/>
          </w:tcPr>
          <w:p>
            <w:pPr>
              <w:ind w:left="40"/>
              <w:spacing w:after="0"/>
              <w:rPr>
                <w:sz w:val="20"/>
                <w:szCs w:val="20"/>
                <w:color w:val="auto"/>
              </w:rPr>
            </w:pPr>
            <w:r>
              <w:rPr>
                <w:rFonts w:ascii="Arial" w:cs="Arial" w:eastAsia="Arial" w:hAnsi="Arial"/>
                <w:sz w:val="16"/>
                <w:szCs w:val="16"/>
                <w:color w:val="auto"/>
              </w:rPr>
              <w:t>Ratification of the appointment of auditors</w:t>
            </w:r>
          </w:p>
        </w:tc>
        <w:tc>
          <w:tcPr>
            <w:tcW w:w="420" w:type="dxa"/>
            <w:vAlign w:val="bottom"/>
          </w:tcPr>
          <w:p>
            <w:pPr>
              <w:ind w:left="100"/>
              <w:spacing w:after="0"/>
              <w:rPr>
                <w:sz w:val="20"/>
                <w:szCs w:val="20"/>
                <w:color w:val="auto"/>
              </w:rPr>
            </w:pPr>
            <w:r>
              <w:rPr>
                <w:rFonts w:ascii="Arial" w:cs="Arial" w:eastAsia="Arial" w:hAnsi="Arial"/>
                <w:sz w:val="16"/>
                <w:szCs w:val="16"/>
                <w:color w:val="auto"/>
              </w:rPr>
              <w:t>​ ​</w:t>
            </w:r>
          </w:p>
        </w:tc>
        <w:tc>
          <w:tcPr>
            <w:tcW w:w="2340" w:type="dxa"/>
            <w:vAlign w:val="bottom"/>
          </w:tcPr>
          <w:p>
            <w:pPr>
              <w:ind w:left="160"/>
              <w:spacing w:after="0" w:line="276" w:lineRule="exact"/>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E7417A"/>
              </w:rPr>
              <w:t>FOR</w:t>
            </w:r>
          </w:p>
        </w:tc>
        <w:tc>
          <w:tcPr>
            <w:tcW w:w="860" w:type="dxa"/>
            <w:vAlign w:val="bottom"/>
          </w:tcPr>
          <w:p>
            <w:pPr>
              <w:ind w:left="60"/>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0000EE"/>
            </w:tcBorders>
            <w:gridSpan w:val="3"/>
          </w:tcPr>
          <w:p>
            <w:pPr>
              <w:jc w:val="center"/>
              <w:spacing w:after="0"/>
              <w:rPr>
                <w:sz w:val="20"/>
                <w:szCs w:val="20"/>
                <w:color w:val="auto"/>
              </w:rPr>
            </w:pPr>
            <w:r>
              <w:rPr>
                <w:rFonts w:ascii="Arial" w:cs="Arial" w:eastAsia="Arial" w:hAnsi="Arial"/>
                <w:sz w:val="16"/>
                <w:szCs w:val="16"/>
                <w:color w:val="0000EE"/>
              </w:rPr>
              <w:t>30</w:t>
            </w:r>
          </w:p>
        </w:tc>
        <w:tc>
          <w:tcPr>
            <w:tcW w:w="680" w:type="dxa"/>
            <w:vAlign w:val="bottom"/>
          </w:tcPr>
          <w:p>
            <w:pPr>
              <w:ind w:left="5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4"/>
        </w:trPr>
        <w:tc>
          <w:tcPr>
            <w:tcW w:w="80" w:type="dxa"/>
            <w:vAlign w:val="bottom"/>
            <w:tcBorders>
              <w:bottom w:val="single" w:sz="8" w:color="E7417A"/>
            </w:tcBorders>
          </w:tcPr>
          <w:p>
            <w:pPr>
              <w:spacing w:after="0"/>
              <w:rPr>
                <w:sz w:val="6"/>
                <w:szCs w:val="6"/>
                <w:color w:val="auto"/>
              </w:rPr>
            </w:pPr>
          </w:p>
        </w:tc>
        <w:tc>
          <w:tcPr>
            <w:tcW w:w="200" w:type="dxa"/>
            <w:vAlign w:val="bottom"/>
            <w:tcBorders>
              <w:bottom w:val="single" w:sz="8" w:color="E7417A"/>
            </w:tcBorders>
          </w:tcPr>
          <w:p>
            <w:pPr>
              <w:spacing w:after="0"/>
              <w:rPr>
                <w:sz w:val="6"/>
                <w:szCs w:val="6"/>
                <w:color w:val="auto"/>
              </w:rPr>
            </w:pPr>
          </w:p>
        </w:tc>
        <w:tc>
          <w:tcPr>
            <w:tcW w:w="180" w:type="dxa"/>
            <w:vAlign w:val="bottom"/>
            <w:tcBorders>
              <w:bottom w:val="single" w:sz="8" w:color="E7417A"/>
            </w:tcBorders>
          </w:tcPr>
          <w:p>
            <w:pPr>
              <w:spacing w:after="0"/>
              <w:rPr>
                <w:sz w:val="6"/>
                <w:szCs w:val="6"/>
                <w:color w:val="auto"/>
              </w:rPr>
            </w:pPr>
          </w:p>
        </w:tc>
        <w:tc>
          <w:tcPr>
            <w:tcW w:w="3920" w:type="dxa"/>
            <w:vAlign w:val="bottom"/>
            <w:tcBorders>
              <w:bottom w:val="single" w:sz="8" w:color="E7417A"/>
            </w:tcBorders>
          </w:tcPr>
          <w:p>
            <w:pPr>
              <w:spacing w:after="0"/>
              <w:rPr>
                <w:sz w:val="6"/>
                <w:szCs w:val="6"/>
                <w:color w:val="auto"/>
              </w:rPr>
            </w:pPr>
          </w:p>
        </w:tc>
        <w:tc>
          <w:tcPr>
            <w:tcW w:w="420" w:type="dxa"/>
            <w:vAlign w:val="bottom"/>
            <w:tcBorders>
              <w:bottom w:val="single" w:sz="8" w:color="E7417A"/>
            </w:tcBorders>
          </w:tcPr>
          <w:p>
            <w:pPr>
              <w:spacing w:after="0"/>
              <w:rPr>
                <w:sz w:val="6"/>
                <w:szCs w:val="6"/>
                <w:color w:val="auto"/>
              </w:rPr>
            </w:pPr>
          </w:p>
        </w:tc>
        <w:tc>
          <w:tcPr>
            <w:tcW w:w="2340" w:type="dxa"/>
            <w:vAlign w:val="bottom"/>
            <w:tcBorders>
              <w:bottom w:val="single" w:sz="8" w:color="E7417A"/>
            </w:tcBorders>
          </w:tcPr>
          <w:p>
            <w:pPr>
              <w:spacing w:after="0"/>
              <w:rPr>
                <w:sz w:val="6"/>
                <w:szCs w:val="6"/>
                <w:color w:val="auto"/>
              </w:rPr>
            </w:pPr>
          </w:p>
        </w:tc>
        <w:tc>
          <w:tcPr>
            <w:tcW w:w="860" w:type="dxa"/>
            <w:vAlign w:val="bottom"/>
            <w:tcBorders>
              <w:bottom w:val="single" w:sz="8" w:color="E7417A"/>
            </w:tcBorders>
          </w:tcPr>
          <w:p>
            <w:pPr>
              <w:spacing w:after="0"/>
              <w:rPr>
                <w:sz w:val="6"/>
                <w:szCs w:val="6"/>
                <w:color w:val="auto"/>
              </w:rPr>
            </w:pPr>
          </w:p>
        </w:tc>
        <w:tc>
          <w:tcPr>
            <w:tcW w:w="40" w:type="dxa"/>
            <w:vAlign w:val="bottom"/>
            <w:tcBorders>
              <w:bottom w:val="single" w:sz="8" w:color="E7417A"/>
            </w:tcBorders>
          </w:tcPr>
          <w:p>
            <w:pPr>
              <w:spacing w:after="0"/>
              <w:rPr>
                <w:sz w:val="6"/>
                <w:szCs w:val="6"/>
                <w:color w:val="auto"/>
              </w:rPr>
            </w:pPr>
          </w:p>
        </w:tc>
        <w:tc>
          <w:tcPr>
            <w:tcW w:w="100" w:type="dxa"/>
            <w:vAlign w:val="bottom"/>
            <w:tcBorders>
              <w:bottom w:val="single" w:sz="8" w:color="E7417A"/>
            </w:tcBorders>
          </w:tcPr>
          <w:p>
            <w:pPr>
              <w:spacing w:after="0"/>
              <w:rPr>
                <w:sz w:val="6"/>
                <w:szCs w:val="6"/>
                <w:color w:val="auto"/>
              </w:rPr>
            </w:pPr>
          </w:p>
        </w:tc>
        <w:tc>
          <w:tcPr>
            <w:tcW w:w="40" w:type="dxa"/>
            <w:vAlign w:val="bottom"/>
            <w:tcBorders>
              <w:bottom w:val="single" w:sz="8" w:color="E7417A"/>
            </w:tcBorders>
          </w:tcPr>
          <w:p>
            <w:pPr>
              <w:spacing w:after="0"/>
              <w:rPr>
                <w:sz w:val="6"/>
                <w:szCs w:val="6"/>
                <w:color w:val="auto"/>
              </w:rPr>
            </w:pPr>
          </w:p>
        </w:tc>
        <w:tc>
          <w:tcPr>
            <w:tcW w:w="680" w:type="dxa"/>
            <w:vAlign w:val="bottom"/>
            <w:tcBorders>
              <w:bottom w:val="single" w:sz="8" w:color="E7417A"/>
            </w:tcBorders>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line="155" w:lineRule="exact"/>
              <w:rPr>
                <w:sz w:val="20"/>
                <w:szCs w:val="20"/>
                <w:color w:val="auto"/>
              </w:rPr>
            </w:pPr>
            <w:r>
              <w:rPr>
                <w:rFonts w:ascii="Arial" w:cs="Arial" w:eastAsia="Arial" w:hAnsi="Arial"/>
                <w:sz w:val="16"/>
                <w:szCs w:val="16"/>
                <w:color w:val="auto"/>
              </w:rPr>
              <w:t>​</w:t>
            </w:r>
          </w:p>
        </w:tc>
        <w:tc>
          <w:tcPr>
            <w:tcW w:w="200" w:type="dxa"/>
            <w:vAlign w:val="bottom"/>
            <w:vMerge w:val="restart"/>
          </w:tcPr>
          <w:p>
            <w:pPr>
              <w:jc w:val="right"/>
              <w:spacing w:after="0"/>
              <w:rPr>
                <w:sz w:val="20"/>
                <w:szCs w:val="20"/>
                <w:color w:val="auto"/>
              </w:rPr>
            </w:pPr>
            <w:r>
              <w:rPr>
                <w:rFonts w:ascii="Arial" w:cs="Arial" w:eastAsia="Arial" w:hAnsi="Arial"/>
                <w:sz w:val="32"/>
                <w:szCs w:val="32"/>
                <w:color w:val="62259D"/>
              </w:rPr>
              <w:t>3</w:t>
            </w:r>
          </w:p>
        </w:tc>
        <w:tc>
          <w:tcPr>
            <w:tcW w:w="180" w:type="dxa"/>
            <w:vAlign w:val="bottom"/>
          </w:tcPr>
          <w:p>
            <w:pPr>
              <w:jc w:val="right"/>
              <w:spacing w:after="0" w:line="155" w:lineRule="exact"/>
              <w:rPr>
                <w:sz w:val="20"/>
                <w:szCs w:val="20"/>
                <w:color w:val="auto"/>
              </w:rPr>
            </w:pPr>
            <w:r>
              <w:rPr>
                <w:rFonts w:ascii="Arial" w:cs="Arial" w:eastAsia="Arial" w:hAnsi="Arial"/>
                <w:sz w:val="16"/>
                <w:szCs w:val="16"/>
                <w:color w:val="auto"/>
              </w:rPr>
              <w:t>​ ​</w:t>
            </w:r>
          </w:p>
        </w:tc>
        <w:tc>
          <w:tcPr>
            <w:tcW w:w="3920" w:type="dxa"/>
            <w:vAlign w:val="bottom"/>
          </w:tcPr>
          <w:p>
            <w:pPr>
              <w:ind w:left="40"/>
              <w:spacing w:after="0" w:line="155" w:lineRule="exact"/>
              <w:rPr>
                <w:sz w:val="20"/>
                <w:szCs w:val="20"/>
                <w:color w:val="auto"/>
              </w:rPr>
            </w:pPr>
            <w:r>
              <w:rPr>
                <w:rFonts w:ascii="Arial" w:cs="Arial" w:eastAsia="Arial" w:hAnsi="Arial"/>
                <w:sz w:val="16"/>
                <w:szCs w:val="16"/>
                <w:color w:val="auto"/>
              </w:rPr>
              <w:t>Approval, on a non-binding advisory basis, of the</w:t>
            </w:r>
          </w:p>
        </w:tc>
        <w:tc>
          <w:tcPr>
            <w:tcW w:w="420" w:type="dxa"/>
            <w:vAlign w:val="bottom"/>
          </w:tcPr>
          <w:p>
            <w:pPr>
              <w:ind w:left="100"/>
              <w:spacing w:after="0" w:line="155" w:lineRule="exact"/>
              <w:rPr>
                <w:sz w:val="20"/>
                <w:szCs w:val="20"/>
                <w:color w:val="auto"/>
              </w:rPr>
            </w:pPr>
            <w:r>
              <w:rPr>
                <w:rFonts w:ascii="Arial" w:cs="Arial" w:eastAsia="Arial" w:hAnsi="Arial"/>
                <w:sz w:val="16"/>
                <w:szCs w:val="16"/>
                <w:color w:val="auto"/>
              </w:rPr>
              <w:t>​ ​</w:t>
            </w:r>
          </w:p>
        </w:tc>
        <w:tc>
          <w:tcPr>
            <w:tcW w:w="2340" w:type="dxa"/>
            <w:vAlign w:val="bottom"/>
          </w:tcPr>
          <w:p>
            <w:pPr>
              <w:ind w:left="160"/>
              <w:spacing w:after="0" w:line="155" w:lineRule="exact"/>
              <w:rPr>
                <w:sz w:val="20"/>
                <w:szCs w:val="20"/>
                <w:color w:val="auto"/>
              </w:rPr>
            </w:pPr>
            <w:r>
              <w:rPr>
                <w:rFonts w:ascii="Arial" w:cs="Arial" w:eastAsia="Arial" w:hAnsi="Arial"/>
                <w:sz w:val="16"/>
                <w:szCs w:val="16"/>
                <w:color w:val="auto"/>
              </w:rPr>
              <w:t>​​</w:t>
            </w:r>
          </w:p>
        </w:tc>
        <w:tc>
          <w:tcPr>
            <w:tcW w:w="860" w:type="dxa"/>
            <w:vAlign w:val="bottom"/>
          </w:tcPr>
          <w:p>
            <w:pPr>
              <w:ind w:left="60"/>
              <w:spacing w:after="0" w:line="155" w:lineRule="exact"/>
              <w:rPr>
                <w:sz w:val="20"/>
                <w:szCs w:val="20"/>
                <w:color w:val="auto"/>
              </w:rPr>
            </w:pPr>
            <w:r>
              <w:rPr>
                <w:rFonts w:ascii="Arial" w:cs="Arial" w:eastAsia="Arial" w:hAnsi="Arial"/>
                <w:sz w:val="16"/>
                <w:szCs w:val="16"/>
                <w:color w:val="auto"/>
              </w:rPr>
              <w:t>​ ​</w:t>
            </w:r>
          </w:p>
        </w:tc>
        <w:tc>
          <w:tcPr>
            <w:tcW w:w="180" w:type="dxa"/>
            <w:vAlign w:val="bottom"/>
            <w:gridSpan w:val="3"/>
            <w:vMerge w:val="restart"/>
          </w:tcPr>
          <w:p>
            <w:pPr>
              <w:jc w:val="center"/>
              <w:spacing w:after="0"/>
              <w:rPr>
                <w:sz w:val="20"/>
                <w:szCs w:val="20"/>
                <w:color w:val="auto"/>
              </w:rPr>
            </w:pPr>
            <w:r>
              <w:rPr>
                <w:rFonts w:ascii="Arial" w:cs="Arial" w:eastAsia="Arial" w:hAnsi="Arial"/>
                <w:sz w:val="16"/>
                <w:szCs w:val="16"/>
                <w:color w:val="0000EE"/>
              </w:rPr>
              <w:t>35</w:t>
            </w:r>
          </w:p>
        </w:tc>
        <w:tc>
          <w:tcPr>
            <w:tcW w:w="680" w:type="dxa"/>
            <w:vAlign w:val="bottom"/>
          </w:tcPr>
          <w:p>
            <w:pPr>
              <w:ind w:left="580"/>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3920" w:type="dxa"/>
            <w:vAlign w:val="bottom"/>
            <w:vMerge w:val="restart"/>
          </w:tcPr>
          <w:p>
            <w:pPr>
              <w:ind w:left="40"/>
              <w:spacing w:after="0"/>
              <w:rPr>
                <w:sz w:val="20"/>
                <w:szCs w:val="20"/>
                <w:color w:val="auto"/>
              </w:rPr>
            </w:pPr>
            <w:r>
              <w:rPr>
                <w:rFonts w:ascii="Arial" w:cs="Arial" w:eastAsia="Arial" w:hAnsi="Arial"/>
                <w:sz w:val="16"/>
                <w:szCs w:val="16"/>
                <w:color w:val="auto"/>
              </w:rPr>
              <w:t>compensation of our named executive officers</w:t>
            </w:r>
          </w:p>
        </w:tc>
        <w:tc>
          <w:tcPr>
            <w:tcW w:w="420" w:type="dxa"/>
            <w:vAlign w:val="bottom"/>
          </w:tcPr>
          <w:p>
            <w:pPr>
              <w:spacing w:after="0"/>
              <w:rPr>
                <w:sz w:val="11"/>
                <w:szCs w:val="11"/>
                <w:color w:val="auto"/>
              </w:rPr>
            </w:pPr>
          </w:p>
        </w:tc>
        <w:tc>
          <w:tcPr>
            <w:tcW w:w="2340" w:type="dxa"/>
            <w:vAlign w:val="bottom"/>
            <w:vMerge w:val="restart"/>
          </w:tcPr>
          <w:p>
            <w:pPr>
              <w:ind w:left="260"/>
              <w:spacing w:after="0"/>
              <w:rPr>
                <w:sz w:val="20"/>
                <w:szCs w:val="20"/>
                <w:color w:val="auto"/>
              </w:rPr>
            </w:pPr>
            <w:r>
              <w:rPr>
                <w:rFonts w:ascii="Arial" w:cs="Arial" w:eastAsia="Arial" w:hAnsi="Arial"/>
                <w:sz w:val="16"/>
                <w:szCs w:val="16"/>
                <w:b w:val="1"/>
                <w:bCs w:val="1"/>
                <w:color w:val="E7417A"/>
              </w:rPr>
              <w:t>FOR</w:t>
            </w:r>
          </w:p>
        </w:tc>
        <w:tc>
          <w:tcPr>
            <w:tcW w:w="860" w:type="dxa"/>
            <w:vAlign w:val="bottom"/>
          </w:tcPr>
          <w:p>
            <w:pPr>
              <w:spacing w:after="0"/>
              <w:rPr>
                <w:sz w:val="11"/>
                <w:szCs w:val="11"/>
                <w:color w:val="auto"/>
              </w:rPr>
            </w:pPr>
          </w:p>
        </w:tc>
        <w:tc>
          <w:tcPr>
            <w:tcW w:w="180" w:type="dxa"/>
            <w:vAlign w:val="bottom"/>
            <w:tcBorders>
              <w:bottom w:val="single" w:sz="8" w:color="0000EE"/>
            </w:tcBorders>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E7417A"/>
            </w:tcBorders>
          </w:tcPr>
          <w:p>
            <w:pPr>
              <w:spacing w:after="0"/>
              <w:rPr>
                <w:sz w:val="8"/>
                <w:szCs w:val="8"/>
                <w:color w:val="auto"/>
              </w:rPr>
            </w:pPr>
          </w:p>
        </w:tc>
        <w:tc>
          <w:tcPr>
            <w:tcW w:w="200" w:type="dxa"/>
            <w:vAlign w:val="bottom"/>
            <w:tcBorders>
              <w:bottom w:val="single" w:sz="8" w:color="E7417A"/>
            </w:tcBorders>
            <w:vMerge w:val="continue"/>
          </w:tcPr>
          <w:p>
            <w:pPr>
              <w:spacing w:after="0"/>
              <w:rPr>
                <w:sz w:val="8"/>
                <w:szCs w:val="8"/>
                <w:color w:val="auto"/>
              </w:rPr>
            </w:pPr>
          </w:p>
        </w:tc>
        <w:tc>
          <w:tcPr>
            <w:tcW w:w="180" w:type="dxa"/>
            <w:vAlign w:val="bottom"/>
            <w:tcBorders>
              <w:bottom w:val="single" w:sz="8" w:color="E7417A"/>
            </w:tcBorders>
          </w:tcPr>
          <w:p>
            <w:pPr>
              <w:spacing w:after="0"/>
              <w:rPr>
                <w:sz w:val="8"/>
                <w:szCs w:val="8"/>
                <w:color w:val="auto"/>
              </w:rPr>
            </w:pPr>
          </w:p>
        </w:tc>
        <w:tc>
          <w:tcPr>
            <w:tcW w:w="3920" w:type="dxa"/>
            <w:vAlign w:val="bottom"/>
            <w:tcBorders>
              <w:bottom w:val="single" w:sz="8" w:color="E7417A"/>
            </w:tcBorders>
            <w:vMerge w:val="continue"/>
          </w:tcPr>
          <w:p>
            <w:pPr>
              <w:spacing w:after="0"/>
              <w:rPr>
                <w:sz w:val="8"/>
                <w:szCs w:val="8"/>
                <w:color w:val="auto"/>
              </w:rPr>
            </w:pPr>
          </w:p>
        </w:tc>
        <w:tc>
          <w:tcPr>
            <w:tcW w:w="420" w:type="dxa"/>
            <w:vAlign w:val="bottom"/>
            <w:tcBorders>
              <w:bottom w:val="single" w:sz="8" w:color="E7417A"/>
            </w:tcBorders>
          </w:tcPr>
          <w:p>
            <w:pPr>
              <w:spacing w:after="0"/>
              <w:rPr>
                <w:sz w:val="8"/>
                <w:szCs w:val="8"/>
                <w:color w:val="auto"/>
              </w:rPr>
            </w:pPr>
          </w:p>
        </w:tc>
        <w:tc>
          <w:tcPr>
            <w:tcW w:w="2340" w:type="dxa"/>
            <w:vAlign w:val="bottom"/>
            <w:tcBorders>
              <w:bottom w:val="single" w:sz="8" w:color="E7417A"/>
            </w:tcBorders>
            <w:vMerge w:val="continue"/>
          </w:tcPr>
          <w:p>
            <w:pPr>
              <w:spacing w:after="0"/>
              <w:rPr>
                <w:sz w:val="8"/>
                <w:szCs w:val="8"/>
                <w:color w:val="auto"/>
              </w:rPr>
            </w:pPr>
          </w:p>
        </w:tc>
        <w:tc>
          <w:tcPr>
            <w:tcW w:w="860" w:type="dxa"/>
            <w:vAlign w:val="bottom"/>
            <w:tcBorders>
              <w:bottom w:val="single" w:sz="8" w:color="E7417A"/>
            </w:tcBorders>
          </w:tcPr>
          <w:p>
            <w:pPr>
              <w:spacing w:after="0"/>
              <w:rPr>
                <w:sz w:val="8"/>
                <w:szCs w:val="8"/>
                <w:color w:val="auto"/>
              </w:rPr>
            </w:pPr>
          </w:p>
        </w:tc>
        <w:tc>
          <w:tcPr>
            <w:tcW w:w="180" w:type="dxa"/>
            <w:vAlign w:val="bottom"/>
            <w:tcBorders>
              <w:bottom w:val="single" w:sz="8" w:color="E7417A"/>
            </w:tcBorders>
            <w:gridSpan w:val="3"/>
          </w:tcPr>
          <w:p>
            <w:pPr>
              <w:spacing w:after="0"/>
              <w:rPr>
                <w:sz w:val="8"/>
                <w:szCs w:val="8"/>
                <w:color w:val="auto"/>
              </w:rPr>
            </w:pPr>
          </w:p>
        </w:tc>
        <w:tc>
          <w:tcPr>
            <w:tcW w:w="680" w:type="dxa"/>
            <w:vAlign w:val="bottom"/>
            <w:tcBorders>
              <w:bottom w:val="single" w:sz="8" w:color="E7417A"/>
            </w:tcBorders>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80" w:type="dxa"/>
            <w:vAlign w:val="bottom"/>
          </w:tcPr>
          <w:p>
            <w:pPr>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jc w:val="right"/>
              <w:spacing w:after="0"/>
              <w:rPr>
                <w:sz w:val="20"/>
                <w:szCs w:val="20"/>
                <w:color w:val="auto"/>
              </w:rPr>
            </w:pPr>
            <w:r>
              <w:rPr>
                <w:rFonts w:ascii="Arial" w:cs="Arial" w:eastAsia="Arial" w:hAnsi="Arial"/>
                <w:sz w:val="32"/>
                <w:szCs w:val="32"/>
                <w:color w:val="62259D"/>
              </w:rPr>
              <w:t>4</w:t>
            </w:r>
          </w:p>
        </w:tc>
        <w:tc>
          <w:tcPr>
            <w:tcW w:w="180" w:type="dxa"/>
            <w:vAlign w:val="bottom"/>
          </w:tcPr>
          <w:p>
            <w:pPr>
              <w:jc w:val="right"/>
              <w:spacing w:after="0"/>
              <w:rPr>
                <w:sz w:val="20"/>
                <w:szCs w:val="20"/>
                <w:color w:val="auto"/>
              </w:rPr>
            </w:pPr>
            <w:r>
              <w:rPr>
                <w:rFonts w:ascii="Arial" w:cs="Arial" w:eastAsia="Arial" w:hAnsi="Arial"/>
                <w:sz w:val="16"/>
                <w:szCs w:val="16"/>
                <w:color w:val="auto"/>
              </w:rPr>
              <w:t>​ ​</w:t>
            </w:r>
          </w:p>
        </w:tc>
        <w:tc>
          <w:tcPr>
            <w:tcW w:w="3920" w:type="dxa"/>
            <w:vAlign w:val="bottom"/>
          </w:tcPr>
          <w:p>
            <w:pPr>
              <w:ind w:left="40"/>
              <w:spacing w:after="0"/>
              <w:rPr>
                <w:sz w:val="20"/>
                <w:szCs w:val="20"/>
                <w:color w:val="auto"/>
              </w:rPr>
            </w:pPr>
            <w:r>
              <w:rPr>
                <w:rFonts w:ascii="Arial" w:cs="Arial" w:eastAsia="Arial" w:hAnsi="Arial"/>
                <w:sz w:val="16"/>
                <w:szCs w:val="16"/>
                <w:color w:val="auto"/>
              </w:rPr>
              <w:t>Approval of amendment to increase our authorized</w:t>
            </w:r>
          </w:p>
        </w:tc>
        <w:tc>
          <w:tcPr>
            <w:tcW w:w="420" w:type="dxa"/>
            <w:vAlign w:val="bottom"/>
          </w:tcPr>
          <w:p>
            <w:pPr>
              <w:ind w:left="100"/>
              <w:spacing w:after="0"/>
              <w:rPr>
                <w:sz w:val="20"/>
                <w:szCs w:val="20"/>
                <w:color w:val="auto"/>
              </w:rPr>
            </w:pPr>
            <w:r>
              <w:rPr>
                <w:rFonts w:ascii="Arial" w:cs="Arial" w:eastAsia="Arial" w:hAnsi="Arial"/>
                <w:sz w:val="16"/>
                <w:szCs w:val="16"/>
                <w:color w:val="auto"/>
              </w:rPr>
              <w:t>​ ​</w:t>
            </w:r>
          </w:p>
        </w:tc>
        <w:tc>
          <w:tcPr>
            <w:tcW w:w="2340" w:type="dxa"/>
            <w:vAlign w:val="bottom"/>
          </w:tcPr>
          <w:p>
            <w:pPr>
              <w:ind w:left="160"/>
              <w:spacing w:after="0" w:line="290" w:lineRule="exact"/>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E7417A"/>
              </w:rPr>
              <w:t>FOR</w:t>
            </w:r>
          </w:p>
        </w:tc>
        <w:tc>
          <w:tcPr>
            <w:tcW w:w="860" w:type="dxa"/>
            <w:vAlign w:val="bottom"/>
          </w:tcPr>
          <w:p>
            <w:pPr>
              <w:ind w:left="60"/>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0000EE"/>
            </w:tcBorders>
            <w:gridSpan w:val="3"/>
          </w:tcPr>
          <w:p>
            <w:pPr>
              <w:jc w:val="center"/>
              <w:spacing w:after="0"/>
              <w:rPr>
                <w:sz w:val="20"/>
                <w:szCs w:val="20"/>
                <w:color w:val="auto"/>
              </w:rPr>
            </w:pPr>
            <w:r>
              <w:rPr>
                <w:rFonts w:ascii="Arial" w:cs="Arial" w:eastAsia="Arial" w:hAnsi="Arial"/>
                <w:sz w:val="16"/>
                <w:szCs w:val="16"/>
                <w:color w:val="0000EE"/>
              </w:rPr>
              <w:t>67</w:t>
            </w:r>
          </w:p>
        </w:tc>
        <w:tc>
          <w:tcPr>
            <w:tcW w:w="680" w:type="dxa"/>
            <w:vAlign w:val="bottom"/>
          </w:tcPr>
          <w:p>
            <w:pPr>
              <w:ind w:left="5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3920" w:type="dxa"/>
            <w:vAlign w:val="bottom"/>
          </w:tcPr>
          <w:p>
            <w:pPr>
              <w:ind w:left="40"/>
              <w:spacing w:after="0"/>
              <w:rPr>
                <w:sz w:val="20"/>
                <w:szCs w:val="20"/>
                <w:color w:val="auto"/>
              </w:rPr>
            </w:pPr>
            <w:r>
              <w:rPr>
                <w:rFonts w:ascii="Arial" w:cs="Arial" w:eastAsia="Arial" w:hAnsi="Arial"/>
                <w:sz w:val="16"/>
                <w:szCs w:val="16"/>
                <w:color w:val="auto"/>
              </w:rPr>
              <w:t>shares of common stock to 390 million shares</w:t>
            </w:r>
          </w:p>
        </w:tc>
        <w:tc>
          <w:tcPr>
            <w:tcW w:w="4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80" w:type="dxa"/>
            <w:vAlign w:val="bottom"/>
            <w:tcBorders>
              <w:bottom w:val="single" w:sz="8" w:color="E7417A"/>
            </w:tcBorders>
          </w:tcPr>
          <w:p>
            <w:pPr>
              <w:spacing w:after="0"/>
              <w:rPr>
                <w:sz w:val="9"/>
                <w:szCs w:val="9"/>
                <w:color w:val="auto"/>
              </w:rPr>
            </w:pPr>
          </w:p>
        </w:tc>
        <w:tc>
          <w:tcPr>
            <w:tcW w:w="200" w:type="dxa"/>
            <w:vAlign w:val="bottom"/>
            <w:tcBorders>
              <w:bottom w:val="single" w:sz="8" w:color="E7417A"/>
            </w:tcBorders>
          </w:tcPr>
          <w:p>
            <w:pPr>
              <w:spacing w:after="0"/>
              <w:rPr>
                <w:sz w:val="9"/>
                <w:szCs w:val="9"/>
                <w:color w:val="auto"/>
              </w:rPr>
            </w:pPr>
          </w:p>
        </w:tc>
        <w:tc>
          <w:tcPr>
            <w:tcW w:w="180" w:type="dxa"/>
            <w:vAlign w:val="bottom"/>
            <w:tcBorders>
              <w:bottom w:val="single" w:sz="8" w:color="E7417A"/>
            </w:tcBorders>
          </w:tcPr>
          <w:p>
            <w:pPr>
              <w:spacing w:after="0"/>
              <w:rPr>
                <w:sz w:val="9"/>
                <w:szCs w:val="9"/>
                <w:color w:val="auto"/>
              </w:rPr>
            </w:pPr>
          </w:p>
        </w:tc>
        <w:tc>
          <w:tcPr>
            <w:tcW w:w="3920" w:type="dxa"/>
            <w:vAlign w:val="bottom"/>
            <w:tcBorders>
              <w:bottom w:val="single" w:sz="8" w:color="E7417A"/>
            </w:tcBorders>
          </w:tcPr>
          <w:p>
            <w:pPr>
              <w:spacing w:after="0"/>
              <w:rPr>
                <w:sz w:val="9"/>
                <w:szCs w:val="9"/>
                <w:color w:val="auto"/>
              </w:rPr>
            </w:pPr>
          </w:p>
        </w:tc>
        <w:tc>
          <w:tcPr>
            <w:tcW w:w="420" w:type="dxa"/>
            <w:vAlign w:val="bottom"/>
            <w:tcBorders>
              <w:bottom w:val="single" w:sz="8" w:color="E7417A"/>
            </w:tcBorders>
          </w:tcPr>
          <w:p>
            <w:pPr>
              <w:spacing w:after="0"/>
              <w:rPr>
                <w:sz w:val="9"/>
                <w:szCs w:val="9"/>
                <w:color w:val="auto"/>
              </w:rPr>
            </w:pPr>
          </w:p>
        </w:tc>
        <w:tc>
          <w:tcPr>
            <w:tcW w:w="2340" w:type="dxa"/>
            <w:vAlign w:val="bottom"/>
            <w:tcBorders>
              <w:bottom w:val="single" w:sz="8" w:color="E7417A"/>
            </w:tcBorders>
          </w:tcPr>
          <w:p>
            <w:pPr>
              <w:spacing w:after="0"/>
              <w:rPr>
                <w:sz w:val="9"/>
                <w:szCs w:val="9"/>
                <w:color w:val="auto"/>
              </w:rPr>
            </w:pPr>
          </w:p>
        </w:tc>
        <w:tc>
          <w:tcPr>
            <w:tcW w:w="860" w:type="dxa"/>
            <w:vAlign w:val="bottom"/>
            <w:tcBorders>
              <w:bottom w:val="single" w:sz="8" w:color="E7417A"/>
            </w:tcBorders>
          </w:tcPr>
          <w:p>
            <w:pPr>
              <w:spacing w:after="0"/>
              <w:rPr>
                <w:sz w:val="9"/>
                <w:szCs w:val="9"/>
                <w:color w:val="auto"/>
              </w:rPr>
            </w:pPr>
          </w:p>
        </w:tc>
        <w:tc>
          <w:tcPr>
            <w:tcW w:w="40" w:type="dxa"/>
            <w:vAlign w:val="bottom"/>
            <w:tcBorders>
              <w:bottom w:val="single" w:sz="8" w:color="E7417A"/>
            </w:tcBorders>
          </w:tcPr>
          <w:p>
            <w:pPr>
              <w:spacing w:after="0"/>
              <w:rPr>
                <w:sz w:val="9"/>
                <w:szCs w:val="9"/>
                <w:color w:val="auto"/>
              </w:rPr>
            </w:pPr>
          </w:p>
        </w:tc>
        <w:tc>
          <w:tcPr>
            <w:tcW w:w="100" w:type="dxa"/>
            <w:vAlign w:val="bottom"/>
            <w:tcBorders>
              <w:bottom w:val="single" w:sz="8" w:color="E7417A"/>
            </w:tcBorders>
          </w:tcPr>
          <w:p>
            <w:pPr>
              <w:spacing w:after="0"/>
              <w:rPr>
                <w:sz w:val="9"/>
                <w:szCs w:val="9"/>
                <w:color w:val="auto"/>
              </w:rPr>
            </w:pPr>
          </w:p>
        </w:tc>
        <w:tc>
          <w:tcPr>
            <w:tcW w:w="40" w:type="dxa"/>
            <w:vAlign w:val="bottom"/>
            <w:tcBorders>
              <w:bottom w:val="single" w:sz="8" w:color="E7417A"/>
            </w:tcBorders>
          </w:tcPr>
          <w:p>
            <w:pPr>
              <w:spacing w:after="0"/>
              <w:rPr>
                <w:sz w:val="9"/>
                <w:szCs w:val="9"/>
                <w:color w:val="auto"/>
              </w:rPr>
            </w:pPr>
          </w:p>
        </w:tc>
        <w:tc>
          <w:tcPr>
            <w:tcW w:w="680" w:type="dxa"/>
            <w:vAlign w:val="bottom"/>
            <w:tcBorders>
              <w:bottom w:val="single" w:sz="8" w:color="E7417A"/>
            </w:tcBorders>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80" w:type="dxa"/>
            <w:vAlign w:val="bottom"/>
          </w:tcPr>
          <w:p>
            <w:pPr>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jc w:val="right"/>
              <w:spacing w:after="0"/>
              <w:rPr>
                <w:sz w:val="20"/>
                <w:szCs w:val="20"/>
                <w:color w:val="auto"/>
              </w:rPr>
            </w:pPr>
            <w:r>
              <w:rPr>
                <w:rFonts w:ascii="Arial" w:cs="Arial" w:eastAsia="Arial" w:hAnsi="Arial"/>
                <w:sz w:val="32"/>
                <w:szCs w:val="32"/>
                <w:color w:val="62259D"/>
              </w:rPr>
              <w:t>5</w:t>
            </w:r>
          </w:p>
        </w:tc>
        <w:tc>
          <w:tcPr>
            <w:tcW w:w="180" w:type="dxa"/>
            <w:vAlign w:val="bottom"/>
          </w:tcPr>
          <w:p>
            <w:pPr>
              <w:jc w:val="right"/>
              <w:spacing w:after="0"/>
              <w:rPr>
                <w:sz w:val="20"/>
                <w:szCs w:val="20"/>
                <w:color w:val="auto"/>
              </w:rPr>
            </w:pPr>
            <w:r>
              <w:rPr>
                <w:rFonts w:ascii="Arial" w:cs="Arial" w:eastAsia="Arial" w:hAnsi="Arial"/>
                <w:sz w:val="16"/>
                <w:szCs w:val="16"/>
                <w:color w:val="auto"/>
              </w:rPr>
              <w:t>​ ​</w:t>
            </w:r>
          </w:p>
        </w:tc>
        <w:tc>
          <w:tcPr>
            <w:tcW w:w="3920" w:type="dxa"/>
            <w:vAlign w:val="bottom"/>
          </w:tcPr>
          <w:p>
            <w:pPr>
              <w:ind w:left="40"/>
              <w:spacing w:after="0"/>
              <w:rPr>
                <w:sz w:val="20"/>
                <w:szCs w:val="20"/>
                <w:color w:val="auto"/>
              </w:rPr>
            </w:pPr>
            <w:r>
              <w:rPr>
                <w:rFonts w:ascii="Arial" w:cs="Arial" w:eastAsia="Arial" w:hAnsi="Arial"/>
                <w:sz w:val="16"/>
                <w:szCs w:val="16"/>
                <w:color w:val="auto"/>
              </w:rPr>
              <w:t>Approval of the Ribbon Communications Inc. 2025</w:t>
            </w:r>
          </w:p>
        </w:tc>
        <w:tc>
          <w:tcPr>
            <w:tcW w:w="420" w:type="dxa"/>
            <w:vAlign w:val="bottom"/>
          </w:tcPr>
          <w:p>
            <w:pPr>
              <w:ind w:left="100"/>
              <w:spacing w:after="0"/>
              <w:rPr>
                <w:sz w:val="20"/>
                <w:szCs w:val="20"/>
                <w:color w:val="auto"/>
              </w:rPr>
            </w:pPr>
            <w:r>
              <w:rPr>
                <w:rFonts w:ascii="Arial" w:cs="Arial" w:eastAsia="Arial" w:hAnsi="Arial"/>
                <w:sz w:val="16"/>
                <w:szCs w:val="16"/>
                <w:color w:val="auto"/>
              </w:rPr>
              <w:t>​ ​</w:t>
            </w:r>
          </w:p>
        </w:tc>
        <w:tc>
          <w:tcPr>
            <w:tcW w:w="2340" w:type="dxa"/>
            <w:vAlign w:val="bottom"/>
          </w:tcPr>
          <w:p>
            <w:pPr>
              <w:ind w:left="160"/>
              <w:spacing w:after="0" w:line="290" w:lineRule="exact"/>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E7417A"/>
              </w:rPr>
              <w:t>FOR</w:t>
            </w:r>
          </w:p>
        </w:tc>
        <w:tc>
          <w:tcPr>
            <w:tcW w:w="860" w:type="dxa"/>
            <w:vAlign w:val="bottom"/>
          </w:tcPr>
          <w:p>
            <w:pPr>
              <w:ind w:left="60"/>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0000EE"/>
            </w:tcBorders>
            <w:gridSpan w:val="3"/>
          </w:tcPr>
          <w:p>
            <w:pPr>
              <w:jc w:val="center"/>
              <w:spacing w:after="0"/>
              <w:rPr>
                <w:sz w:val="20"/>
                <w:szCs w:val="20"/>
                <w:color w:val="auto"/>
              </w:rPr>
            </w:pPr>
            <w:r>
              <w:rPr>
                <w:rFonts w:ascii="Arial" w:cs="Arial" w:eastAsia="Arial" w:hAnsi="Arial"/>
                <w:sz w:val="16"/>
                <w:szCs w:val="16"/>
                <w:color w:val="0000EE"/>
              </w:rPr>
              <w:t>70</w:t>
            </w:r>
          </w:p>
        </w:tc>
        <w:tc>
          <w:tcPr>
            <w:tcW w:w="680" w:type="dxa"/>
            <w:vAlign w:val="bottom"/>
          </w:tcPr>
          <w:p>
            <w:pPr>
              <w:ind w:left="5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3920" w:type="dxa"/>
            <w:vAlign w:val="bottom"/>
          </w:tcPr>
          <w:p>
            <w:pPr>
              <w:ind w:left="40"/>
              <w:spacing w:after="0"/>
              <w:rPr>
                <w:sz w:val="20"/>
                <w:szCs w:val="20"/>
                <w:color w:val="auto"/>
              </w:rPr>
            </w:pPr>
            <w:r>
              <w:rPr>
                <w:rFonts w:ascii="Arial" w:cs="Arial" w:eastAsia="Arial" w:hAnsi="Arial"/>
                <w:sz w:val="16"/>
                <w:szCs w:val="16"/>
                <w:color w:val="auto"/>
              </w:rPr>
              <w:t>Incentive Award Plan</w:t>
            </w:r>
          </w:p>
        </w:tc>
        <w:tc>
          <w:tcPr>
            <w:tcW w:w="4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62259D"/>
            </w:tcBorders>
          </w:tcPr>
          <w:p>
            <w:pPr>
              <w:spacing w:after="0"/>
              <w:rPr>
                <w:sz w:val="8"/>
                <w:szCs w:val="8"/>
                <w:color w:val="auto"/>
              </w:rPr>
            </w:pPr>
          </w:p>
        </w:tc>
        <w:tc>
          <w:tcPr>
            <w:tcW w:w="200" w:type="dxa"/>
            <w:vAlign w:val="bottom"/>
            <w:tcBorders>
              <w:bottom w:val="single" w:sz="8" w:color="62259D"/>
            </w:tcBorders>
          </w:tcPr>
          <w:p>
            <w:pPr>
              <w:spacing w:after="0"/>
              <w:rPr>
                <w:sz w:val="8"/>
                <w:szCs w:val="8"/>
                <w:color w:val="auto"/>
              </w:rPr>
            </w:pPr>
          </w:p>
        </w:tc>
        <w:tc>
          <w:tcPr>
            <w:tcW w:w="180" w:type="dxa"/>
            <w:vAlign w:val="bottom"/>
            <w:tcBorders>
              <w:bottom w:val="single" w:sz="8" w:color="62259D"/>
            </w:tcBorders>
          </w:tcPr>
          <w:p>
            <w:pPr>
              <w:spacing w:after="0"/>
              <w:rPr>
                <w:sz w:val="8"/>
                <w:szCs w:val="8"/>
                <w:color w:val="auto"/>
              </w:rPr>
            </w:pPr>
          </w:p>
        </w:tc>
        <w:tc>
          <w:tcPr>
            <w:tcW w:w="3920" w:type="dxa"/>
            <w:vAlign w:val="bottom"/>
            <w:tcBorders>
              <w:bottom w:val="single" w:sz="8" w:color="62259D"/>
            </w:tcBorders>
          </w:tcPr>
          <w:p>
            <w:pPr>
              <w:spacing w:after="0"/>
              <w:rPr>
                <w:sz w:val="8"/>
                <w:szCs w:val="8"/>
                <w:color w:val="auto"/>
              </w:rPr>
            </w:pPr>
          </w:p>
        </w:tc>
        <w:tc>
          <w:tcPr>
            <w:tcW w:w="420" w:type="dxa"/>
            <w:vAlign w:val="bottom"/>
            <w:tcBorders>
              <w:bottom w:val="single" w:sz="8" w:color="62259D"/>
            </w:tcBorders>
          </w:tcPr>
          <w:p>
            <w:pPr>
              <w:spacing w:after="0"/>
              <w:rPr>
                <w:sz w:val="8"/>
                <w:szCs w:val="8"/>
                <w:color w:val="auto"/>
              </w:rPr>
            </w:pPr>
          </w:p>
        </w:tc>
        <w:tc>
          <w:tcPr>
            <w:tcW w:w="2340" w:type="dxa"/>
            <w:vAlign w:val="bottom"/>
            <w:tcBorders>
              <w:bottom w:val="single" w:sz="8" w:color="62259D"/>
            </w:tcBorders>
          </w:tcPr>
          <w:p>
            <w:pPr>
              <w:spacing w:after="0"/>
              <w:rPr>
                <w:sz w:val="8"/>
                <w:szCs w:val="8"/>
                <w:color w:val="auto"/>
              </w:rPr>
            </w:pPr>
          </w:p>
        </w:tc>
        <w:tc>
          <w:tcPr>
            <w:tcW w:w="860" w:type="dxa"/>
            <w:vAlign w:val="bottom"/>
            <w:tcBorders>
              <w:bottom w:val="single" w:sz="8" w:color="62259D"/>
            </w:tcBorders>
          </w:tcPr>
          <w:p>
            <w:pPr>
              <w:spacing w:after="0"/>
              <w:rPr>
                <w:sz w:val="8"/>
                <w:szCs w:val="8"/>
                <w:color w:val="auto"/>
              </w:rPr>
            </w:pPr>
          </w:p>
        </w:tc>
        <w:tc>
          <w:tcPr>
            <w:tcW w:w="40" w:type="dxa"/>
            <w:vAlign w:val="bottom"/>
            <w:tcBorders>
              <w:bottom w:val="single" w:sz="8" w:color="62259D"/>
            </w:tcBorders>
          </w:tcPr>
          <w:p>
            <w:pPr>
              <w:spacing w:after="0"/>
              <w:rPr>
                <w:sz w:val="8"/>
                <w:szCs w:val="8"/>
                <w:color w:val="auto"/>
              </w:rPr>
            </w:pPr>
          </w:p>
        </w:tc>
        <w:tc>
          <w:tcPr>
            <w:tcW w:w="100" w:type="dxa"/>
            <w:vAlign w:val="bottom"/>
            <w:tcBorders>
              <w:bottom w:val="single" w:sz="8" w:color="62259D"/>
            </w:tcBorders>
          </w:tcPr>
          <w:p>
            <w:pPr>
              <w:spacing w:after="0"/>
              <w:rPr>
                <w:sz w:val="8"/>
                <w:szCs w:val="8"/>
                <w:color w:val="auto"/>
              </w:rPr>
            </w:pPr>
          </w:p>
        </w:tc>
        <w:tc>
          <w:tcPr>
            <w:tcW w:w="40" w:type="dxa"/>
            <w:vAlign w:val="bottom"/>
            <w:tcBorders>
              <w:bottom w:val="single" w:sz="8" w:color="62259D"/>
            </w:tcBorders>
          </w:tcPr>
          <w:p>
            <w:pPr>
              <w:spacing w:after="0"/>
              <w:rPr>
                <w:sz w:val="8"/>
                <w:szCs w:val="8"/>
                <w:color w:val="auto"/>
              </w:rPr>
            </w:pPr>
          </w:p>
        </w:tc>
        <w:tc>
          <w:tcPr>
            <w:tcW w:w="680" w:type="dxa"/>
            <w:vAlign w:val="bottom"/>
            <w:tcBorders>
              <w:bottom w:val="single" w:sz="8" w:color="62259D"/>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3568700</wp:posOffset>
            </wp:positionH>
            <wp:positionV relativeFrom="paragraph">
              <wp:posOffset>-1559560</wp:posOffset>
            </wp:positionV>
            <wp:extent cx="163195"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3195" cy="145415"/>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-1285240</wp:posOffset>
            </wp:positionV>
            <wp:extent cx="16319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3195" cy="146050"/>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-1028065</wp:posOffset>
            </wp:positionV>
            <wp:extent cx="163195"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3195" cy="146050"/>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-753745</wp:posOffset>
            </wp:positionV>
            <wp:extent cx="163195"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3195" cy="145415"/>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-351155</wp:posOffset>
            </wp:positionV>
            <wp:extent cx="16319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3195" cy="1460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16" w:lineRule="exact"/>
        <w:rPr>
          <w:sz w:val="20"/>
          <w:szCs w:val="20"/>
          <w:color w:val="auto"/>
        </w:rPr>
      </w:pPr>
    </w:p>
    <w:p>
      <w:pPr>
        <w:ind w:left="920" w:right="1460"/>
        <w:spacing w:after="0" w:line="255" w:lineRule="auto"/>
        <w:rPr>
          <w:sz w:val="20"/>
          <w:szCs w:val="20"/>
          <w:color w:val="auto"/>
        </w:rPr>
      </w:pPr>
      <w:r>
        <w:rPr>
          <w:rFonts w:ascii="Arial" w:cs="Arial" w:eastAsia="Arial" w:hAnsi="Arial"/>
          <w:sz w:val="43"/>
          <w:szCs w:val="43"/>
          <w:b w:val="1"/>
          <w:bCs w:val="1"/>
          <w:color w:val="62259D"/>
        </w:rPr>
        <w:t>CORPORATE GOVERNANCE AND BOARD MATTERS</w:t>
      </w:r>
    </w:p>
    <w:p>
      <w:pPr>
        <w:ind w:left="920"/>
        <w:spacing w:after="0"/>
        <w:tabs>
          <w:tab w:leader="none" w:pos="1840" w:val="left"/>
          <w:tab w:leader="none" w:pos="9760" w:val="left"/>
        </w:tabs>
        <w:rPr>
          <w:sz w:val="20"/>
          <w:szCs w:val="20"/>
          <w:color w:val="auto"/>
        </w:rPr>
      </w:pPr>
      <w:r>
        <w:rPr>
          <w:rFonts w:ascii="Arial" w:cs="Arial" w:eastAsia="Arial" w:hAnsi="Arial"/>
          <w:sz w:val="71"/>
          <w:szCs w:val="71"/>
          <w:b w:val="1"/>
          <w:bCs w:val="1"/>
          <w:color w:val="FEFEFE"/>
          <w:vertAlign w:val="superscript"/>
        </w:rPr>
        <w:t>​</w:t>
      </w:r>
      <w:r>
        <w:rPr>
          <w:rFonts w:ascii="Arial" w:cs="Arial" w:eastAsia="Arial" w:hAnsi="Arial"/>
          <w:sz w:val="36"/>
          <w:szCs w:val="36"/>
          <w:b w:val="1"/>
          <w:bCs w:val="1"/>
          <w:color w:val="FEFEFE"/>
        </w:rPr>
        <w:t xml:space="preserve"> </w:t>
      </w:r>
      <w:r>
        <w:rPr>
          <w:rFonts w:ascii="Arial" w:cs="Arial" w:eastAsia="Arial" w:hAnsi="Arial"/>
          <w:sz w:val="93"/>
          <w:szCs w:val="93"/>
          <w:b w:val="1"/>
          <w:bCs w:val="1"/>
          <w:color w:val="FEFEFE"/>
          <w:vertAlign w:val="subscript"/>
        </w:rPr>
        <w:t>1</w:t>
      </w:r>
      <w:r>
        <w:rPr>
          <w:sz w:val="20"/>
          <w:szCs w:val="20"/>
          <w:color w:val="auto"/>
        </w:rPr>
        <w:tab/>
      </w:r>
      <w:r>
        <w:rPr>
          <w:rFonts w:ascii="Arial" w:cs="Arial" w:eastAsia="Arial" w:hAnsi="Arial"/>
          <w:sz w:val="48"/>
          <w:szCs w:val="48"/>
          <w:b w:val="1"/>
          <w:bCs w:val="1"/>
          <w:color w:val="FEFEFE"/>
          <w:vertAlign w:val="superscript"/>
        </w:rPr>
        <w:t xml:space="preserve">​​ </w:t>
      </w:r>
      <w:r>
        <w:rPr>
          <w:rFonts w:ascii="Arial" w:cs="Arial" w:eastAsia="Arial" w:hAnsi="Arial"/>
          <w:sz w:val="48"/>
          <w:szCs w:val="48"/>
          <w:b w:val="1"/>
          <w:bCs w:val="1"/>
          <w:color w:val="FEFEFE"/>
        </w:rPr>
        <w:t>Proposal 1 — Election of Directors</w:t>
      </w:r>
      <w:r>
        <w:rPr>
          <w:sz w:val="20"/>
          <w:szCs w:val="20"/>
          <w:color w:val="auto"/>
        </w:rPr>
        <w:tab/>
      </w:r>
      <w:r>
        <w:rPr>
          <w:rFonts w:ascii="Arial" w:cs="Arial" w:eastAsia="Arial" w:hAnsi="Arial"/>
          <w:sz w:val="72"/>
          <w:szCs w:val="72"/>
          <w:b w:val="1"/>
          <w:bCs w:val="1"/>
          <w:color w:val="FEFEFE"/>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-538480</wp:posOffset>
            </wp:positionV>
            <wp:extent cx="5623560" cy="3860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23560" cy="386080"/>
                    </a:xfrm>
                    <a:prstGeom prst="rect">
                      <a:avLst/>
                    </a:prstGeom>
                    <a:noFill/>
                  </pic:spPr>
                </pic:pic>
              </a:graphicData>
            </a:graphic>
          </wp:anchor>
        </w:drawing>
      </w:r>
    </w:p>
    <w:p>
      <w:pPr>
        <w:ind w:left="920" w:right="420"/>
        <w:spacing w:after="0" w:line="226" w:lineRule="auto"/>
        <w:rPr>
          <w:sz w:val="20"/>
          <w:szCs w:val="20"/>
          <w:color w:val="auto"/>
        </w:rPr>
      </w:pPr>
      <w:r>
        <w:rPr>
          <w:rFonts w:ascii="Arial" w:cs="Arial" w:eastAsia="Arial" w:hAnsi="Arial"/>
          <w:sz w:val="18"/>
          <w:szCs w:val="18"/>
          <w:color w:val="auto"/>
        </w:rPr>
        <w:t>The Board of Directors (the “Board”) has nominated the following eight director nominees for election to the Board to hold office until the 2026 annual meeting of stockholders (the “2026 Annual Meeting”) and</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until his or her respective successor is duly elected and qualified:</w:t>
      </w:r>
    </w:p>
    <w:p>
      <w:pPr>
        <w:spacing w:after="0" w:line="60" w:lineRule="exact"/>
        <w:rPr>
          <w:sz w:val="20"/>
          <w:szCs w:val="20"/>
          <w:color w:val="auto"/>
        </w:rPr>
      </w:pPr>
    </w:p>
    <w:tbl>
      <w:tblPr>
        <w:tblLayout w:type="fixed"/>
        <w:tblInd w:w="920" w:type="dxa"/>
        <w:tblCellMar>
          <w:top w:w="0" w:type="dxa"/>
          <w:left w:w="0" w:type="dxa"/>
          <w:bottom w:w="0" w:type="dxa"/>
          <w:right w:w="0" w:type="dxa"/>
        </w:tblCellMar>
      </w:tblPr>
      <w:tr>
        <w:trPr>
          <w:trHeight w:val="368"/>
        </w:trPr>
        <w:tc>
          <w:tcPr>
            <w:tcW w:w="2200" w:type="dxa"/>
            <w:vAlign w:val="bottom"/>
            <w:shd w:val="clear" w:color="auto" w:fill="62259D"/>
          </w:tcPr>
          <w:p>
            <w:pPr>
              <w:spacing w:after="0"/>
              <w:rPr>
                <w:sz w:val="20"/>
                <w:szCs w:val="20"/>
                <w:color w:val="auto"/>
              </w:rPr>
            </w:pPr>
            <w:r>
              <w:rPr>
                <w:rFonts w:ascii="Arial" w:cs="Arial" w:eastAsia="Arial" w:hAnsi="Arial"/>
                <w:sz w:val="32"/>
                <w:szCs w:val="32"/>
                <w:b w:val="1"/>
                <w:bCs w:val="1"/>
                <w:color w:val="FEFEFE"/>
                <w:vertAlign w:val="subscript"/>
              </w:rPr>
              <w:t>​</w:t>
            </w:r>
            <w:r>
              <w:rPr>
                <w:rFonts w:ascii="Arial" w:cs="Arial" w:eastAsia="Arial" w:hAnsi="Arial"/>
                <w:sz w:val="16"/>
                <w:szCs w:val="16"/>
                <w:b w:val="1"/>
                <w:bCs w:val="1"/>
                <w:color w:val="FEFEFE"/>
              </w:rPr>
              <w:t xml:space="preserve"> Nominee</w:t>
            </w:r>
          </w:p>
        </w:tc>
        <w:tc>
          <w:tcPr>
            <w:tcW w:w="5820" w:type="dxa"/>
            <w:vAlign w:val="bottom"/>
            <w:shd w:val="clear" w:color="auto" w:fill="62259D"/>
          </w:tcPr>
          <w:p>
            <w:pPr>
              <w:ind w:left="540"/>
              <w:spacing w:after="0"/>
              <w:rPr>
                <w:sz w:val="20"/>
                <w:szCs w:val="20"/>
                <w:color w:val="auto"/>
              </w:rPr>
            </w:pPr>
            <w:r>
              <w:rPr>
                <w:rFonts w:ascii="Arial" w:cs="Arial" w:eastAsia="Arial" w:hAnsi="Arial"/>
                <w:sz w:val="32"/>
                <w:szCs w:val="32"/>
                <w:b w:val="1"/>
                <w:bCs w:val="1"/>
                <w:color w:val="FEFEFE"/>
                <w:vertAlign w:val="subscript"/>
              </w:rPr>
              <w:t>​ ​</w:t>
            </w:r>
            <w:r>
              <w:rPr>
                <w:rFonts w:ascii="Arial" w:cs="Arial" w:eastAsia="Arial" w:hAnsi="Arial"/>
                <w:sz w:val="16"/>
                <w:szCs w:val="16"/>
                <w:b w:val="1"/>
                <w:bCs w:val="1"/>
                <w:color w:val="FEFEFE"/>
              </w:rPr>
              <w:t xml:space="preserve"> Designated By</w:t>
            </w:r>
          </w:p>
        </w:tc>
        <w:tc>
          <w:tcPr>
            <w:tcW w:w="840" w:type="dxa"/>
            <w:vAlign w:val="bottom"/>
            <w:shd w:val="clear" w:color="auto" w:fill="62259D"/>
          </w:tcPr>
          <w:p>
            <w:pPr>
              <w:ind w:left="180"/>
              <w:spacing w:after="0"/>
              <w:rPr>
                <w:sz w:val="20"/>
                <w:szCs w:val="20"/>
                <w:color w:val="auto"/>
              </w:rPr>
            </w:pPr>
            <w:r>
              <w:rPr>
                <w:rFonts w:ascii="Arial" w:cs="Arial" w:eastAsia="Arial" w:hAnsi="Arial"/>
                <w:sz w:val="16"/>
                <w:szCs w:val="16"/>
                <w:b w:val="1"/>
                <w:bCs w:val="1"/>
                <w:color w:val="FEFEFE"/>
              </w:rPr>
              <w:t>​</w:t>
            </w:r>
          </w:p>
        </w:tc>
      </w:tr>
      <w:tr>
        <w:trPr>
          <w:trHeight w:val="257"/>
        </w:trPr>
        <w:tc>
          <w:tcPr>
            <w:tcW w:w="2200" w:type="dxa"/>
            <w:vAlign w:val="bottom"/>
            <w:tcBorders>
              <w:bottom w:val="single" w:sz="8" w:color="E7417A"/>
            </w:tcBorders>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 xml:space="preserve"> R. Stewart Ewing, Jr.</w:t>
            </w:r>
          </w:p>
        </w:tc>
        <w:tc>
          <w:tcPr>
            <w:tcW w:w="5820" w:type="dxa"/>
            <w:vAlign w:val="bottom"/>
            <w:tcBorders>
              <w:bottom w:val="single" w:sz="8" w:color="E7417A"/>
            </w:tcBorders>
          </w:tcPr>
          <w:p>
            <w:pPr>
              <w:ind w:left="540"/>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5"/>
                <w:szCs w:val="15"/>
                <w:color w:val="auto"/>
              </w:rPr>
              <w:t xml:space="preserve"> JPM Stockholders (as defined below)</w:t>
            </w:r>
          </w:p>
        </w:tc>
        <w:tc>
          <w:tcPr>
            <w:tcW w:w="840" w:type="dxa"/>
            <w:vAlign w:val="bottom"/>
            <w:tcBorders>
              <w:bottom w:val="single" w:sz="8" w:color="E7417A"/>
            </w:tcBorders>
          </w:tcPr>
          <w:p>
            <w:pPr>
              <w:ind w:left="180"/>
              <w:spacing w:after="0"/>
              <w:rPr>
                <w:sz w:val="20"/>
                <w:szCs w:val="20"/>
                <w:color w:val="auto"/>
              </w:rPr>
            </w:pPr>
            <w:r>
              <w:rPr>
                <w:rFonts w:ascii="Arial" w:cs="Arial" w:eastAsia="Arial" w:hAnsi="Arial"/>
                <w:sz w:val="16"/>
                <w:szCs w:val="16"/>
                <w:color w:val="auto"/>
              </w:rPr>
              <w:t>​</w:t>
            </w:r>
          </w:p>
        </w:tc>
      </w:tr>
      <w:tr>
        <w:trPr>
          <w:trHeight w:val="250"/>
        </w:trPr>
        <w:tc>
          <w:tcPr>
            <w:tcW w:w="22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Richard W. Smith</w:t>
            </w:r>
          </w:p>
        </w:tc>
        <w:tc>
          <w:tcPr>
            <w:tcW w:w="5820" w:type="dxa"/>
            <w:vAlign w:val="bottom"/>
            <w:tcBorders>
              <w:bottom w:val="single" w:sz="8" w:color="E7417A"/>
            </w:tcBorders>
          </w:tcPr>
          <w:p>
            <w:pPr>
              <w:ind w:left="54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JPM Stockholders</w:t>
            </w:r>
          </w:p>
        </w:tc>
        <w:tc>
          <w:tcPr>
            <w:tcW w:w="840" w:type="dxa"/>
            <w:vAlign w:val="bottom"/>
            <w:tcBorders>
              <w:bottom w:val="single" w:sz="8" w:color="E7417A"/>
            </w:tcBorders>
          </w:tcPr>
          <w:p>
            <w:pPr>
              <w:ind w:left="180"/>
              <w:spacing w:after="0"/>
              <w:rPr>
                <w:sz w:val="20"/>
                <w:szCs w:val="20"/>
                <w:color w:val="auto"/>
              </w:rPr>
            </w:pPr>
            <w:r>
              <w:rPr>
                <w:rFonts w:ascii="Arial" w:cs="Arial" w:eastAsia="Arial" w:hAnsi="Arial"/>
                <w:sz w:val="16"/>
                <w:szCs w:val="16"/>
                <w:color w:val="auto"/>
              </w:rPr>
              <w:t>​</w:t>
            </w:r>
          </w:p>
        </w:tc>
      </w:tr>
      <w:tr>
        <w:trPr>
          <w:trHeight w:val="250"/>
        </w:trPr>
        <w:tc>
          <w:tcPr>
            <w:tcW w:w="22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Scott Mair</w:t>
            </w:r>
          </w:p>
        </w:tc>
        <w:tc>
          <w:tcPr>
            <w:tcW w:w="5820" w:type="dxa"/>
            <w:vAlign w:val="bottom"/>
            <w:tcBorders>
              <w:bottom w:val="single" w:sz="8" w:color="E7417A"/>
            </w:tcBorders>
          </w:tcPr>
          <w:p>
            <w:pPr>
              <w:ind w:left="54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JPM Stockholders</w:t>
            </w:r>
          </w:p>
        </w:tc>
        <w:tc>
          <w:tcPr>
            <w:tcW w:w="840" w:type="dxa"/>
            <w:vAlign w:val="bottom"/>
            <w:tcBorders>
              <w:bottom w:val="single" w:sz="8" w:color="E7417A"/>
            </w:tcBorders>
          </w:tcPr>
          <w:p>
            <w:pPr>
              <w:ind w:left="180"/>
              <w:spacing w:after="0"/>
              <w:rPr>
                <w:sz w:val="20"/>
                <w:szCs w:val="20"/>
                <w:color w:val="auto"/>
              </w:rPr>
            </w:pPr>
            <w:r>
              <w:rPr>
                <w:rFonts w:ascii="Arial" w:cs="Arial" w:eastAsia="Arial" w:hAnsi="Arial"/>
                <w:sz w:val="16"/>
                <w:szCs w:val="16"/>
                <w:color w:val="auto"/>
              </w:rPr>
              <w:t>​</w:t>
            </w:r>
          </w:p>
        </w:tc>
      </w:tr>
      <w:tr>
        <w:trPr>
          <w:trHeight w:val="250"/>
        </w:trPr>
        <w:tc>
          <w:tcPr>
            <w:tcW w:w="22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Shaul Shani</w:t>
            </w:r>
          </w:p>
        </w:tc>
        <w:tc>
          <w:tcPr>
            <w:tcW w:w="5820" w:type="dxa"/>
            <w:vAlign w:val="bottom"/>
            <w:tcBorders>
              <w:bottom w:val="single" w:sz="8" w:color="E7417A"/>
            </w:tcBorders>
          </w:tcPr>
          <w:p>
            <w:pPr>
              <w:ind w:left="54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Swarth (as defined below)</w:t>
            </w:r>
          </w:p>
        </w:tc>
        <w:tc>
          <w:tcPr>
            <w:tcW w:w="840" w:type="dxa"/>
            <w:vAlign w:val="bottom"/>
            <w:tcBorders>
              <w:bottom w:val="single" w:sz="8" w:color="E7417A"/>
            </w:tcBorders>
          </w:tcPr>
          <w:p>
            <w:pPr>
              <w:ind w:left="180"/>
              <w:spacing w:after="0"/>
              <w:rPr>
                <w:sz w:val="20"/>
                <w:szCs w:val="20"/>
                <w:color w:val="auto"/>
              </w:rPr>
            </w:pPr>
            <w:r>
              <w:rPr>
                <w:rFonts w:ascii="Arial" w:cs="Arial" w:eastAsia="Arial" w:hAnsi="Arial"/>
                <w:sz w:val="16"/>
                <w:szCs w:val="16"/>
                <w:color w:val="auto"/>
              </w:rPr>
              <w:t>​</w:t>
            </w:r>
          </w:p>
        </w:tc>
      </w:tr>
      <w:tr>
        <w:trPr>
          <w:trHeight w:val="250"/>
        </w:trPr>
        <w:tc>
          <w:tcPr>
            <w:tcW w:w="22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Tanya Tamone</w:t>
            </w:r>
          </w:p>
        </w:tc>
        <w:tc>
          <w:tcPr>
            <w:tcW w:w="5820" w:type="dxa"/>
            <w:vAlign w:val="bottom"/>
            <w:tcBorders>
              <w:bottom w:val="single" w:sz="8" w:color="E7417A"/>
            </w:tcBorders>
          </w:tcPr>
          <w:p>
            <w:pPr>
              <w:ind w:left="54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Swarth</w:t>
            </w:r>
          </w:p>
        </w:tc>
        <w:tc>
          <w:tcPr>
            <w:tcW w:w="840" w:type="dxa"/>
            <w:vAlign w:val="bottom"/>
            <w:tcBorders>
              <w:bottom w:val="single" w:sz="8" w:color="E7417A"/>
            </w:tcBorders>
          </w:tcPr>
          <w:p>
            <w:pPr>
              <w:ind w:left="180"/>
              <w:spacing w:after="0"/>
              <w:rPr>
                <w:sz w:val="20"/>
                <w:szCs w:val="20"/>
                <w:color w:val="auto"/>
              </w:rPr>
            </w:pPr>
            <w:r>
              <w:rPr>
                <w:rFonts w:ascii="Arial" w:cs="Arial" w:eastAsia="Arial" w:hAnsi="Arial"/>
                <w:sz w:val="16"/>
                <w:szCs w:val="16"/>
                <w:color w:val="auto"/>
              </w:rPr>
              <w:t>​</w:t>
            </w:r>
          </w:p>
        </w:tc>
      </w:tr>
      <w:tr>
        <w:trPr>
          <w:trHeight w:val="250"/>
        </w:trPr>
        <w:tc>
          <w:tcPr>
            <w:tcW w:w="22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Bruns H. Grayson</w:t>
            </w:r>
          </w:p>
        </w:tc>
        <w:tc>
          <w:tcPr>
            <w:tcW w:w="5820" w:type="dxa"/>
            <w:vAlign w:val="bottom"/>
            <w:tcBorders>
              <w:bottom w:val="single" w:sz="8" w:color="E7417A"/>
            </w:tcBorders>
          </w:tcPr>
          <w:p>
            <w:pPr>
              <w:ind w:left="54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Nominating, Sustainability and Corporate Governance Committee</w:t>
            </w:r>
          </w:p>
        </w:tc>
        <w:tc>
          <w:tcPr>
            <w:tcW w:w="840" w:type="dxa"/>
            <w:vAlign w:val="bottom"/>
            <w:tcBorders>
              <w:bottom w:val="single" w:sz="8" w:color="E7417A"/>
            </w:tcBorders>
          </w:tcPr>
          <w:p>
            <w:pPr>
              <w:ind w:left="180"/>
              <w:spacing w:after="0"/>
              <w:rPr>
                <w:sz w:val="20"/>
                <w:szCs w:val="20"/>
                <w:color w:val="auto"/>
              </w:rPr>
            </w:pPr>
            <w:r>
              <w:rPr>
                <w:rFonts w:ascii="Arial" w:cs="Arial" w:eastAsia="Arial" w:hAnsi="Arial"/>
                <w:sz w:val="16"/>
                <w:szCs w:val="16"/>
                <w:color w:val="auto"/>
              </w:rPr>
              <w:t>​</w:t>
            </w:r>
          </w:p>
        </w:tc>
      </w:tr>
      <w:tr>
        <w:trPr>
          <w:trHeight w:val="250"/>
        </w:trPr>
        <w:tc>
          <w:tcPr>
            <w:tcW w:w="22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Beatriz V. Infante</w:t>
            </w:r>
          </w:p>
        </w:tc>
        <w:tc>
          <w:tcPr>
            <w:tcW w:w="5820" w:type="dxa"/>
            <w:vAlign w:val="bottom"/>
            <w:tcBorders>
              <w:bottom w:val="single" w:sz="8" w:color="E7417A"/>
            </w:tcBorders>
          </w:tcPr>
          <w:p>
            <w:pPr>
              <w:ind w:left="54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Nominating, Sustainability and Corporate Governance Committee</w:t>
            </w:r>
          </w:p>
        </w:tc>
        <w:tc>
          <w:tcPr>
            <w:tcW w:w="840" w:type="dxa"/>
            <w:vAlign w:val="bottom"/>
            <w:tcBorders>
              <w:bottom w:val="single" w:sz="8" w:color="E7417A"/>
            </w:tcBorders>
          </w:tcPr>
          <w:p>
            <w:pPr>
              <w:ind w:left="180"/>
              <w:spacing w:after="0"/>
              <w:rPr>
                <w:sz w:val="20"/>
                <w:szCs w:val="20"/>
                <w:color w:val="auto"/>
              </w:rPr>
            </w:pPr>
            <w:r>
              <w:rPr>
                <w:rFonts w:ascii="Arial" w:cs="Arial" w:eastAsia="Arial" w:hAnsi="Arial"/>
                <w:sz w:val="16"/>
                <w:szCs w:val="16"/>
                <w:color w:val="auto"/>
              </w:rPr>
              <w:t>​</w:t>
            </w:r>
          </w:p>
        </w:tc>
      </w:tr>
      <w:tr>
        <w:trPr>
          <w:trHeight w:val="250"/>
        </w:trPr>
        <w:tc>
          <w:tcPr>
            <w:tcW w:w="2200" w:type="dxa"/>
            <w:vAlign w:val="bottom"/>
            <w:tcBorders>
              <w:bottom w:val="single" w:sz="8" w:color="62259D"/>
            </w:tcBorders>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Bruce W. McClelland</w:t>
            </w:r>
          </w:p>
        </w:tc>
        <w:tc>
          <w:tcPr>
            <w:tcW w:w="5820" w:type="dxa"/>
            <w:vAlign w:val="bottom"/>
            <w:tcBorders>
              <w:bottom w:val="single" w:sz="8" w:color="62259D"/>
            </w:tcBorders>
          </w:tcPr>
          <w:p>
            <w:pPr>
              <w:ind w:left="54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Nominating, Sustainability and Corporate Governance Committee</w:t>
            </w:r>
          </w:p>
        </w:tc>
        <w:tc>
          <w:tcPr>
            <w:tcW w:w="840" w:type="dxa"/>
            <w:vAlign w:val="bottom"/>
            <w:tcBorders>
              <w:bottom w:val="single" w:sz="8" w:color="62259D"/>
            </w:tcBorders>
          </w:tcPr>
          <w:p>
            <w:pPr>
              <w:ind w:left="180"/>
              <w:spacing w:after="0"/>
              <w:rPr>
                <w:sz w:val="20"/>
                <w:szCs w:val="20"/>
                <w:color w:val="auto"/>
              </w:rPr>
            </w:pPr>
            <w:r>
              <w:rPr>
                <w:rFonts w:ascii="Arial" w:cs="Arial" w:eastAsia="Arial" w:hAnsi="Arial"/>
                <w:sz w:val="16"/>
                <w:szCs w:val="16"/>
                <w:color w:val="auto"/>
              </w:rPr>
              <w:t>​</w:t>
            </w:r>
          </w:p>
        </w:tc>
      </w:tr>
    </w:tbl>
    <w:p>
      <w:pPr>
        <w:spacing w:after="0" w:line="103" w:lineRule="exact"/>
        <w:rPr>
          <w:sz w:val="20"/>
          <w:szCs w:val="20"/>
          <w:color w:val="auto"/>
        </w:rPr>
      </w:pPr>
    </w:p>
    <w:p>
      <w:pPr>
        <w:ind w:left="920" w:right="140"/>
        <w:spacing w:after="0" w:line="271" w:lineRule="auto"/>
        <w:rPr>
          <w:sz w:val="20"/>
          <w:szCs w:val="20"/>
          <w:color w:val="auto"/>
        </w:rPr>
      </w:pPr>
      <w:r>
        <w:rPr>
          <w:rFonts w:ascii="Arial" w:cs="Arial" w:eastAsia="Arial" w:hAnsi="Arial"/>
          <w:sz w:val="18"/>
          <w:szCs w:val="18"/>
          <w:color w:val="auto"/>
        </w:rPr>
        <w:t>All of the nominees are currently directors. Each nominee agreed to be named in this Proxy Statement and to serve if elected. All nominees are expected to attend the 2025 Annual Meeting.</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Designation Rights</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 March 3, 2020, we entered into a First Amended and Restated Stockholders Agreement (the</w:t>
      </w:r>
    </w:p>
    <w:p>
      <w:pPr>
        <w:spacing w:after="0" w:line="14" w:lineRule="exact"/>
        <w:rPr>
          <w:sz w:val="20"/>
          <w:szCs w:val="20"/>
          <w:color w:val="auto"/>
        </w:rPr>
      </w:pPr>
    </w:p>
    <w:p>
      <w:pPr>
        <w:ind w:left="920" w:right="100"/>
        <w:spacing w:after="0" w:line="226" w:lineRule="auto"/>
        <w:rPr>
          <w:sz w:val="20"/>
          <w:szCs w:val="20"/>
          <w:color w:val="auto"/>
        </w:rPr>
      </w:pPr>
      <w:r>
        <w:rPr>
          <w:rFonts w:ascii="Arial" w:cs="Arial" w:eastAsia="Arial" w:hAnsi="Arial"/>
          <w:sz w:val="18"/>
          <w:szCs w:val="18"/>
          <w:color w:val="auto"/>
        </w:rPr>
        <w:t>“Stockholders Agreement”) with JPMC Heritage Parent LLC (“JPMC”), Heritage PE (OEP) III, L.P. (together with JPMC, entities affiliated with the Company’s largest stockholder, JPMorgan Chase &amp; Co. (collectively</w:t>
      </w:r>
    </w:p>
    <w:p>
      <w:pPr>
        <w:spacing w:after="0" w:line="2" w:lineRule="exact"/>
        <w:rPr>
          <w:sz w:val="20"/>
          <w:szCs w:val="20"/>
          <w:color w:val="auto"/>
        </w:rPr>
      </w:pPr>
    </w:p>
    <w:p>
      <w:pPr>
        <w:ind w:left="920" w:right="180"/>
        <w:spacing w:after="0" w:line="250" w:lineRule="auto"/>
        <w:rPr>
          <w:sz w:val="20"/>
          <w:szCs w:val="20"/>
          <w:color w:val="auto"/>
        </w:rPr>
      </w:pPr>
      <w:r>
        <w:rPr>
          <w:rFonts w:ascii="Arial" w:cs="Arial" w:eastAsia="Arial" w:hAnsi="Arial"/>
          <w:sz w:val="18"/>
          <w:szCs w:val="18"/>
          <w:color w:val="auto"/>
        </w:rPr>
        <w:t>with any successor entities, the “JPM Stockholders”)), and ECI Holding (Hungary) Kft (“Swarth”). Pursuant to the Stockholders Agreement, unless otherwise agreed, the Board is required to consist of:</w:t>
      </w:r>
    </w:p>
    <w:p>
      <w:pPr>
        <w:spacing w:after="0" w:line="104" w:lineRule="exact"/>
        <w:rPr>
          <w:sz w:val="20"/>
          <w:szCs w:val="20"/>
          <w:color w:val="auto"/>
        </w:rPr>
      </w:pPr>
    </w:p>
    <w:p>
      <w:pPr>
        <w:ind w:left="1640" w:hanging="356"/>
        <w:spacing w:after="0"/>
        <w:tabs>
          <w:tab w:leader="none" w:pos="1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three individuals designated by the JPM Stockholders,</w:t>
      </w:r>
    </w:p>
    <w:p>
      <w:pPr>
        <w:spacing w:after="0" w:line="144" w:lineRule="exact"/>
        <w:rPr>
          <w:rFonts w:ascii="Arial" w:cs="Arial" w:eastAsia="Arial" w:hAnsi="Arial"/>
          <w:sz w:val="18"/>
          <w:szCs w:val="18"/>
          <w:color w:val="auto"/>
        </w:rPr>
      </w:pPr>
    </w:p>
    <w:p>
      <w:pPr>
        <w:ind w:left="1640" w:hanging="356"/>
        <w:spacing w:after="0"/>
        <w:tabs>
          <w:tab w:leader="none" w:pos="1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three individuals designated by Swarth,</w:t>
      </w:r>
    </w:p>
    <w:p>
      <w:pPr>
        <w:spacing w:after="0" w:line="144" w:lineRule="exact"/>
        <w:rPr>
          <w:rFonts w:ascii="Arial" w:cs="Arial" w:eastAsia="Arial" w:hAnsi="Arial"/>
          <w:sz w:val="18"/>
          <w:szCs w:val="18"/>
          <w:color w:val="auto"/>
        </w:rPr>
      </w:pPr>
    </w:p>
    <w:p>
      <w:pPr>
        <w:ind w:left="1640" w:hanging="356"/>
        <w:spacing w:after="0"/>
        <w:tabs>
          <w:tab w:leader="none" w:pos="1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Chief Executive Officer, and</w:t>
      </w:r>
    </w:p>
    <w:p>
      <w:pPr>
        <w:spacing w:after="0" w:line="130" w:lineRule="exact"/>
        <w:rPr>
          <w:rFonts w:ascii="Arial" w:cs="Arial" w:eastAsia="Arial" w:hAnsi="Arial"/>
          <w:sz w:val="18"/>
          <w:szCs w:val="18"/>
          <w:color w:val="auto"/>
        </w:rPr>
      </w:pPr>
    </w:p>
    <w:p>
      <w:pPr>
        <w:ind w:left="1640" w:right="1000" w:hanging="356"/>
        <w:spacing w:after="0" w:line="287" w:lineRule="auto"/>
        <w:tabs>
          <w:tab w:leader="none" w:pos="1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number of other individuals designated by the Nominating and Corporate Governance Committee sufficient to ensure that there are no vacancies on the Board.</w:t>
      </w:r>
    </w:p>
    <w:p>
      <w:pPr>
        <w:spacing w:after="0" w:line="58" w:lineRule="exact"/>
        <w:rPr>
          <w:sz w:val="20"/>
          <w:szCs w:val="20"/>
          <w:color w:val="auto"/>
        </w:rPr>
      </w:pPr>
    </w:p>
    <w:p>
      <w:pPr>
        <w:ind w:left="920" w:right="180"/>
        <w:spacing w:after="0" w:line="237" w:lineRule="auto"/>
        <w:rPr>
          <w:sz w:val="20"/>
          <w:szCs w:val="20"/>
          <w:color w:val="auto"/>
        </w:rPr>
      </w:pPr>
      <w:r>
        <w:rPr>
          <w:rFonts w:ascii="Arial" w:cs="Arial" w:eastAsia="Arial" w:hAnsi="Arial"/>
          <w:sz w:val="18"/>
          <w:szCs w:val="18"/>
          <w:color w:val="auto"/>
        </w:rPr>
        <w:t>The directors designated for election by each of the JPM Stockholders and Swarth under the Stockholders Agreement are noted in the table above. The JPM Stockholders and Swarth owned approximately 30%</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16%, respectively, of Ribbon’s common stock as of April 4, 2025.</w:t>
      </w:r>
    </w:p>
    <w:p>
      <w:pPr>
        <w:spacing w:after="0" w:line="113" w:lineRule="exact"/>
        <w:rPr>
          <w:sz w:val="20"/>
          <w:szCs w:val="20"/>
          <w:color w:val="auto"/>
        </w:rPr>
      </w:pPr>
    </w:p>
    <w:p>
      <w:pPr>
        <w:ind w:left="920" w:right="200"/>
        <w:spacing w:after="0" w:line="245" w:lineRule="auto"/>
        <w:rPr>
          <w:sz w:val="20"/>
          <w:szCs w:val="20"/>
          <w:color w:val="auto"/>
        </w:rPr>
      </w:pPr>
      <w:r>
        <w:rPr>
          <w:rFonts w:ascii="Arial" w:cs="Arial" w:eastAsia="Arial" w:hAnsi="Arial"/>
          <w:sz w:val="18"/>
          <w:szCs w:val="18"/>
          <w:color w:val="auto"/>
        </w:rPr>
        <w:t>The Board has set the size of the Board of Directors at eight members and Swarth has temporarily waived its right to designate three directors as described above. If Swarth decides to designate a third director</w:t>
      </w:r>
    </w:p>
    <w:p>
      <w:pPr>
        <w:ind w:left="920" w:right="280"/>
        <w:spacing w:after="0" w:line="237" w:lineRule="auto"/>
        <w:rPr>
          <w:sz w:val="20"/>
          <w:szCs w:val="20"/>
          <w:color w:val="auto"/>
        </w:rPr>
      </w:pPr>
      <w:r>
        <w:rPr>
          <w:rFonts w:ascii="Arial" w:cs="Arial" w:eastAsia="Arial" w:hAnsi="Arial"/>
          <w:sz w:val="18"/>
          <w:szCs w:val="18"/>
          <w:color w:val="auto"/>
        </w:rPr>
        <w:t>after the 2025 Annual Meeting, it is expected that the Board will take further action to increase the size of the Board to nine members with the additional director position being filled by the third Swarth designee.</w:t>
      </w:r>
    </w:p>
    <w:p>
      <w:pPr>
        <w:spacing w:after="0" w:line="113" w:lineRule="exact"/>
        <w:rPr>
          <w:sz w:val="20"/>
          <w:szCs w:val="20"/>
          <w:color w:val="auto"/>
        </w:rPr>
      </w:pPr>
    </w:p>
    <w:p>
      <w:pPr>
        <w:ind w:left="920" w:right="240"/>
        <w:spacing w:after="0" w:line="237" w:lineRule="auto"/>
        <w:rPr>
          <w:sz w:val="20"/>
          <w:szCs w:val="20"/>
          <w:color w:val="auto"/>
        </w:rPr>
      </w:pPr>
      <w:r>
        <w:rPr>
          <w:rFonts w:ascii="Arial" w:cs="Arial" w:eastAsia="Arial" w:hAnsi="Arial"/>
          <w:sz w:val="18"/>
          <w:szCs w:val="18"/>
          <w:color w:val="auto"/>
        </w:rPr>
        <w:t>The Company has agreed to take all necessary actions within its control to include both the JPM Stockholders’ and Swarths’ designees in the slate of nominees recommended by the Board for election of</w:t>
      </w:r>
    </w:p>
    <w:p>
      <w:pPr>
        <w:spacing w:after="0" w:line="1" w:lineRule="exact"/>
        <w:rPr>
          <w:sz w:val="20"/>
          <w:szCs w:val="20"/>
          <w:color w:val="auto"/>
        </w:rPr>
      </w:pPr>
    </w:p>
    <w:p>
      <w:pPr>
        <w:ind w:left="920" w:right="440"/>
        <w:spacing w:after="0" w:line="250" w:lineRule="auto"/>
        <w:rPr>
          <w:sz w:val="20"/>
          <w:szCs w:val="20"/>
          <w:color w:val="auto"/>
        </w:rPr>
      </w:pPr>
      <w:r>
        <w:rPr>
          <w:rFonts w:ascii="Arial" w:cs="Arial" w:eastAsia="Arial" w:hAnsi="Arial"/>
          <w:sz w:val="18"/>
          <w:szCs w:val="18"/>
          <w:color w:val="auto"/>
        </w:rPr>
        <w:t>directors and to cause the stockholders of the Company to elect the designees. For so long as the JPM Stockholders or Swarth has the right to designate a director under the Stockholders</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right="179"/>
        <w:spacing w:after="0" w:line="248" w:lineRule="auto"/>
        <w:rPr>
          <w:sz w:val="20"/>
          <w:szCs w:val="20"/>
          <w:color w:val="auto"/>
        </w:rPr>
      </w:pPr>
      <w:r>
        <w:rPr>
          <w:rFonts w:ascii="Arial" w:cs="Arial" w:eastAsia="Arial" w:hAnsi="Arial"/>
          <w:sz w:val="18"/>
          <w:szCs w:val="18"/>
          <w:color w:val="auto"/>
        </w:rPr>
        <w:t>Agreement, with respect to any proposal or resolution relating to the election of directors, each of the JPM Stockholders and Swarth, respectively, has agreed to take all necessary actions within their control to vote their shares (A) affirmatively in favor of the election of the other’s designees and (B) with respect to each person nominated to serve as a director by the Nominating, Sustainability and Corporate Governance Committee, either affirmatively in favor of such nominee, or in the same proportion to all shares voted by other stockholders of the Company.</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Independence of Director Nominees</w:t>
      </w:r>
    </w:p>
    <w:p>
      <w:pPr>
        <w:spacing w:after="0" w:line="152" w:lineRule="exact"/>
        <w:rPr>
          <w:sz w:val="20"/>
          <w:szCs w:val="20"/>
          <w:color w:val="auto"/>
        </w:rPr>
      </w:pPr>
    </w:p>
    <w:p>
      <w:pPr>
        <w:ind w:left="920" w:right="279"/>
        <w:spacing w:after="0" w:line="246" w:lineRule="auto"/>
        <w:rPr>
          <w:sz w:val="20"/>
          <w:szCs w:val="20"/>
          <w:color w:val="auto"/>
        </w:rPr>
      </w:pPr>
      <w:r>
        <w:rPr>
          <w:rFonts w:ascii="Arial" w:cs="Arial" w:eastAsia="Arial" w:hAnsi="Arial"/>
          <w:sz w:val="18"/>
          <w:szCs w:val="18"/>
          <w:color w:val="auto"/>
        </w:rPr>
        <w:t>Except for Bruce W. McClelland, our President and CEO, Shaul Shani and Richard W. Smith, each of our nominees is independent according to the director independence standards set forth in our Corporate Governance Guidelines, which meet the director independence standards of the Nasdaq Stock Market</w:t>
      </w:r>
    </w:p>
    <w:p>
      <w:pPr>
        <w:ind w:left="920"/>
        <w:spacing w:after="0" w:line="237" w:lineRule="auto"/>
        <w:rPr>
          <w:sz w:val="20"/>
          <w:szCs w:val="20"/>
          <w:color w:val="auto"/>
        </w:rPr>
      </w:pPr>
      <w:r>
        <w:rPr>
          <w:rFonts w:ascii="Arial" w:cs="Arial" w:eastAsia="Arial" w:hAnsi="Arial"/>
          <w:sz w:val="18"/>
          <w:szCs w:val="18"/>
          <w:color w:val="auto"/>
        </w:rPr>
        <w:t>(“Nasdaq”). For more information, see “</w:t>
      </w:r>
      <w:r>
        <w:rPr>
          <w:rFonts w:ascii="Arial" w:cs="Arial" w:eastAsia="Arial" w:hAnsi="Arial"/>
          <w:sz w:val="18"/>
          <w:szCs w:val="18"/>
          <w:i w:val="1"/>
          <w:iCs w:val="1"/>
          <w:color w:val="auto"/>
        </w:rPr>
        <w:t xml:space="preserve">Corporate Governance and Board Matters —  </w:t>
      </w:r>
    </w:p>
    <w:p>
      <w:pPr>
        <w:spacing w:after="0" w:line="1" w:lineRule="exact"/>
        <w:rPr>
          <w:sz w:val="20"/>
          <w:szCs w:val="20"/>
          <w:color w:val="auto"/>
        </w:rPr>
      </w:pPr>
    </w:p>
    <w:p>
      <w:pPr>
        <w:ind w:left="920" w:right="159"/>
        <w:spacing w:after="0" w:line="242" w:lineRule="auto"/>
        <w:rPr>
          <w:sz w:val="20"/>
          <w:szCs w:val="20"/>
          <w:color w:val="auto"/>
        </w:rPr>
      </w:pPr>
      <w:r>
        <w:rPr>
          <w:rFonts w:ascii="Arial" w:cs="Arial" w:eastAsia="Arial" w:hAnsi="Arial"/>
          <w:sz w:val="18"/>
          <w:szCs w:val="18"/>
          <w:i w:val="1"/>
          <w:iCs w:val="1"/>
          <w:color w:val="auto"/>
        </w:rPr>
        <w:t>Director Independence</w:t>
      </w:r>
      <w:r>
        <w:rPr>
          <w:rFonts w:ascii="Arial" w:cs="Arial" w:eastAsia="Arial" w:hAnsi="Arial"/>
          <w:sz w:val="18"/>
          <w:szCs w:val="18"/>
          <w:color w:val="auto"/>
        </w:rPr>
        <w:t>.” We have no reason to believe that any of the nominees will be unable or unwilling</w:t>
      </w:r>
      <w:r>
        <w:rPr>
          <w:rFonts w:ascii="Arial" w:cs="Arial" w:eastAsia="Arial" w:hAnsi="Arial"/>
          <w:sz w:val="18"/>
          <w:szCs w:val="18"/>
          <w:i w:val="1"/>
          <w:iCs w:val="1"/>
          <w:color w:val="auto"/>
        </w:rPr>
        <w:t xml:space="preserve"> </w:t>
      </w:r>
      <w:r>
        <w:rPr>
          <w:rFonts w:ascii="Arial" w:cs="Arial" w:eastAsia="Arial" w:hAnsi="Arial"/>
          <w:sz w:val="18"/>
          <w:szCs w:val="18"/>
          <w:color w:val="auto"/>
        </w:rPr>
        <w:t>to serve if elected. However, if any nominee should become unable to serve, or for good cause will not serve as a director, proxies may be voted for another person nominated as a substitute by the Board, or the Board may reduce the number of directors. In the event any director designated by either the JPM Stockholders or Swarth is unable to serve, the JPM Stockholders or Swarth, as the case may be, are entitled to designate a replacement director, subject to the conditions set forth in the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1417320</wp:posOffset>
            </wp:positionH>
            <wp:positionV relativeFrom="paragraph">
              <wp:posOffset>302895</wp:posOffset>
            </wp:positionV>
            <wp:extent cx="4791710" cy="6172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791710" cy="6172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920" w:type="dxa"/>
        <w:tblCellMar>
          <w:top w:w="0" w:type="dxa"/>
          <w:left w:w="0" w:type="dxa"/>
          <w:bottom w:w="0" w:type="dxa"/>
          <w:right w:w="0" w:type="dxa"/>
        </w:tblCellMar>
      </w:tblPr>
      <w:tr>
        <w:trPr>
          <w:trHeight w:val="235"/>
        </w:trPr>
        <w:tc>
          <w:tcPr>
            <w:tcW w:w="120" w:type="dxa"/>
            <w:vAlign w:val="bottom"/>
            <w:shd w:val="clear" w:color="auto" w:fill="62259D"/>
          </w:tcPr>
          <w:p>
            <w:pPr>
              <w:spacing w:after="0"/>
              <w:rPr>
                <w:sz w:val="20"/>
                <w:szCs w:val="20"/>
                <w:color w:val="auto"/>
              </w:rPr>
            </w:pPr>
          </w:p>
        </w:tc>
        <w:tc>
          <w:tcPr>
            <w:tcW w:w="1200" w:type="dxa"/>
            <w:vAlign w:val="bottom"/>
            <w:shd w:val="clear" w:color="auto" w:fill="62259D"/>
          </w:tcPr>
          <w:p>
            <w:pPr>
              <w:jc w:val="center"/>
              <w:spacing w:after="0"/>
              <w:rPr>
                <w:sz w:val="20"/>
                <w:szCs w:val="20"/>
                <w:color w:val="auto"/>
              </w:rPr>
            </w:pPr>
            <w:r>
              <w:rPr>
                <w:rFonts w:ascii="Arial" w:cs="Arial" w:eastAsia="Arial" w:hAnsi="Arial"/>
                <w:sz w:val="16"/>
                <w:szCs w:val="16"/>
                <w:color w:val="FEFEFE"/>
              </w:rPr>
              <w:t>PROPOSAL</w:t>
            </w:r>
          </w:p>
        </w:tc>
        <w:tc>
          <w:tcPr>
            <w:tcW w:w="7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20" w:type="dxa"/>
            <w:vAlign w:val="bottom"/>
            <w:shd w:val="clear" w:color="auto" w:fill="62259D"/>
          </w:tcPr>
          <w:p>
            <w:pPr>
              <w:spacing w:after="0"/>
              <w:rPr>
                <w:sz w:val="20"/>
                <w:szCs w:val="20"/>
                <w:color w:val="auto"/>
              </w:rPr>
            </w:pPr>
            <w:r>
              <w:rPr>
                <w:rFonts w:ascii="Arial" w:cs="Arial" w:eastAsia="Arial" w:hAnsi="Arial"/>
                <w:sz w:val="16"/>
                <w:szCs w:val="16"/>
                <w:color w:val="FEFEFE"/>
              </w:rPr>
              <w:t>​</w:t>
            </w:r>
          </w:p>
        </w:tc>
        <w:tc>
          <w:tcPr>
            <w:tcW w:w="1200" w:type="dxa"/>
            <w:vAlign w:val="bottom"/>
            <w:vMerge w:val="restart"/>
            <w:shd w:val="clear" w:color="auto" w:fill="62259D"/>
          </w:tcPr>
          <w:p>
            <w:pPr>
              <w:jc w:val="center"/>
              <w:spacing w:after="0" w:line="399" w:lineRule="exact"/>
              <w:rPr>
                <w:sz w:val="20"/>
                <w:szCs w:val="20"/>
                <w:color w:val="auto"/>
              </w:rPr>
            </w:pPr>
            <w:r>
              <w:rPr>
                <w:rFonts w:ascii="Arial" w:cs="Arial" w:eastAsia="Arial" w:hAnsi="Arial"/>
                <w:sz w:val="46"/>
                <w:szCs w:val="46"/>
                <w:b w:val="1"/>
                <w:bCs w:val="1"/>
                <w:color w:val="FEFEFE"/>
              </w:rPr>
              <w:t>1</w:t>
            </w:r>
            <w:r>
              <w:rPr>
                <w:rFonts w:ascii="Arial" w:cs="Arial" w:eastAsia="Arial" w:hAnsi="Arial"/>
                <w:sz w:val="16"/>
                <w:szCs w:val="16"/>
                <w:color w:val="FEFEFE"/>
              </w:rPr>
              <w:t>​</w:t>
            </w:r>
          </w:p>
        </w:tc>
        <w:tc>
          <w:tcPr>
            <w:tcW w:w="7540" w:type="dxa"/>
            <w:vAlign w:val="bottom"/>
          </w:tcPr>
          <w:p>
            <w:pPr>
              <w:spacing w:after="0" w:line="218" w:lineRule="exact"/>
              <w:rPr>
                <w:sz w:val="20"/>
                <w:szCs w:val="20"/>
                <w:color w:val="auto"/>
              </w:rPr>
            </w:pPr>
            <w:r>
              <w:rPr>
                <w:rFonts w:ascii="Arial" w:cs="Arial" w:eastAsia="Arial" w:hAnsi="Arial"/>
                <w:sz w:val="25"/>
                <w:szCs w:val="25"/>
                <w:color w:val="FEFEFE"/>
                <w:vertAlign w:val="subscript"/>
              </w:rPr>
              <w:t>​​</w:t>
            </w:r>
            <w:r>
              <w:rPr>
                <w:rFonts w:ascii="Arial" w:cs="Arial" w:eastAsia="Arial" w:hAnsi="Arial"/>
                <w:sz w:val="15"/>
                <w:szCs w:val="15"/>
                <w:color w:val="FEFEFE"/>
              </w:rPr>
              <w:t xml:space="preserve">   The Board recommends that stockholders vote FOR the election of each </w:t>
            </w:r>
            <w:r>
              <w:rPr>
                <w:rFonts w:ascii="Arial" w:cs="Arial" w:eastAsia="Arial" w:hAnsi="Arial"/>
                <w:sz w:val="25"/>
                <w:szCs w:val="25"/>
                <w:color w:val="FEFEFE"/>
                <w:vertAlign w:val="subscript"/>
              </w:rPr>
              <w:t>​</w:t>
            </w:r>
          </w:p>
        </w:tc>
        <w:tc>
          <w:tcPr>
            <w:tcW w:w="40" w:type="dxa"/>
            <w:vAlign w:val="bottom"/>
          </w:tcPr>
          <w:p>
            <w:pPr>
              <w:spacing w:after="0"/>
              <w:rPr>
                <w:sz w:val="20"/>
                <w:szCs w:val="20"/>
                <w:color w:val="auto"/>
              </w:rPr>
            </w:pPr>
            <w:r>
              <w:rPr>
                <w:rFonts w:ascii="Arial" w:cs="Arial" w:eastAsia="Arial" w:hAnsi="Arial"/>
                <w:sz w:val="16"/>
                <w:szCs w:val="16"/>
                <w:color w:val="FEFEFE"/>
              </w:rPr>
              <w:t>​</w:t>
            </w:r>
          </w:p>
        </w:tc>
        <w:tc>
          <w:tcPr>
            <w:tcW w:w="0" w:type="dxa"/>
            <w:vAlign w:val="bottom"/>
          </w:tcPr>
          <w:p>
            <w:pPr>
              <w:spacing w:after="0"/>
              <w:rPr>
                <w:sz w:val="1"/>
                <w:szCs w:val="1"/>
                <w:color w:val="auto"/>
              </w:rPr>
            </w:pPr>
          </w:p>
        </w:tc>
      </w:tr>
      <w:tr>
        <w:trPr>
          <w:trHeight w:val="181"/>
        </w:trPr>
        <w:tc>
          <w:tcPr>
            <w:tcW w:w="120" w:type="dxa"/>
            <w:vAlign w:val="bottom"/>
            <w:shd w:val="clear" w:color="auto" w:fill="62259D"/>
          </w:tcPr>
          <w:p>
            <w:pPr>
              <w:spacing w:after="0"/>
              <w:rPr>
                <w:sz w:val="15"/>
                <w:szCs w:val="15"/>
                <w:color w:val="auto"/>
              </w:rPr>
            </w:pPr>
          </w:p>
        </w:tc>
        <w:tc>
          <w:tcPr>
            <w:tcW w:w="1200" w:type="dxa"/>
            <w:vAlign w:val="bottom"/>
            <w:vMerge w:val="continue"/>
            <w:shd w:val="clear" w:color="auto" w:fill="62259D"/>
          </w:tcPr>
          <w:p>
            <w:pPr>
              <w:spacing w:after="0"/>
              <w:rPr>
                <w:sz w:val="15"/>
                <w:szCs w:val="15"/>
                <w:color w:val="auto"/>
              </w:rPr>
            </w:pPr>
          </w:p>
        </w:tc>
        <w:tc>
          <w:tcPr>
            <w:tcW w:w="7540" w:type="dxa"/>
            <w:vAlign w:val="bottom"/>
            <w:vMerge w:val="restart"/>
          </w:tcPr>
          <w:p>
            <w:pPr>
              <w:ind w:left="300"/>
              <w:spacing w:after="0"/>
              <w:rPr>
                <w:sz w:val="20"/>
                <w:szCs w:val="20"/>
                <w:color w:val="auto"/>
              </w:rPr>
            </w:pPr>
            <w:r>
              <w:rPr>
                <w:rFonts w:ascii="Arial" w:cs="Arial" w:eastAsia="Arial" w:hAnsi="Arial"/>
                <w:sz w:val="18"/>
                <w:szCs w:val="18"/>
                <w:color w:val="FEFEFE"/>
              </w:rPr>
              <w:t>of the nominees listed above.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120" w:type="dxa"/>
            <w:vAlign w:val="bottom"/>
            <w:shd w:val="clear" w:color="auto" w:fill="62259D"/>
          </w:tcPr>
          <w:p>
            <w:pPr>
              <w:spacing w:after="0"/>
              <w:rPr>
                <w:sz w:val="5"/>
                <w:szCs w:val="5"/>
                <w:color w:val="auto"/>
              </w:rPr>
            </w:pPr>
          </w:p>
        </w:tc>
        <w:tc>
          <w:tcPr>
            <w:tcW w:w="1200" w:type="dxa"/>
            <w:vAlign w:val="bottom"/>
            <w:shd w:val="clear" w:color="auto" w:fill="62259D"/>
          </w:tcPr>
          <w:p>
            <w:pPr>
              <w:spacing w:after="0"/>
              <w:rPr>
                <w:sz w:val="5"/>
                <w:szCs w:val="5"/>
                <w:color w:val="auto"/>
              </w:rPr>
            </w:pPr>
          </w:p>
        </w:tc>
        <w:tc>
          <w:tcPr>
            <w:tcW w:w="7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120" w:type="dxa"/>
            <w:vAlign w:val="bottom"/>
            <w:shd w:val="clear" w:color="auto" w:fill="62259D"/>
          </w:tcPr>
          <w:p>
            <w:pPr>
              <w:spacing w:after="0"/>
              <w:rPr>
                <w:sz w:val="23"/>
                <w:szCs w:val="23"/>
                <w:color w:val="auto"/>
              </w:rPr>
            </w:pPr>
          </w:p>
        </w:tc>
        <w:tc>
          <w:tcPr>
            <w:tcW w:w="1200" w:type="dxa"/>
            <w:vAlign w:val="bottom"/>
            <w:shd w:val="clear" w:color="auto" w:fill="62259D"/>
          </w:tcPr>
          <w:p>
            <w:pPr>
              <w:spacing w:after="0"/>
              <w:rPr>
                <w:sz w:val="23"/>
                <w:szCs w:val="23"/>
                <w:color w:val="auto"/>
              </w:rPr>
            </w:pPr>
          </w:p>
        </w:tc>
        <w:tc>
          <w:tcPr>
            <w:tcW w:w="7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8</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Director Nominees</w:t>
      </w:r>
    </w:p>
    <w:p>
      <w:pPr>
        <w:spacing w:after="0" w:line="104" w:lineRule="exact"/>
        <w:rPr>
          <w:sz w:val="20"/>
          <w:szCs w:val="20"/>
          <w:color w:val="auto"/>
        </w:rPr>
      </w:pPr>
    </w:p>
    <w:p>
      <w:pPr>
        <w:jc w:val="both"/>
        <w:ind w:left="920" w:right="119"/>
        <w:spacing w:after="0" w:line="261" w:lineRule="auto"/>
        <w:rPr>
          <w:sz w:val="20"/>
          <w:szCs w:val="20"/>
          <w:color w:val="auto"/>
        </w:rPr>
      </w:pPr>
      <w:r>
        <w:rPr>
          <w:rFonts w:ascii="Arial" w:cs="Arial" w:eastAsia="Arial" w:hAnsi="Arial"/>
          <w:sz w:val="18"/>
          <w:szCs w:val="18"/>
          <w:color w:val="auto"/>
        </w:rPr>
        <w:t>The biographies below describe the skills, qualities, attributes and experience of the director nominees that led the Board and its Nominating, Sustainability and Corporate Governance Committee to determine that it is appropriate to nominate these individuals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114935</wp:posOffset>
            </wp:positionV>
            <wp:extent cx="1088390" cy="10883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88390" cy="1088390"/>
                    </a:xfrm>
                    <a:prstGeom prst="rect">
                      <a:avLst/>
                    </a:prstGeom>
                    <a:noFill/>
                  </pic:spPr>
                </pic:pic>
              </a:graphicData>
            </a:graphic>
          </wp:anchor>
        </w:drawing>
      </w:r>
    </w:p>
    <w:p>
      <w:pPr>
        <w:spacing w:after="0" w:line="161"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92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tcPr>
          <w:p>
            <w:pPr>
              <w:ind w:left="860"/>
              <w:spacing w:after="0"/>
              <w:rPr>
                <w:sz w:val="20"/>
                <w:szCs w:val="20"/>
                <w:color w:val="auto"/>
              </w:rPr>
            </w:pPr>
            <w:r>
              <w:rPr>
                <w:rFonts w:ascii="Arial" w:cs="Arial" w:eastAsia="Arial" w:hAnsi="Arial"/>
                <w:sz w:val="16"/>
                <w:szCs w:val="16"/>
                <w:color w:val="auto"/>
              </w:rPr>
              <w:t>​</w:t>
            </w:r>
          </w:p>
        </w:tc>
        <w:tc>
          <w:tcPr>
            <w:tcW w:w="4480" w:type="dxa"/>
            <w:vAlign w:val="bottom"/>
            <w:shd w:val="clear" w:color="auto" w:fill="E7417A"/>
          </w:tcPr>
          <w:p>
            <w:pPr>
              <w:spacing w:after="0"/>
              <w:rPr>
                <w:sz w:val="19"/>
                <w:szCs w:val="19"/>
                <w:color w:val="auto"/>
              </w:rPr>
            </w:pPr>
          </w:p>
        </w:tc>
        <w:tc>
          <w:tcPr>
            <w:tcW w:w="2320" w:type="dxa"/>
            <w:vAlign w:val="bottom"/>
            <w:vMerge w:val="restart"/>
            <w:shd w:val="clear" w:color="auto" w:fill="E7417A"/>
          </w:tcPr>
          <w:p>
            <w:pPr>
              <w:ind w:left="360"/>
              <w:spacing w:after="0"/>
              <w:rPr>
                <w:sz w:val="20"/>
                <w:szCs w:val="20"/>
                <w:color w:val="auto"/>
              </w:rPr>
            </w:pPr>
            <w:r>
              <w:rPr>
                <w:rFonts w:ascii="Arial" w:cs="Arial" w:eastAsia="Arial" w:hAnsi="Arial"/>
                <w:sz w:val="15"/>
                <w:szCs w:val="15"/>
                <w:b w:val="1"/>
                <w:bCs w:val="1"/>
                <w:color w:val="FEFEFE"/>
              </w:rPr>
              <w:t>Independent Director</w:t>
            </w:r>
          </w:p>
        </w:tc>
        <w:tc>
          <w:tcPr>
            <w:tcW w:w="0" w:type="dxa"/>
            <w:vAlign w:val="bottom"/>
          </w:tcPr>
          <w:p>
            <w:pPr>
              <w:spacing w:after="0"/>
              <w:rPr>
                <w:sz w:val="1"/>
                <w:szCs w:val="1"/>
                <w:color w:val="auto"/>
              </w:rPr>
            </w:pPr>
          </w:p>
        </w:tc>
      </w:tr>
      <w:tr>
        <w:trPr>
          <w:trHeight w:val="48"/>
        </w:trPr>
        <w:tc>
          <w:tcPr>
            <w:tcW w:w="9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80" w:type="dxa"/>
            <w:vAlign w:val="bottom"/>
            <w:vMerge w:val="restart"/>
            <w:shd w:val="clear" w:color="auto" w:fill="E7417A"/>
          </w:tcPr>
          <w:p>
            <w:pPr>
              <w:spacing w:after="0"/>
              <w:rPr>
                <w:sz w:val="20"/>
                <w:szCs w:val="20"/>
                <w:color w:val="auto"/>
              </w:rPr>
            </w:pPr>
            <w:r>
              <w:rPr>
                <w:rFonts w:ascii="Arial" w:cs="Arial" w:eastAsia="Arial" w:hAnsi="Arial"/>
                <w:sz w:val="15"/>
                <w:szCs w:val="15"/>
                <w:b w:val="1"/>
                <w:bCs w:val="1"/>
                <w:color w:val="FEFEFE"/>
              </w:rPr>
              <w:t xml:space="preserve">​  </w:t>
            </w:r>
            <w:r>
              <w:rPr>
                <w:rFonts w:ascii="Arial" w:cs="Arial" w:eastAsia="Arial" w:hAnsi="Arial"/>
                <w:sz w:val="25"/>
                <w:szCs w:val="25"/>
                <w:b w:val="1"/>
                <w:bCs w:val="1"/>
                <w:color w:val="FEFEFE"/>
              </w:rPr>
              <w:t>R. STEWART EWING, JR.</w:t>
            </w:r>
            <w:r>
              <w:rPr>
                <w:rFonts w:ascii="Arial" w:cs="Arial" w:eastAsia="Arial" w:hAnsi="Arial"/>
                <w:sz w:val="15"/>
                <w:szCs w:val="15"/>
                <w:b w:val="1"/>
                <w:bCs w:val="1"/>
                <w:color w:val="FEFEFE"/>
              </w:rPr>
              <w:t xml:space="preserve"> ​​</w:t>
            </w:r>
          </w:p>
        </w:tc>
        <w:tc>
          <w:tcPr>
            <w:tcW w:w="2320" w:type="dxa"/>
            <w:vAlign w:val="bottom"/>
            <w:vMerge w:val="continue"/>
            <w:shd w:val="clear" w:color="auto" w:fill="E7417A"/>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80" w:type="dxa"/>
            <w:vAlign w:val="bottom"/>
            <w:vMerge w:val="continue"/>
            <w:shd w:val="clear" w:color="auto" w:fill="E7417A"/>
          </w:tcPr>
          <w:p>
            <w:pPr>
              <w:spacing w:after="0"/>
              <w:rPr>
                <w:sz w:val="18"/>
                <w:szCs w:val="18"/>
                <w:color w:val="auto"/>
              </w:rPr>
            </w:pPr>
          </w:p>
        </w:tc>
        <w:tc>
          <w:tcPr>
            <w:tcW w:w="2320" w:type="dxa"/>
            <w:vAlign w:val="bottom"/>
            <w:shd w:val="clear" w:color="auto" w:fill="E7417A"/>
          </w:tcPr>
          <w:p>
            <w:pPr>
              <w:ind w:left="980"/>
              <w:spacing w:after="0"/>
              <w:rPr>
                <w:sz w:val="20"/>
                <w:szCs w:val="20"/>
                <w:color w:val="auto"/>
              </w:rPr>
            </w:pPr>
            <w:r>
              <w:rPr>
                <w:rFonts w:ascii="Arial" w:cs="Arial" w:eastAsia="Arial" w:hAnsi="Arial"/>
                <w:sz w:val="15"/>
                <w:szCs w:val="15"/>
                <w:b w:val="1"/>
                <w:bCs w:val="1"/>
                <w:color w:val="FEFEFE"/>
              </w:rPr>
              <w:t>Director since​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80" w:type="dxa"/>
            <w:vAlign w:val="bottom"/>
            <w:shd w:val="clear" w:color="auto" w:fill="E7417A"/>
          </w:tcPr>
          <w:p>
            <w:pPr>
              <w:spacing w:after="0"/>
              <w:rPr>
                <w:sz w:val="18"/>
                <w:szCs w:val="18"/>
                <w:color w:val="auto"/>
              </w:rPr>
            </w:pPr>
          </w:p>
        </w:tc>
        <w:tc>
          <w:tcPr>
            <w:tcW w:w="2320" w:type="dxa"/>
            <w:vAlign w:val="bottom"/>
            <w:shd w:val="clear" w:color="auto" w:fill="E7417A"/>
          </w:tcPr>
          <w:p>
            <w:pPr>
              <w:ind w:left="1200"/>
              <w:spacing w:after="0"/>
              <w:rPr>
                <w:sz w:val="20"/>
                <w:szCs w:val="20"/>
                <w:color w:val="auto"/>
              </w:rPr>
            </w:pPr>
            <w:r>
              <w:rPr>
                <w:rFonts w:ascii="Arial" w:cs="Arial" w:eastAsia="Arial" w:hAnsi="Arial"/>
                <w:sz w:val="15"/>
                <w:szCs w:val="15"/>
                <w:b w:val="1"/>
                <w:bCs w:val="1"/>
                <w:color w:val="FEFEFE"/>
              </w:rPr>
              <w:t>March 2020</w:t>
            </w:r>
          </w:p>
        </w:tc>
        <w:tc>
          <w:tcPr>
            <w:tcW w:w="0" w:type="dxa"/>
            <w:vAlign w:val="bottom"/>
          </w:tcPr>
          <w:p>
            <w:pPr>
              <w:spacing w:after="0"/>
              <w:rPr>
                <w:sz w:val="1"/>
                <w:szCs w:val="1"/>
                <w:color w:val="auto"/>
              </w:rPr>
            </w:pPr>
          </w:p>
        </w:tc>
      </w:tr>
      <w:tr>
        <w:trPr>
          <w:trHeight w:val="66"/>
        </w:trPr>
        <w:tc>
          <w:tcPr>
            <w:tcW w:w="9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80" w:type="dxa"/>
            <w:vAlign w:val="bottom"/>
            <w:shd w:val="clear" w:color="auto" w:fill="E7417A"/>
          </w:tcPr>
          <w:p>
            <w:pPr>
              <w:spacing w:after="0"/>
              <w:rPr>
                <w:sz w:val="5"/>
                <w:szCs w:val="5"/>
                <w:color w:val="auto"/>
              </w:rPr>
            </w:pPr>
          </w:p>
        </w:tc>
        <w:tc>
          <w:tcPr>
            <w:tcW w:w="2320" w:type="dxa"/>
            <w:vAlign w:val="bottom"/>
            <w:shd w:val="clear" w:color="auto" w:fill="E7417A"/>
          </w:tcPr>
          <w:p>
            <w:pPr>
              <w:spacing w:after="0"/>
              <w:rPr>
                <w:sz w:val="5"/>
                <w:szCs w:val="5"/>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73</w:t>
      </w:r>
    </w:p>
    <w:p>
      <w:pPr>
        <w:spacing w:after="0" w:line="113"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COMMITTEES</w:t>
      </w:r>
    </w:p>
    <w:p>
      <w:pPr>
        <w:spacing w:after="0" w:line="59" w:lineRule="exact"/>
        <w:rPr>
          <w:sz w:val="20"/>
          <w:szCs w:val="20"/>
          <w:color w:val="auto"/>
        </w:rPr>
      </w:pPr>
    </w:p>
    <w:p>
      <w:pPr>
        <w:jc w:val="both"/>
        <w:ind w:left="1200" w:right="60" w:hanging="168"/>
        <w:spacing w:after="0" w:line="257" w:lineRule="auto"/>
        <w:tabs>
          <w:tab w:leader="none" w:pos="1200" w:val="left"/>
        </w:tabs>
        <w:numPr>
          <w:ilvl w:val="0"/>
          <w:numId w:val="12"/>
        </w:numPr>
        <w:rPr>
          <w:rFonts w:ascii="Arial" w:cs="Arial" w:eastAsia="Arial" w:hAnsi="Arial"/>
          <w:sz w:val="16"/>
          <w:szCs w:val="16"/>
          <w:color w:val="62259D"/>
        </w:rPr>
      </w:pPr>
      <w:r>
        <w:rPr>
          <w:rFonts w:ascii="Arial" w:cs="Arial" w:eastAsia="Arial" w:hAnsi="Arial"/>
          <w:sz w:val="16"/>
          <w:szCs w:val="16"/>
          <w:color w:val="auto"/>
        </w:rPr>
        <w:t>Audit (Chair and Audit Committee Financial Expert)</w:t>
      </w:r>
    </w:p>
    <w:p>
      <w:pPr>
        <w:spacing w:after="0" w:line="43" w:lineRule="exact"/>
        <w:rPr>
          <w:rFonts w:ascii="Arial" w:cs="Arial" w:eastAsia="Arial" w:hAnsi="Arial"/>
          <w:sz w:val="16"/>
          <w:szCs w:val="16"/>
          <w:color w:val="62259D"/>
        </w:rPr>
      </w:pPr>
    </w:p>
    <w:p>
      <w:pPr>
        <w:ind w:left="1200" w:hanging="168"/>
        <w:spacing w:after="0" w:line="248" w:lineRule="auto"/>
        <w:tabs>
          <w:tab w:leader="none" w:pos="1200" w:val="left"/>
        </w:tabs>
        <w:numPr>
          <w:ilvl w:val="0"/>
          <w:numId w:val="12"/>
        </w:numPr>
        <w:rPr>
          <w:rFonts w:ascii="Arial" w:cs="Arial" w:eastAsia="Arial" w:hAnsi="Arial"/>
          <w:sz w:val="16"/>
          <w:szCs w:val="16"/>
          <w:color w:val="62259D"/>
        </w:rPr>
      </w:pPr>
      <w:r>
        <w:rPr>
          <w:rFonts w:ascii="Arial" w:cs="Arial" w:eastAsia="Arial" w:hAnsi="Arial"/>
          <w:sz w:val="16"/>
          <w:szCs w:val="16"/>
          <w:color w:val="auto"/>
        </w:rPr>
        <w:t>Nominating, Sustainability and Corporate Governance</w:t>
      </w:r>
    </w:p>
    <w:p>
      <w:pPr>
        <w:spacing w:after="0" w:line="20" w:lineRule="exact"/>
        <w:rPr>
          <w:sz w:val="20"/>
          <w:szCs w:val="20"/>
          <w:color w:val="auto"/>
        </w:rPr>
      </w:pPr>
      <w:r>
        <w:rPr>
          <w:sz w:val="20"/>
          <w:szCs w:val="20"/>
          <w:color w:val="auto"/>
        </w:rPr>
        <w:br w:type="column"/>
      </w:r>
    </w:p>
    <w:p>
      <w:pPr>
        <w:spacing w:after="0"/>
        <w:tabs>
          <w:tab w:leader="none" w:pos="328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62259D"/>
        </w:rPr>
        <w:t>BACKGROUND</w:t>
      </w:r>
      <w:r>
        <w:rPr>
          <w:sz w:val="20"/>
          <w:szCs w:val="20"/>
          <w:color w:val="auto"/>
        </w:rPr>
        <w:tab/>
      </w:r>
      <w:r>
        <w:rPr>
          <w:rFonts w:ascii="Arial" w:cs="Arial" w:eastAsia="Arial" w:hAnsi="Arial"/>
          <w:sz w:val="16"/>
          <w:szCs w:val="16"/>
          <w:color w:val="auto"/>
        </w:rPr>
        <w:t>​ ​</w:t>
      </w:r>
    </w:p>
    <w:p>
      <w:pPr>
        <w:spacing w:after="0" w:line="33" w:lineRule="exact"/>
        <w:rPr>
          <w:sz w:val="20"/>
          <w:szCs w:val="20"/>
          <w:color w:val="auto"/>
        </w:rPr>
      </w:pPr>
    </w:p>
    <w:p>
      <w:pPr>
        <w:ind w:left="100" w:right="200"/>
        <w:spacing w:after="0" w:line="260" w:lineRule="auto"/>
        <w:rPr>
          <w:sz w:val="20"/>
          <w:szCs w:val="20"/>
          <w:color w:val="auto"/>
        </w:rPr>
      </w:pPr>
      <w:r>
        <w:rPr>
          <w:rFonts w:ascii="Arial" w:cs="Arial" w:eastAsia="Arial" w:hAnsi="Arial"/>
          <w:sz w:val="16"/>
          <w:szCs w:val="16"/>
          <w:b w:val="1"/>
          <w:bCs w:val="1"/>
          <w:color w:val="auto"/>
        </w:rPr>
        <w:t>InterMountain Management</w:t>
      </w:r>
      <w:r>
        <w:rPr>
          <w:rFonts w:ascii="Arial" w:cs="Arial" w:eastAsia="Arial" w:hAnsi="Arial"/>
          <w:sz w:val="16"/>
          <w:szCs w:val="16"/>
          <w:color w:val="auto"/>
        </w:rPr>
        <w:t>, a privately-owned hotel management company</w:t>
      </w:r>
    </w:p>
    <w:p>
      <w:pPr>
        <w:spacing w:after="0" w:line="34" w:lineRule="exact"/>
        <w:rPr>
          <w:sz w:val="20"/>
          <w:szCs w:val="20"/>
          <w:color w:val="auto"/>
        </w:rPr>
      </w:pPr>
    </w:p>
    <w:p>
      <w:pPr>
        <w:ind w:left="260" w:right="540" w:hanging="156"/>
        <w:spacing w:after="0" w:line="259" w:lineRule="auto"/>
        <w:tabs>
          <w:tab w:leader="none" w:pos="260" w:val="left"/>
        </w:tabs>
        <w:numPr>
          <w:ilvl w:val="0"/>
          <w:numId w:val="13"/>
        </w:numPr>
        <w:rPr>
          <w:rFonts w:ascii="Arial" w:cs="Arial" w:eastAsia="Arial" w:hAnsi="Arial"/>
          <w:sz w:val="16"/>
          <w:szCs w:val="16"/>
          <w:color w:val="62259D"/>
        </w:rPr>
      </w:pPr>
      <w:r>
        <w:rPr>
          <w:rFonts w:ascii="Arial" w:cs="Arial" w:eastAsia="Arial" w:hAnsi="Arial"/>
          <w:sz w:val="16"/>
          <w:szCs w:val="16"/>
          <w:color w:val="auto"/>
        </w:rPr>
        <w:t>Chief Financial Officer (April 2020 to present)</w:t>
      </w:r>
    </w:p>
    <w:p>
      <w:pPr>
        <w:spacing w:after="0" w:line="19" w:lineRule="exact"/>
        <w:rPr>
          <w:sz w:val="20"/>
          <w:szCs w:val="20"/>
          <w:color w:val="auto"/>
        </w:rPr>
      </w:pPr>
    </w:p>
    <w:p>
      <w:pPr>
        <w:ind w:left="100" w:right="260"/>
        <w:spacing w:after="0" w:line="230" w:lineRule="auto"/>
        <w:rPr>
          <w:sz w:val="20"/>
          <w:szCs w:val="20"/>
          <w:color w:val="auto"/>
        </w:rPr>
      </w:pPr>
      <w:r>
        <w:rPr>
          <w:rFonts w:ascii="Arial" w:cs="Arial" w:eastAsia="Arial" w:hAnsi="Arial"/>
          <w:sz w:val="16"/>
          <w:szCs w:val="16"/>
          <w:b w:val="1"/>
          <w:bCs w:val="1"/>
          <w:color w:val="auto"/>
        </w:rPr>
        <w:t xml:space="preserve">CenturyLink, Inc. </w:t>
      </w:r>
      <w:r>
        <w:rPr>
          <w:rFonts w:ascii="Arial" w:cs="Arial" w:eastAsia="Arial" w:hAnsi="Arial"/>
          <w:sz w:val="16"/>
          <w:szCs w:val="16"/>
          <w:color w:val="auto"/>
        </w:rPr>
        <w:t>(“C</w:t>
      </w:r>
      <w:r>
        <w:rPr>
          <w:rFonts w:ascii="Arial" w:cs="Arial" w:eastAsia="Arial" w:hAnsi="Arial"/>
          <w:sz w:val="16"/>
          <w:szCs w:val="16"/>
          <w:i w:val="1"/>
          <w:iCs w:val="1"/>
          <w:color w:val="auto"/>
        </w:rPr>
        <w:t>enturyLink</w:t>
      </w:r>
      <w:r>
        <w:rPr>
          <w:rFonts w:ascii="Arial" w:cs="Arial" w:eastAsia="Arial" w:hAnsi="Arial"/>
          <w:sz w:val="16"/>
          <w:szCs w:val="16"/>
          <w:color w:val="auto"/>
        </w:rPr>
        <w:t>,” now</w:t>
      </w:r>
      <w:r>
        <w:rPr>
          <w:rFonts w:ascii="Arial" w:cs="Arial" w:eastAsia="Arial" w:hAnsi="Arial"/>
          <w:sz w:val="16"/>
          <w:szCs w:val="16"/>
          <w:b w:val="1"/>
          <w:bCs w:val="1"/>
          <w:color w:val="auto"/>
        </w:rPr>
        <w:t xml:space="preserve"> </w:t>
      </w:r>
      <w:r>
        <w:rPr>
          <w:rFonts w:ascii="Arial" w:cs="Arial" w:eastAsia="Arial" w:hAnsi="Arial"/>
          <w:sz w:val="16"/>
          <w:szCs w:val="16"/>
          <w:color w:val="auto"/>
        </w:rPr>
        <w:t>Lumen Technologies), a global technology</w:t>
      </w:r>
    </w:p>
    <w:p>
      <w:pPr>
        <w:ind w:left="100"/>
        <w:spacing w:after="0" w:line="230" w:lineRule="auto"/>
        <w:rPr>
          <w:sz w:val="20"/>
          <w:szCs w:val="20"/>
          <w:color w:val="auto"/>
        </w:rPr>
      </w:pPr>
      <w:r>
        <w:rPr>
          <w:rFonts w:ascii="Arial" w:cs="Arial" w:eastAsia="Arial" w:hAnsi="Arial"/>
          <w:sz w:val="16"/>
          <w:szCs w:val="16"/>
          <w:color w:val="auto"/>
        </w:rPr>
        <w:t>company offering communications, network</w:t>
      </w:r>
    </w:p>
    <w:p>
      <w:pPr>
        <w:ind w:left="100" w:right="160"/>
        <w:spacing w:after="0" w:line="231" w:lineRule="auto"/>
        <w:rPr>
          <w:sz w:val="20"/>
          <w:szCs w:val="20"/>
          <w:color w:val="auto"/>
        </w:rPr>
      </w:pPr>
      <w:r>
        <w:rPr>
          <w:rFonts w:ascii="Arial" w:cs="Arial" w:eastAsia="Arial" w:hAnsi="Arial"/>
          <w:sz w:val="16"/>
          <w:szCs w:val="16"/>
          <w:color w:val="auto"/>
        </w:rPr>
        <w:t>services, security, cloud solutions and voice and managed services</w:t>
      </w:r>
    </w:p>
    <w:p>
      <w:pPr>
        <w:spacing w:after="0" w:line="50" w:lineRule="exact"/>
        <w:rPr>
          <w:sz w:val="20"/>
          <w:szCs w:val="20"/>
          <w:color w:val="auto"/>
        </w:rPr>
      </w:pPr>
    </w:p>
    <w:p>
      <w:pPr>
        <w:ind w:left="260" w:right="620" w:hanging="156"/>
        <w:spacing w:after="0" w:line="244" w:lineRule="auto"/>
        <w:tabs>
          <w:tab w:leader="none" w:pos="260" w:val="left"/>
        </w:tabs>
        <w:numPr>
          <w:ilvl w:val="0"/>
          <w:numId w:val="14"/>
        </w:numPr>
        <w:rPr>
          <w:rFonts w:ascii="Arial" w:cs="Arial" w:eastAsia="Arial" w:hAnsi="Arial"/>
          <w:sz w:val="16"/>
          <w:szCs w:val="16"/>
          <w:color w:val="62259D"/>
        </w:rPr>
      </w:pPr>
      <w:r>
        <w:rPr>
          <w:rFonts w:ascii="Arial" w:cs="Arial" w:eastAsia="Arial" w:hAnsi="Arial"/>
          <w:sz w:val="16"/>
          <w:szCs w:val="16"/>
          <w:color w:val="auto"/>
        </w:rPr>
        <w:t>Executive Vice President and Chief Financial Officer (1989 to November 2017)</w:t>
      </w:r>
    </w:p>
    <w:p>
      <w:pPr>
        <w:spacing w:after="0" w:line="46" w:lineRule="exact"/>
        <w:rPr>
          <w:rFonts w:ascii="Arial" w:cs="Arial" w:eastAsia="Arial" w:hAnsi="Arial"/>
          <w:sz w:val="16"/>
          <w:szCs w:val="16"/>
          <w:color w:val="62259D"/>
        </w:rPr>
      </w:pPr>
    </w:p>
    <w:p>
      <w:pPr>
        <w:ind w:left="260" w:right="400" w:hanging="156"/>
        <w:spacing w:after="0" w:line="259" w:lineRule="auto"/>
        <w:tabs>
          <w:tab w:leader="none" w:pos="260" w:val="left"/>
        </w:tabs>
        <w:numPr>
          <w:ilvl w:val="0"/>
          <w:numId w:val="14"/>
        </w:numPr>
        <w:rPr>
          <w:rFonts w:ascii="Arial" w:cs="Arial" w:eastAsia="Arial" w:hAnsi="Arial"/>
          <w:sz w:val="16"/>
          <w:szCs w:val="16"/>
          <w:color w:val="62259D"/>
        </w:rPr>
      </w:pPr>
      <w:r>
        <w:rPr>
          <w:rFonts w:ascii="Arial" w:cs="Arial" w:eastAsia="Arial" w:hAnsi="Arial"/>
          <w:sz w:val="16"/>
          <w:szCs w:val="16"/>
          <w:color w:val="auto"/>
        </w:rPr>
        <w:t>Vice President and Controller (1984 to 1989)</w:t>
      </w:r>
    </w:p>
    <w:p>
      <w:pPr>
        <w:spacing w:after="0" w:line="34" w:lineRule="exact"/>
        <w:rPr>
          <w:rFonts w:ascii="Arial" w:cs="Arial" w:eastAsia="Arial" w:hAnsi="Arial"/>
          <w:sz w:val="16"/>
          <w:szCs w:val="16"/>
          <w:color w:val="62259D"/>
        </w:rPr>
      </w:pPr>
    </w:p>
    <w:p>
      <w:pPr>
        <w:ind w:left="260" w:hanging="156"/>
        <w:spacing w:after="0"/>
        <w:tabs>
          <w:tab w:leader="none" w:pos="260" w:val="left"/>
        </w:tabs>
        <w:numPr>
          <w:ilvl w:val="0"/>
          <w:numId w:val="14"/>
        </w:numPr>
        <w:rPr>
          <w:rFonts w:ascii="Arial" w:cs="Arial" w:eastAsia="Arial" w:hAnsi="Arial"/>
          <w:sz w:val="16"/>
          <w:szCs w:val="16"/>
          <w:color w:val="62259D"/>
        </w:rPr>
      </w:pPr>
      <w:r>
        <w:rPr>
          <w:rFonts w:ascii="Arial" w:cs="Arial" w:eastAsia="Arial" w:hAnsi="Arial"/>
          <w:sz w:val="16"/>
          <w:szCs w:val="16"/>
          <w:color w:val="auto"/>
        </w:rPr>
        <w:t>Vice President of Finance (1983 to 1984)</w:t>
      </w:r>
    </w:p>
    <w:p>
      <w:pPr>
        <w:spacing w:after="0" w:line="43" w:lineRule="exact"/>
        <w:rPr>
          <w:rFonts w:ascii="Arial" w:cs="Arial" w:eastAsia="Arial" w:hAnsi="Arial"/>
          <w:sz w:val="16"/>
          <w:szCs w:val="16"/>
          <w:color w:val="62259D"/>
        </w:rPr>
      </w:pPr>
    </w:p>
    <w:p>
      <w:pPr>
        <w:ind w:left="100"/>
        <w:spacing w:after="0"/>
        <w:rPr>
          <w:rFonts w:ascii="Arial" w:cs="Arial" w:eastAsia="Arial" w:hAnsi="Arial"/>
          <w:sz w:val="16"/>
          <w:szCs w:val="16"/>
          <w:color w:val="62259D"/>
        </w:rPr>
      </w:pPr>
      <w:r>
        <w:rPr>
          <w:rFonts w:ascii="Arial" w:cs="Arial" w:eastAsia="Arial" w:hAnsi="Arial"/>
          <w:sz w:val="16"/>
          <w:szCs w:val="16"/>
          <w:b w:val="1"/>
          <w:bCs w:val="1"/>
          <w:color w:val="auto"/>
        </w:rPr>
        <w:t>KPMG</w:t>
      </w:r>
    </w:p>
    <w:p>
      <w:pPr>
        <w:spacing w:after="0" w:line="61" w:lineRule="exact"/>
        <w:rPr>
          <w:rFonts w:ascii="Arial" w:cs="Arial" w:eastAsia="Arial" w:hAnsi="Arial"/>
          <w:sz w:val="16"/>
          <w:szCs w:val="16"/>
          <w:color w:val="62259D"/>
        </w:rPr>
      </w:pPr>
    </w:p>
    <w:p>
      <w:pPr>
        <w:ind w:left="260" w:hanging="156"/>
        <w:spacing w:after="0"/>
        <w:tabs>
          <w:tab w:leader="none" w:pos="260" w:val="left"/>
        </w:tabs>
        <w:numPr>
          <w:ilvl w:val="0"/>
          <w:numId w:val="14"/>
        </w:numPr>
        <w:rPr>
          <w:rFonts w:ascii="Arial" w:cs="Arial" w:eastAsia="Arial" w:hAnsi="Arial"/>
          <w:sz w:val="16"/>
          <w:szCs w:val="16"/>
          <w:color w:val="62259D"/>
        </w:rPr>
      </w:pPr>
      <w:r>
        <w:rPr>
          <w:rFonts w:ascii="Arial" w:cs="Arial" w:eastAsia="Arial" w:hAnsi="Arial"/>
          <w:sz w:val="16"/>
          <w:szCs w:val="16"/>
          <w:color w:val="auto"/>
        </w:rPr>
        <w:t>Accountant (1973 to 1982)</w:t>
      </w:r>
    </w:p>
    <w:p>
      <w:pPr>
        <w:spacing w:after="0" w:line="20" w:lineRule="exact"/>
        <w:rPr>
          <w:sz w:val="20"/>
          <w:szCs w:val="20"/>
          <w:color w:val="auto"/>
        </w:rPr>
      </w:pPr>
      <w:r>
        <w:rPr>
          <w:sz w:val="20"/>
          <w:szCs w:val="20"/>
          <w:color w:val="auto"/>
        </w:rPr>
        <w:br w:type="column"/>
      </w:r>
    </w:p>
    <w:p>
      <w:pPr>
        <w:spacing w:after="0"/>
        <w:tabs>
          <w:tab w:leader="none" w:pos="3180" w:val="left"/>
        </w:tabs>
        <w:rPr>
          <w:sz w:val="20"/>
          <w:szCs w:val="20"/>
          <w:color w:val="auto"/>
        </w:rPr>
      </w:pPr>
      <w:r>
        <w:rPr>
          <w:rFonts w:ascii="Arial" w:cs="Arial" w:eastAsia="Arial" w:hAnsi="Arial"/>
          <w:sz w:val="16"/>
          <w:szCs w:val="16"/>
          <w:b w:val="1"/>
          <w:bCs w:val="1"/>
          <w:color w:val="62259D"/>
        </w:rPr>
        <w:t>BOARD SERVICE</w:t>
      </w:r>
      <w:r>
        <w:rPr>
          <w:sz w:val="20"/>
          <w:szCs w:val="20"/>
          <w:color w:val="auto"/>
        </w:rPr>
        <w:tab/>
      </w:r>
      <w:r>
        <w:rPr>
          <w:rFonts w:ascii="Arial" w:cs="Arial" w:eastAsia="Arial" w:hAnsi="Arial"/>
          <w:sz w:val="16"/>
          <w:szCs w:val="16"/>
          <w:color w:val="auto"/>
        </w:rPr>
        <w:t>​</w:t>
      </w:r>
    </w:p>
    <w:p>
      <w:pPr>
        <w:spacing w:after="0" w:line="59" w:lineRule="exact"/>
        <w:rPr>
          <w:sz w:val="20"/>
          <w:szCs w:val="20"/>
          <w:color w:val="auto"/>
        </w:rPr>
      </w:pPr>
    </w:p>
    <w:p>
      <w:pPr>
        <w:ind w:left="160" w:right="819" w:hanging="154"/>
        <w:spacing w:after="0" w:line="254" w:lineRule="auto"/>
        <w:tabs>
          <w:tab w:leader="none" w:pos="160" w:val="left"/>
        </w:tabs>
        <w:numPr>
          <w:ilvl w:val="0"/>
          <w:numId w:val="15"/>
        </w:numPr>
        <w:rPr>
          <w:rFonts w:ascii="Arial" w:cs="Arial" w:eastAsia="Arial" w:hAnsi="Arial"/>
          <w:sz w:val="16"/>
          <w:szCs w:val="16"/>
          <w:color w:val="62259D"/>
        </w:rPr>
      </w:pPr>
      <w:r>
        <w:rPr>
          <w:rFonts w:ascii="Arial" w:cs="Arial" w:eastAsia="Arial" w:hAnsi="Arial"/>
          <w:sz w:val="16"/>
          <w:szCs w:val="16"/>
          <w:b w:val="1"/>
          <w:bCs w:val="1"/>
          <w:color w:val="auto"/>
        </w:rPr>
        <w:t xml:space="preserve">Louisiana Endowment for the Humanities </w:t>
      </w:r>
      <w:r>
        <w:rPr>
          <w:rFonts w:ascii="Arial" w:cs="Arial" w:eastAsia="Arial" w:hAnsi="Arial"/>
          <w:sz w:val="16"/>
          <w:szCs w:val="16"/>
          <w:color w:val="auto"/>
        </w:rPr>
        <w:t>(2019 to present)</w:t>
      </w:r>
    </w:p>
    <w:p>
      <w:pPr>
        <w:spacing w:after="0" w:line="29" w:lineRule="exact"/>
        <w:rPr>
          <w:rFonts w:ascii="Arial" w:cs="Arial" w:eastAsia="Arial" w:hAnsi="Arial"/>
          <w:sz w:val="16"/>
          <w:szCs w:val="16"/>
          <w:color w:val="62259D"/>
        </w:rPr>
      </w:pPr>
    </w:p>
    <w:p>
      <w:pPr>
        <w:ind w:left="160" w:right="519" w:hanging="154"/>
        <w:spacing w:after="0" w:line="261" w:lineRule="auto"/>
        <w:tabs>
          <w:tab w:leader="none" w:pos="160" w:val="left"/>
        </w:tabs>
        <w:numPr>
          <w:ilvl w:val="0"/>
          <w:numId w:val="15"/>
        </w:numPr>
        <w:rPr>
          <w:rFonts w:ascii="Arial" w:cs="Arial" w:eastAsia="Arial" w:hAnsi="Arial"/>
          <w:sz w:val="16"/>
          <w:szCs w:val="16"/>
          <w:color w:val="62259D"/>
        </w:rPr>
      </w:pPr>
      <w:r>
        <w:rPr>
          <w:rFonts w:ascii="Arial" w:cs="Arial" w:eastAsia="Arial" w:hAnsi="Arial"/>
          <w:sz w:val="16"/>
          <w:szCs w:val="16"/>
          <w:b w:val="1"/>
          <w:bCs w:val="1"/>
          <w:color w:val="auto"/>
        </w:rPr>
        <w:t>Progressive Bank</w:t>
      </w:r>
      <w:r>
        <w:rPr>
          <w:rFonts w:ascii="Arial" w:cs="Arial" w:eastAsia="Arial" w:hAnsi="Arial"/>
          <w:sz w:val="16"/>
          <w:szCs w:val="16"/>
          <w:color w:val="auto"/>
        </w:rPr>
        <w:t>, Chairman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Audit Committee (2002 to present)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62259D"/>
        </w:rPr>
        <w:t>EDUCATION</w:t>
      </w:r>
    </w:p>
    <w:p>
      <w:pPr>
        <w:spacing w:after="0" w:line="61" w:lineRule="exact"/>
        <w:rPr>
          <w:sz w:val="20"/>
          <w:szCs w:val="20"/>
          <w:color w:val="auto"/>
        </w:rPr>
      </w:pPr>
    </w:p>
    <w:p>
      <w:pPr>
        <w:ind w:left="160" w:hanging="154"/>
        <w:spacing w:after="0"/>
        <w:tabs>
          <w:tab w:leader="none" w:pos="160" w:val="left"/>
        </w:tabs>
        <w:numPr>
          <w:ilvl w:val="0"/>
          <w:numId w:val="16"/>
        </w:numPr>
        <w:rPr>
          <w:rFonts w:ascii="Arial" w:cs="Arial" w:eastAsia="Arial" w:hAnsi="Arial"/>
          <w:sz w:val="16"/>
          <w:szCs w:val="16"/>
          <w:color w:val="62259D"/>
        </w:rPr>
      </w:pPr>
      <w:r>
        <w:rPr>
          <w:rFonts w:ascii="Arial" w:cs="Arial" w:eastAsia="Arial" w:hAnsi="Arial"/>
          <w:sz w:val="16"/>
          <w:szCs w:val="16"/>
          <w:color w:val="auto"/>
        </w:rPr>
        <w:t>B.S., Northwestern State University</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62259D"/>
        </w:rPr>
        <w:t>SKILLS AND EXPERTISE</w:t>
      </w:r>
    </w:p>
    <w:p>
      <w:pPr>
        <w:spacing w:after="0" w:line="34" w:lineRule="exact"/>
        <w:rPr>
          <w:sz w:val="20"/>
          <w:szCs w:val="20"/>
          <w:color w:val="auto"/>
        </w:rPr>
      </w:pPr>
    </w:p>
    <w:p>
      <w:pPr>
        <w:ind w:right="319"/>
        <w:spacing w:after="0" w:line="238" w:lineRule="auto"/>
        <w:rPr>
          <w:sz w:val="20"/>
          <w:szCs w:val="20"/>
          <w:color w:val="auto"/>
        </w:rPr>
      </w:pPr>
      <w:r>
        <w:rPr>
          <w:rFonts w:ascii="Arial" w:cs="Arial" w:eastAsia="Arial" w:hAnsi="Arial"/>
          <w:sz w:val="16"/>
          <w:szCs w:val="16"/>
          <w:color w:val="auto"/>
        </w:rPr>
        <w:t>We believe Mr. Ewing brings to the Board executive leadership experience gained at</w:t>
      </w:r>
    </w:p>
    <w:p>
      <w:pPr>
        <w:ind w:right="239"/>
        <w:spacing w:after="0" w:line="220" w:lineRule="auto"/>
        <w:rPr>
          <w:sz w:val="20"/>
          <w:szCs w:val="20"/>
          <w:color w:val="auto"/>
        </w:rPr>
      </w:pPr>
      <w:r>
        <w:rPr>
          <w:rFonts w:ascii="Arial" w:cs="Arial" w:eastAsia="Arial" w:hAnsi="Arial"/>
          <w:sz w:val="16"/>
          <w:szCs w:val="16"/>
          <w:color w:val="auto"/>
        </w:rPr>
        <w:t>CenturyLink, along with extensive financial expertise. We believe Mr. Ewing is qualified</w:t>
      </w:r>
    </w:p>
    <w:p>
      <w:pPr>
        <w:ind w:right="639"/>
        <w:spacing w:after="0" w:line="228" w:lineRule="auto"/>
        <w:rPr>
          <w:sz w:val="20"/>
          <w:szCs w:val="20"/>
          <w:color w:val="auto"/>
        </w:rPr>
      </w:pPr>
      <w:r>
        <w:rPr>
          <w:rFonts w:ascii="Arial" w:cs="Arial" w:eastAsia="Arial" w:hAnsi="Arial"/>
          <w:sz w:val="16"/>
          <w:szCs w:val="16"/>
          <w:color w:val="auto"/>
        </w:rPr>
        <w:t>to serve on the Board because of his experience as chief financial officer at</w:t>
      </w:r>
    </w:p>
    <w:p>
      <w:pPr>
        <w:spacing w:after="0" w:line="1" w:lineRule="exact"/>
        <w:rPr>
          <w:sz w:val="20"/>
          <w:szCs w:val="20"/>
          <w:color w:val="auto"/>
        </w:rPr>
      </w:pPr>
    </w:p>
    <w:p>
      <w:pPr>
        <w:ind w:right="239"/>
        <w:spacing w:after="0" w:line="220" w:lineRule="auto"/>
        <w:rPr>
          <w:sz w:val="20"/>
          <w:szCs w:val="20"/>
          <w:color w:val="auto"/>
        </w:rPr>
      </w:pPr>
      <w:r>
        <w:rPr>
          <w:rFonts w:ascii="Arial" w:cs="Arial" w:eastAsia="Arial" w:hAnsi="Arial"/>
          <w:sz w:val="16"/>
          <w:szCs w:val="16"/>
          <w:color w:val="auto"/>
        </w:rPr>
        <w:t>CenturyLink and his experience leading the integration of acquired companies into</w:t>
      </w:r>
    </w:p>
    <w:p>
      <w:pPr>
        <w:ind w:right="659"/>
        <w:spacing w:after="0" w:line="241" w:lineRule="auto"/>
        <w:rPr>
          <w:sz w:val="20"/>
          <w:szCs w:val="20"/>
          <w:color w:val="auto"/>
        </w:rPr>
      </w:pPr>
      <w:r>
        <w:rPr>
          <w:rFonts w:ascii="Arial" w:cs="Arial" w:eastAsia="Arial" w:hAnsi="Arial"/>
          <w:sz w:val="16"/>
          <w:szCs w:val="16"/>
          <w:color w:val="auto"/>
        </w:rPr>
        <w:t>CenturyLink’s corporate structure and philosophy.</w:t>
      </w:r>
    </w:p>
    <w:p>
      <w:pPr>
        <w:spacing w:after="0" w:line="256" w:lineRule="exact"/>
        <w:rPr>
          <w:sz w:val="20"/>
          <w:szCs w:val="20"/>
          <w:color w:val="auto"/>
        </w:rPr>
      </w:pPr>
    </w:p>
    <w:p>
      <w:pPr>
        <w:sectPr>
          <w:pgSz w:w="11900" w:h="16838" w:orient="portrait"/>
          <w:cols w:equalWidth="0" w:num="3">
            <w:col w:w="2520" w:space="460"/>
            <w:col w:w="3440" w:space="60"/>
            <w:col w:w="3399"/>
          </w:cols>
          <w:pgMar w:left="580" w:top="97" w:right="1440" w:bottom="1440" w:gutter="0" w:footer="0" w:header="0"/>
          <w:type w:val="continuous"/>
        </w:sectPr>
      </w:pPr>
    </w:p>
    <w:p>
      <w:pPr>
        <w:spacing w:after="0" w:line="111" w:lineRule="exact"/>
        <w:rPr>
          <w:sz w:val="20"/>
          <w:szCs w:val="20"/>
          <w:color w:val="auto"/>
        </w:rPr>
      </w:pPr>
    </w:p>
    <w:p>
      <w:pPr>
        <w:ind w:left="9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-4445</wp:posOffset>
            </wp:positionV>
            <wp:extent cx="56235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18" w:lineRule="exact"/>
        <w:rPr>
          <w:sz w:val="20"/>
          <w:szCs w:val="20"/>
          <w:color w:val="auto"/>
        </w:rPr>
      </w:pPr>
    </w:p>
    <w:tbl>
      <w:tblPr>
        <w:tblLayout w:type="fixed"/>
        <w:tblInd w:w="980" w:type="dxa"/>
        <w:tblCellMar>
          <w:top w:w="0" w:type="dxa"/>
          <w:left w:w="0" w:type="dxa"/>
          <w:bottom w:w="0" w:type="dxa"/>
          <w:right w:w="0" w:type="dxa"/>
        </w:tblCellMar>
      </w:tblPr>
      <w:tr>
        <w:trPr>
          <w:trHeight w:val="215"/>
        </w:trPr>
        <w:tc>
          <w:tcPr>
            <w:tcW w:w="920" w:type="dxa"/>
            <w:vAlign w:val="bottom"/>
          </w:tcPr>
          <w:p>
            <w:pPr>
              <w:spacing w:after="0"/>
              <w:rPr>
                <w:sz w:val="20"/>
                <w:szCs w:val="20"/>
                <w:color w:val="auto"/>
              </w:rPr>
            </w:pPr>
            <w:r>
              <w:rPr>
                <w:rFonts w:ascii="Arial" w:cs="Arial" w:eastAsia="Arial" w:hAnsi="Arial"/>
                <w:sz w:val="16"/>
                <w:szCs w:val="16"/>
                <w:color w:val="auto"/>
              </w:rPr>
              <w:t>​</w:t>
            </w:r>
          </w:p>
        </w:tc>
        <w:tc>
          <w:tcPr>
            <w:tcW w:w="3560" w:type="dxa"/>
            <w:vAlign w:val="bottom"/>
          </w:tcPr>
          <w:p>
            <w:pPr>
              <w:ind w:left="860"/>
              <w:spacing w:after="0"/>
              <w:rPr>
                <w:sz w:val="20"/>
                <w:szCs w:val="20"/>
                <w:color w:val="auto"/>
              </w:rPr>
            </w:pPr>
            <w:r>
              <w:rPr>
                <w:rFonts w:ascii="Arial" w:cs="Arial" w:eastAsia="Arial" w:hAnsi="Arial"/>
                <w:sz w:val="16"/>
                <w:szCs w:val="16"/>
                <w:color w:val="auto"/>
              </w:rPr>
              <w:t>​</w:t>
            </w:r>
          </w:p>
        </w:tc>
        <w:tc>
          <w:tcPr>
            <w:tcW w:w="4100" w:type="dxa"/>
            <w:vAlign w:val="bottom"/>
            <w:vMerge w:val="restart"/>
          </w:tcPr>
          <w:p>
            <w:pPr>
              <w:ind w:left="2680"/>
              <w:spacing w:after="0"/>
              <w:rPr>
                <w:sz w:val="20"/>
                <w:szCs w:val="20"/>
                <w:color w:val="auto"/>
              </w:rPr>
            </w:pPr>
            <w:r>
              <w:rPr>
                <w:rFonts w:ascii="Arial" w:cs="Arial" w:eastAsia="Arial" w:hAnsi="Arial"/>
                <w:sz w:val="15"/>
                <w:szCs w:val="15"/>
                <w:b w:val="1"/>
                <w:bCs w:val="1"/>
                <w:color w:val="FEFEFE"/>
              </w:rPr>
              <w:t>Lead Independent</w:t>
            </w:r>
          </w:p>
        </w:tc>
        <w:tc>
          <w:tcPr>
            <w:tcW w:w="0" w:type="dxa"/>
            <w:vAlign w:val="bottom"/>
          </w:tcPr>
          <w:p>
            <w:pPr>
              <w:spacing w:after="0"/>
              <w:rPr>
                <w:sz w:val="1"/>
                <w:szCs w:val="1"/>
                <w:color w:val="auto"/>
              </w:rPr>
            </w:pPr>
          </w:p>
        </w:tc>
      </w:tr>
      <w:tr>
        <w:trPr>
          <w:trHeight w:val="85"/>
        </w:trPr>
        <w:tc>
          <w:tcPr>
            <w:tcW w:w="9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4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-180340</wp:posOffset>
            </wp:positionV>
            <wp:extent cx="5546090" cy="10883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46090" cy="1088390"/>
                    </a:xfrm>
                    <a:prstGeom prst="rect">
                      <a:avLst/>
                    </a:prstGeom>
                    <a:noFill/>
                  </pic:spPr>
                </pic:pic>
              </a:graphicData>
            </a:graphic>
          </wp:anchor>
        </w:drawing>
      </w:r>
    </w:p>
    <w:tbl>
      <w:tblPr>
        <w:tblLayout w:type="fixed"/>
        <w:tblInd w:w="2980" w:type="dxa"/>
        <w:tblCellMar>
          <w:top w:w="0" w:type="dxa"/>
          <w:left w:w="0" w:type="dxa"/>
          <w:bottom w:w="0" w:type="dxa"/>
          <w:right w:w="0" w:type="dxa"/>
        </w:tblCellMar>
      </w:tblPr>
      <w:tr>
        <w:trPr>
          <w:trHeight w:val="268"/>
        </w:trPr>
        <w:tc>
          <w:tcPr>
            <w:tcW w:w="3380" w:type="dxa"/>
            <w:vAlign w:val="bottom"/>
          </w:tcPr>
          <w:p>
            <w:pPr>
              <w:spacing w:after="0" w:line="268" w:lineRule="exact"/>
              <w:rPr>
                <w:sz w:val="20"/>
                <w:szCs w:val="20"/>
                <w:color w:val="auto"/>
              </w:rPr>
            </w:pPr>
            <w:r>
              <w:rPr>
                <w:rFonts w:ascii="Arial" w:cs="Arial" w:eastAsia="Arial" w:hAnsi="Arial"/>
                <w:sz w:val="15"/>
                <w:szCs w:val="15"/>
                <w:b w:val="1"/>
                <w:bCs w:val="1"/>
                <w:color w:val="FEFEFE"/>
              </w:rPr>
              <w:t xml:space="preserve">​  </w:t>
            </w:r>
            <w:r>
              <w:rPr>
                <w:rFonts w:ascii="Arial" w:cs="Arial" w:eastAsia="Arial" w:hAnsi="Arial"/>
                <w:sz w:val="25"/>
                <w:szCs w:val="25"/>
                <w:b w:val="1"/>
                <w:bCs w:val="1"/>
                <w:color w:val="FEFEFE"/>
              </w:rPr>
              <w:t>BRUNS H. GRAYSON</w:t>
            </w:r>
            <w:r>
              <w:rPr>
                <w:rFonts w:ascii="Arial" w:cs="Arial" w:eastAsia="Arial" w:hAnsi="Arial"/>
                <w:sz w:val="15"/>
                <w:szCs w:val="15"/>
                <w:b w:val="1"/>
                <w:bCs w:val="1"/>
                <w:color w:val="FEFEFE"/>
              </w:rPr>
              <w:t>​</w:t>
            </w:r>
          </w:p>
        </w:tc>
        <w:tc>
          <w:tcPr>
            <w:tcW w:w="1240" w:type="dxa"/>
            <w:vAlign w:val="bottom"/>
          </w:tcPr>
          <w:p>
            <w:pPr>
              <w:ind w:left="360"/>
              <w:spacing w:after="0"/>
              <w:rPr>
                <w:sz w:val="20"/>
                <w:szCs w:val="20"/>
                <w:color w:val="auto"/>
              </w:rPr>
            </w:pPr>
            <w:r>
              <w:rPr>
                <w:rFonts w:ascii="Arial" w:cs="Arial" w:eastAsia="Arial" w:hAnsi="Arial"/>
                <w:sz w:val="15"/>
                <w:szCs w:val="15"/>
                <w:b w:val="1"/>
                <w:bCs w:val="1"/>
                <w:color w:val="FEFEFE"/>
              </w:rPr>
              <w:t>​</w:t>
            </w:r>
          </w:p>
        </w:tc>
        <w:tc>
          <w:tcPr>
            <w:tcW w:w="1960" w:type="dxa"/>
            <w:vAlign w:val="bottom"/>
          </w:tcPr>
          <w:p>
            <w:pPr>
              <w:jc w:val="right"/>
              <w:spacing w:after="0"/>
              <w:rPr>
                <w:sz w:val="20"/>
                <w:szCs w:val="20"/>
                <w:color w:val="auto"/>
              </w:rPr>
            </w:pPr>
            <w:r>
              <w:rPr>
                <w:rFonts w:ascii="Arial" w:cs="Arial" w:eastAsia="Arial" w:hAnsi="Arial"/>
                <w:sz w:val="15"/>
                <w:szCs w:val="15"/>
                <w:b w:val="1"/>
                <w:bCs w:val="1"/>
                <w:color w:val="FEFEFE"/>
              </w:rPr>
              <w:t>Director</w:t>
            </w:r>
          </w:p>
        </w:tc>
        <w:tc>
          <w:tcPr>
            <w:tcW w:w="40" w:type="dxa"/>
            <w:vAlign w:val="bottom"/>
          </w:tcPr>
          <w:p>
            <w:pPr>
              <w:jc w:val="right"/>
              <w:spacing w:after="0"/>
              <w:rPr>
                <w:sz w:val="20"/>
                <w:szCs w:val="20"/>
                <w:color w:val="auto"/>
              </w:rPr>
            </w:pPr>
            <w:r>
              <w:rPr>
                <w:rFonts w:ascii="Arial" w:cs="Arial" w:eastAsia="Arial" w:hAnsi="Arial"/>
                <w:sz w:val="15"/>
                <w:szCs w:val="15"/>
                <w:b w:val="1"/>
                <w:bCs w:val="1"/>
                <w:color w:val="FEFEFE"/>
              </w:rPr>
              <w:t>​</w:t>
            </w:r>
          </w:p>
        </w:tc>
      </w:tr>
      <w:tr>
        <w:trPr>
          <w:trHeight w:val="143"/>
        </w:trPr>
        <w:tc>
          <w:tcPr>
            <w:tcW w:w="3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60" w:type="dxa"/>
            <w:vAlign w:val="bottom"/>
          </w:tcPr>
          <w:p>
            <w:pPr>
              <w:jc w:val="right"/>
              <w:spacing w:after="0" w:line="143" w:lineRule="exact"/>
              <w:rPr>
                <w:sz w:val="20"/>
                <w:szCs w:val="20"/>
                <w:color w:val="auto"/>
              </w:rPr>
            </w:pPr>
            <w:r>
              <w:rPr>
                <w:rFonts w:ascii="Arial" w:cs="Arial" w:eastAsia="Arial" w:hAnsi="Arial"/>
                <w:sz w:val="15"/>
                <w:szCs w:val="15"/>
                <w:b w:val="1"/>
                <w:bCs w:val="1"/>
                <w:color w:val="FEFEFE"/>
              </w:rPr>
              <w:t>Director since</w:t>
            </w:r>
          </w:p>
        </w:tc>
        <w:tc>
          <w:tcPr>
            <w:tcW w:w="40" w:type="dxa"/>
            <w:vAlign w:val="bottom"/>
          </w:tcPr>
          <w:p>
            <w:pPr>
              <w:spacing w:after="0"/>
              <w:rPr>
                <w:sz w:val="12"/>
                <w:szCs w:val="12"/>
                <w:color w:val="auto"/>
              </w:rPr>
            </w:pPr>
          </w:p>
        </w:tc>
      </w:tr>
      <w:tr>
        <w:trPr>
          <w:trHeight w:val="210"/>
        </w:trPr>
        <w:tc>
          <w:tcPr>
            <w:tcW w:w="3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5"/>
                <w:szCs w:val="15"/>
                <w:b w:val="1"/>
                <w:bCs w:val="1"/>
                <w:color w:val="FEFEFE"/>
              </w:rPr>
              <w:t>March 2020</w:t>
            </w:r>
          </w:p>
        </w:tc>
        <w:tc>
          <w:tcPr>
            <w:tcW w:w="40" w:type="dxa"/>
            <w:vAlign w:val="bottom"/>
          </w:tcPr>
          <w:p>
            <w:pPr>
              <w:spacing w:after="0"/>
              <w:rPr>
                <w:sz w:val="18"/>
                <w:szCs w:val="18"/>
                <w:color w:val="auto"/>
              </w:rPr>
            </w:pPr>
          </w:p>
        </w:tc>
      </w:tr>
    </w:tbl>
    <w:p>
      <w:pPr>
        <w:spacing w:after="0" w:line="19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77</w:t>
      </w:r>
    </w:p>
    <w:p>
      <w:pPr>
        <w:spacing w:after="0" w:line="100"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COMMITTEES</w:t>
      </w:r>
    </w:p>
    <w:p>
      <w:pPr>
        <w:spacing w:after="0" w:line="73" w:lineRule="exact"/>
        <w:rPr>
          <w:sz w:val="20"/>
          <w:szCs w:val="20"/>
          <w:color w:val="auto"/>
        </w:rPr>
      </w:pPr>
    </w:p>
    <w:p>
      <w:pPr>
        <w:ind w:left="1200" w:hanging="168"/>
        <w:spacing w:after="0"/>
        <w:tabs>
          <w:tab w:leader="none" w:pos="1200" w:val="left"/>
        </w:tabs>
        <w:numPr>
          <w:ilvl w:val="0"/>
          <w:numId w:val="17"/>
        </w:numPr>
        <w:rPr>
          <w:rFonts w:ascii="Arial" w:cs="Arial" w:eastAsia="Arial" w:hAnsi="Arial"/>
          <w:sz w:val="16"/>
          <w:szCs w:val="16"/>
          <w:color w:val="62259D"/>
        </w:rPr>
      </w:pPr>
      <w:r>
        <w:rPr>
          <w:rFonts w:ascii="Arial" w:cs="Arial" w:eastAsia="Arial" w:hAnsi="Arial"/>
          <w:sz w:val="16"/>
          <w:szCs w:val="16"/>
          <w:color w:val="auto"/>
        </w:rPr>
        <w:t>Compensation</w:t>
      </w:r>
    </w:p>
    <w:p>
      <w:pPr>
        <w:spacing w:after="0" w:line="59" w:lineRule="exact"/>
        <w:rPr>
          <w:rFonts w:ascii="Arial" w:cs="Arial" w:eastAsia="Arial" w:hAnsi="Arial"/>
          <w:sz w:val="16"/>
          <w:szCs w:val="16"/>
          <w:color w:val="62259D"/>
        </w:rPr>
      </w:pPr>
    </w:p>
    <w:p>
      <w:pPr>
        <w:ind w:left="1200" w:hanging="168"/>
        <w:spacing w:after="0" w:line="248" w:lineRule="auto"/>
        <w:tabs>
          <w:tab w:leader="none" w:pos="1200" w:val="left"/>
        </w:tabs>
        <w:numPr>
          <w:ilvl w:val="0"/>
          <w:numId w:val="17"/>
        </w:numPr>
        <w:rPr>
          <w:rFonts w:ascii="Arial" w:cs="Arial" w:eastAsia="Arial" w:hAnsi="Arial"/>
          <w:sz w:val="16"/>
          <w:szCs w:val="16"/>
          <w:color w:val="62259D"/>
        </w:rPr>
      </w:pPr>
      <w:r>
        <w:rPr>
          <w:rFonts w:ascii="Arial" w:cs="Arial" w:eastAsia="Arial" w:hAnsi="Arial"/>
          <w:sz w:val="16"/>
          <w:szCs w:val="16"/>
          <w:color w:val="auto"/>
        </w:rPr>
        <w:t>Nominating, Sustainability and Corporate Governance (Chair)</w:t>
      </w:r>
    </w:p>
    <w:p>
      <w:pPr>
        <w:spacing w:after="0" w:line="20" w:lineRule="exact"/>
        <w:rPr>
          <w:sz w:val="20"/>
          <w:szCs w:val="20"/>
          <w:color w:val="auto"/>
        </w:rPr>
      </w:pPr>
      <w:r>
        <w:rPr>
          <w:sz w:val="20"/>
          <w:szCs w:val="20"/>
          <w:color w:val="auto"/>
        </w:rPr>
        <w:br w:type="column"/>
      </w:r>
    </w:p>
    <w:p>
      <w:pPr>
        <w:spacing w:after="0"/>
        <w:tabs>
          <w:tab w:leader="none" w:pos="328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62259D"/>
        </w:rPr>
        <w:t>BACKGROUND</w:t>
      </w:r>
      <w:r>
        <w:rPr>
          <w:sz w:val="20"/>
          <w:szCs w:val="20"/>
          <w:color w:val="auto"/>
        </w:rPr>
        <w:tab/>
      </w:r>
      <w:r>
        <w:rPr>
          <w:rFonts w:ascii="Arial" w:cs="Arial" w:eastAsia="Arial" w:hAnsi="Arial"/>
          <w:sz w:val="16"/>
          <w:szCs w:val="16"/>
          <w:color w:val="auto"/>
        </w:rPr>
        <w:t>​ ​</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ABS Ventures</w:t>
      </w:r>
      <w:r>
        <w:rPr>
          <w:rFonts w:ascii="Arial" w:cs="Arial" w:eastAsia="Arial" w:hAnsi="Arial"/>
          <w:sz w:val="16"/>
          <w:szCs w:val="16"/>
          <w:color w:val="auto"/>
        </w:rPr>
        <w:t>, a venture capital firm</w:t>
      </w:r>
    </w:p>
    <w:p>
      <w:pPr>
        <w:spacing w:after="0" w:line="61" w:lineRule="exact"/>
        <w:rPr>
          <w:sz w:val="20"/>
          <w:szCs w:val="20"/>
          <w:color w:val="auto"/>
        </w:rPr>
      </w:pPr>
    </w:p>
    <w:p>
      <w:pPr>
        <w:ind w:left="260" w:hanging="156"/>
        <w:spacing w:after="0"/>
        <w:tabs>
          <w:tab w:leader="none" w:pos="260" w:val="left"/>
        </w:tabs>
        <w:numPr>
          <w:ilvl w:val="0"/>
          <w:numId w:val="18"/>
        </w:numPr>
        <w:rPr>
          <w:rFonts w:ascii="Arial" w:cs="Arial" w:eastAsia="Arial" w:hAnsi="Arial"/>
          <w:sz w:val="16"/>
          <w:szCs w:val="16"/>
          <w:color w:val="62259D"/>
        </w:rPr>
      </w:pPr>
      <w:r>
        <w:rPr>
          <w:rFonts w:ascii="Arial" w:cs="Arial" w:eastAsia="Arial" w:hAnsi="Arial"/>
          <w:sz w:val="16"/>
          <w:szCs w:val="16"/>
          <w:color w:val="auto"/>
        </w:rPr>
        <w:t>Managing Partner (1983 to present)</w:t>
      </w:r>
    </w:p>
    <w:p>
      <w:pPr>
        <w:spacing w:after="0" w:line="30" w:lineRule="exact"/>
        <w:rPr>
          <w:rFonts w:ascii="Arial" w:cs="Arial" w:eastAsia="Arial" w:hAnsi="Arial"/>
          <w:sz w:val="16"/>
          <w:szCs w:val="16"/>
          <w:color w:val="62259D"/>
        </w:rPr>
      </w:pPr>
    </w:p>
    <w:p>
      <w:pPr>
        <w:ind w:left="100"/>
        <w:spacing w:after="0"/>
        <w:rPr>
          <w:rFonts w:ascii="Arial" w:cs="Arial" w:eastAsia="Arial" w:hAnsi="Arial"/>
          <w:sz w:val="16"/>
          <w:szCs w:val="16"/>
          <w:color w:val="62259D"/>
        </w:rPr>
      </w:pPr>
      <w:r>
        <w:rPr>
          <w:rFonts w:ascii="Arial" w:cs="Arial" w:eastAsia="Arial" w:hAnsi="Arial"/>
          <w:sz w:val="16"/>
          <w:szCs w:val="16"/>
          <w:b w:val="1"/>
          <w:bCs w:val="1"/>
          <w:color w:val="auto"/>
        </w:rPr>
        <w:t>Adler &amp; Co.</w:t>
      </w:r>
    </w:p>
    <w:p>
      <w:pPr>
        <w:spacing w:after="0" w:line="61" w:lineRule="exact"/>
        <w:rPr>
          <w:rFonts w:ascii="Arial" w:cs="Arial" w:eastAsia="Arial" w:hAnsi="Arial"/>
          <w:sz w:val="16"/>
          <w:szCs w:val="16"/>
          <w:color w:val="62259D"/>
        </w:rPr>
      </w:pPr>
    </w:p>
    <w:p>
      <w:pPr>
        <w:ind w:left="260" w:hanging="156"/>
        <w:spacing w:after="0"/>
        <w:tabs>
          <w:tab w:leader="none" w:pos="260" w:val="left"/>
        </w:tabs>
        <w:numPr>
          <w:ilvl w:val="0"/>
          <w:numId w:val="18"/>
        </w:numPr>
        <w:rPr>
          <w:rFonts w:ascii="Arial" w:cs="Arial" w:eastAsia="Arial" w:hAnsi="Arial"/>
          <w:sz w:val="16"/>
          <w:szCs w:val="16"/>
          <w:color w:val="62259D"/>
        </w:rPr>
      </w:pPr>
      <w:r>
        <w:rPr>
          <w:rFonts w:ascii="Arial" w:cs="Arial" w:eastAsia="Arial" w:hAnsi="Arial"/>
          <w:sz w:val="16"/>
          <w:szCs w:val="16"/>
          <w:color w:val="auto"/>
        </w:rPr>
        <w:t>Venture Capitalist (1980 to 1983)</w:t>
      </w:r>
    </w:p>
    <w:p>
      <w:pPr>
        <w:spacing w:after="0" w:line="44" w:lineRule="exact"/>
        <w:rPr>
          <w:sz w:val="20"/>
          <w:szCs w:val="20"/>
          <w:color w:val="auto"/>
        </w:rPr>
      </w:pPr>
    </w:p>
    <w:p>
      <w:pPr>
        <w:ind w:left="100" w:right="840"/>
        <w:spacing w:after="0" w:line="261" w:lineRule="auto"/>
        <w:rPr>
          <w:sz w:val="20"/>
          <w:szCs w:val="20"/>
          <w:color w:val="auto"/>
        </w:rPr>
      </w:pPr>
      <w:r>
        <w:rPr>
          <w:rFonts w:ascii="Arial" w:cs="Arial" w:eastAsia="Arial" w:hAnsi="Arial"/>
          <w:sz w:val="16"/>
          <w:szCs w:val="16"/>
          <w:b w:val="1"/>
          <w:bCs w:val="1"/>
          <w:color w:val="auto"/>
        </w:rPr>
        <w:t>McKinsey &amp; Co.</w:t>
      </w:r>
      <w:r>
        <w:rPr>
          <w:rFonts w:ascii="Arial" w:cs="Arial" w:eastAsia="Arial" w:hAnsi="Arial"/>
          <w:sz w:val="16"/>
          <w:szCs w:val="16"/>
          <w:color w:val="auto"/>
        </w:rPr>
        <w:t>, a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consulting firm</w:t>
      </w:r>
    </w:p>
    <w:p>
      <w:pPr>
        <w:spacing w:after="0" w:line="34" w:lineRule="exact"/>
        <w:rPr>
          <w:sz w:val="20"/>
          <w:szCs w:val="20"/>
          <w:color w:val="auto"/>
        </w:rPr>
      </w:pPr>
    </w:p>
    <w:p>
      <w:pPr>
        <w:ind w:left="260" w:hanging="156"/>
        <w:spacing w:after="0"/>
        <w:tabs>
          <w:tab w:leader="none" w:pos="260" w:val="left"/>
        </w:tabs>
        <w:numPr>
          <w:ilvl w:val="0"/>
          <w:numId w:val="19"/>
        </w:numPr>
        <w:rPr>
          <w:rFonts w:ascii="Arial" w:cs="Arial" w:eastAsia="Arial" w:hAnsi="Arial"/>
          <w:sz w:val="16"/>
          <w:szCs w:val="16"/>
          <w:color w:val="62259D"/>
        </w:rPr>
      </w:pPr>
      <w:r>
        <w:rPr>
          <w:rFonts w:ascii="Arial" w:cs="Arial" w:eastAsia="Arial" w:hAnsi="Arial"/>
          <w:sz w:val="16"/>
          <w:szCs w:val="16"/>
          <w:color w:val="auto"/>
        </w:rPr>
        <w:t>Associate (1978 to 1980)</w:t>
      </w:r>
    </w:p>
    <w:p>
      <w:pPr>
        <w:spacing w:after="0" w:line="43" w:lineRule="exact"/>
        <w:rPr>
          <w:rFonts w:ascii="Arial" w:cs="Arial" w:eastAsia="Arial" w:hAnsi="Arial"/>
          <w:sz w:val="16"/>
          <w:szCs w:val="16"/>
          <w:color w:val="62259D"/>
        </w:rPr>
      </w:pPr>
    </w:p>
    <w:p>
      <w:pPr>
        <w:ind w:left="100"/>
        <w:spacing w:after="0"/>
        <w:rPr>
          <w:rFonts w:ascii="Arial" w:cs="Arial" w:eastAsia="Arial" w:hAnsi="Arial"/>
          <w:sz w:val="16"/>
          <w:szCs w:val="16"/>
          <w:color w:val="62259D"/>
        </w:rPr>
      </w:pPr>
      <w:r>
        <w:rPr>
          <w:rFonts w:ascii="Arial" w:cs="Arial" w:eastAsia="Arial" w:hAnsi="Arial"/>
          <w:sz w:val="16"/>
          <w:szCs w:val="16"/>
          <w:b w:val="1"/>
          <w:bCs w:val="1"/>
          <w:color w:val="auto"/>
        </w:rPr>
        <w:t>U.S. Army</w:t>
      </w:r>
    </w:p>
    <w:p>
      <w:pPr>
        <w:spacing w:after="0" w:line="61" w:lineRule="exact"/>
        <w:rPr>
          <w:rFonts w:ascii="Arial" w:cs="Arial" w:eastAsia="Arial" w:hAnsi="Arial"/>
          <w:sz w:val="16"/>
          <w:szCs w:val="16"/>
          <w:color w:val="62259D"/>
        </w:rPr>
      </w:pPr>
    </w:p>
    <w:p>
      <w:pPr>
        <w:ind w:left="260" w:hanging="156"/>
        <w:spacing w:after="0"/>
        <w:tabs>
          <w:tab w:leader="none" w:pos="260" w:val="left"/>
        </w:tabs>
        <w:numPr>
          <w:ilvl w:val="0"/>
          <w:numId w:val="19"/>
        </w:numPr>
        <w:rPr>
          <w:rFonts w:ascii="Arial" w:cs="Arial" w:eastAsia="Arial" w:hAnsi="Arial"/>
          <w:sz w:val="16"/>
          <w:szCs w:val="16"/>
          <w:color w:val="62259D"/>
        </w:rPr>
      </w:pPr>
      <w:r>
        <w:rPr>
          <w:rFonts w:ascii="Arial" w:cs="Arial" w:eastAsia="Arial" w:hAnsi="Arial"/>
          <w:sz w:val="16"/>
          <w:szCs w:val="16"/>
          <w:color w:val="auto"/>
        </w:rPr>
        <w:t>Captain (1970)</w:t>
      </w:r>
    </w:p>
    <w:p>
      <w:pPr>
        <w:spacing w:after="0" w:line="8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62259D"/>
        </w:rPr>
        <w:t>BOARD SERVICE</w:t>
      </w:r>
    </w:p>
    <w:p>
      <w:pPr>
        <w:spacing w:after="0" w:line="61" w:lineRule="exact"/>
        <w:rPr>
          <w:sz w:val="20"/>
          <w:szCs w:val="20"/>
          <w:color w:val="auto"/>
        </w:rPr>
      </w:pPr>
    </w:p>
    <w:p>
      <w:pPr>
        <w:ind w:left="260" w:right="160" w:hanging="156"/>
        <w:spacing w:after="0" w:line="259" w:lineRule="auto"/>
        <w:tabs>
          <w:tab w:leader="none" w:pos="260" w:val="left"/>
        </w:tabs>
        <w:numPr>
          <w:ilvl w:val="0"/>
          <w:numId w:val="20"/>
        </w:numPr>
        <w:rPr>
          <w:rFonts w:ascii="Arial" w:cs="Arial" w:eastAsia="Arial" w:hAnsi="Arial"/>
          <w:sz w:val="16"/>
          <w:szCs w:val="16"/>
          <w:color w:val="62259D"/>
        </w:rPr>
      </w:pPr>
      <w:r>
        <w:rPr>
          <w:rFonts w:ascii="Arial" w:cs="Arial" w:eastAsia="Arial" w:hAnsi="Arial"/>
          <w:sz w:val="16"/>
          <w:szCs w:val="16"/>
          <w:color w:val="auto"/>
        </w:rPr>
        <w:t>Served as a director for many private and public companies over the last 30 years</w:t>
      </w:r>
    </w:p>
    <w:p>
      <w:pPr>
        <w:spacing w:after="0" w:line="20" w:lineRule="exact"/>
        <w:rPr>
          <w:sz w:val="20"/>
          <w:szCs w:val="20"/>
          <w:color w:val="auto"/>
        </w:rPr>
      </w:pPr>
      <w:r>
        <w:rPr>
          <w:sz w:val="20"/>
          <w:szCs w:val="20"/>
          <w:color w:val="auto"/>
        </w:rPr>
        <w:br w:type="column"/>
      </w:r>
    </w:p>
    <w:p>
      <w:pPr>
        <w:spacing w:after="0"/>
        <w:tabs>
          <w:tab w:leader="none" w:pos="3180" w:val="left"/>
        </w:tabs>
        <w:rPr>
          <w:sz w:val="20"/>
          <w:szCs w:val="20"/>
          <w:color w:val="auto"/>
        </w:rPr>
      </w:pPr>
      <w:r>
        <w:rPr>
          <w:rFonts w:ascii="Arial" w:cs="Arial" w:eastAsia="Arial" w:hAnsi="Arial"/>
          <w:sz w:val="16"/>
          <w:szCs w:val="16"/>
          <w:b w:val="1"/>
          <w:bCs w:val="1"/>
          <w:color w:val="62259D"/>
        </w:rPr>
        <w:t>EDUCATION</w:t>
      </w:r>
      <w:r>
        <w:rPr>
          <w:sz w:val="20"/>
          <w:szCs w:val="20"/>
          <w:color w:val="auto"/>
        </w:rPr>
        <w:tab/>
      </w:r>
      <w:r>
        <w:rPr>
          <w:rFonts w:ascii="Arial" w:cs="Arial" w:eastAsia="Arial" w:hAnsi="Arial"/>
          <w:sz w:val="16"/>
          <w:szCs w:val="16"/>
          <w:color w:val="auto"/>
        </w:rPr>
        <w:t>​</w:t>
      </w:r>
    </w:p>
    <w:p>
      <w:pPr>
        <w:spacing w:after="0" w:line="61" w:lineRule="exact"/>
        <w:rPr>
          <w:sz w:val="20"/>
          <w:szCs w:val="20"/>
          <w:color w:val="auto"/>
        </w:rPr>
      </w:pPr>
    </w:p>
    <w:p>
      <w:pPr>
        <w:ind w:left="160" w:right="219" w:hanging="154"/>
        <w:spacing w:after="0" w:line="259" w:lineRule="auto"/>
        <w:tabs>
          <w:tab w:leader="none" w:pos="160" w:val="left"/>
        </w:tabs>
        <w:numPr>
          <w:ilvl w:val="0"/>
          <w:numId w:val="21"/>
        </w:numPr>
        <w:rPr>
          <w:rFonts w:ascii="Arial" w:cs="Arial" w:eastAsia="Arial" w:hAnsi="Arial"/>
          <w:sz w:val="16"/>
          <w:szCs w:val="16"/>
          <w:color w:val="62259D"/>
        </w:rPr>
      </w:pPr>
      <w:r>
        <w:rPr>
          <w:rFonts w:ascii="Arial" w:cs="Arial" w:eastAsia="Arial" w:hAnsi="Arial"/>
          <w:sz w:val="16"/>
          <w:szCs w:val="16"/>
          <w:color w:val="auto"/>
        </w:rPr>
        <w:t>Elected a Rhodes Scholar from California (1974)</w:t>
      </w:r>
    </w:p>
    <w:p>
      <w:pPr>
        <w:spacing w:after="0" w:line="34" w:lineRule="exact"/>
        <w:rPr>
          <w:rFonts w:ascii="Arial" w:cs="Arial" w:eastAsia="Arial" w:hAnsi="Arial"/>
          <w:sz w:val="16"/>
          <w:szCs w:val="16"/>
          <w:color w:val="62259D"/>
        </w:rPr>
      </w:pPr>
    </w:p>
    <w:p>
      <w:pPr>
        <w:ind w:left="160" w:hanging="154"/>
        <w:spacing w:after="0"/>
        <w:tabs>
          <w:tab w:leader="none" w:pos="160" w:val="left"/>
        </w:tabs>
        <w:numPr>
          <w:ilvl w:val="0"/>
          <w:numId w:val="21"/>
        </w:numPr>
        <w:rPr>
          <w:rFonts w:ascii="Arial" w:cs="Arial" w:eastAsia="Arial" w:hAnsi="Arial"/>
          <w:sz w:val="16"/>
          <w:szCs w:val="16"/>
          <w:color w:val="62259D"/>
        </w:rPr>
      </w:pPr>
      <w:r>
        <w:rPr>
          <w:rFonts w:ascii="Arial" w:cs="Arial" w:eastAsia="Arial" w:hAnsi="Arial"/>
          <w:sz w:val="16"/>
          <w:szCs w:val="16"/>
          <w:color w:val="auto"/>
        </w:rPr>
        <w:t>J.D., University of Virginia School of Law</w:t>
      </w:r>
    </w:p>
    <w:p>
      <w:pPr>
        <w:spacing w:after="0" w:line="72" w:lineRule="exact"/>
        <w:rPr>
          <w:rFonts w:ascii="Arial" w:cs="Arial" w:eastAsia="Arial" w:hAnsi="Arial"/>
          <w:sz w:val="16"/>
          <w:szCs w:val="16"/>
          <w:color w:val="62259D"/>
        </w:rPr>
      </w:pPr>
    </w:p>
    <w:p>
      <w:pPr>
        <w:ind w:left="160" w:hanging="154"/>
        <w:spacing w:after="0"/>
        <w:tabs>
          <w:tab w:leader="none" w:pos="160" w:val="left"/>
        </w:tabs>
        <w:numPr>
          <w:ilvl w:val="0"/>
          <w:numId w:val="21"/>
        </w:numPr>
        <w:rPr>
          <w:rFonts w:ascii="Arial" w:cs="Arial" w:eastAsia="Arial" w:hAnsi="Arial"/>
          <w:sz w:val="16"/>
          <w:szCs w:val="16"/>
          <w:color w:val="62259D"/>
        </w:rPr>
      </w:pPr>
      <w:r>
        <w:rPr>
          <w:rFonts w:ascii="Arial" w:cs="Arial" w:eastAsia="Arial" w:hAnsi="Arial"/>
          <w:sz w:val="16"/>
          <w:szCs w:val="16"/>
          <w:color w:val="auto"/>
        </w:rPr>
        <w:t>Master’s degree, Oxford University</w:t>
      </w:r>
    </w:p>
    <w:p>
      <w:pPr>
        <w:spacing w:after="0" w:line="59" w:lineRule="exact"/>
        <w:rPr>
          <w:rFonts w:ascii="Arial" w:cs="Arial" w:eastAsia="Arial" w:hAnsi="Arial"/>
          <w:sz w:val="16"/>
          <w:szCs w:val="16"/>
          <w:color w:val="62259D"/>
        </w:rPr>
      </w:pPr>
    </w:p>
    <w:p>
      <w:pPr>
        <w:ind w:left="160" w:hanging="154"/>
        <w:spacing w:after="0"/>
        <w:tabs>
          <w:tab w:leader="none" w:pos="160" w:val="left"/>
        </w:tabs>
        <w:numPr>
          <w:ilvl w:val="0"/>
          <w:numId w:val="21"/>
        </w:numPr>
        <w:rPr>
          <w:rFonts w:ascii="Arial" w:cs="Arial" w:eastAsia="Arial" w:hAnsi="Arial"/>
          <w:sz w:val="16"/>
          <w:szCs w:val="16"/>
          <w:color w:val="62259D"/>
        </w:rPr>
      </w:pPr>
      <w:r>
        <w:rPr>
          <w:rFonts w:ascii="Arial" w:cs="Arial" w:eastAsia="Arial" w:hAnsi="Arial"/>
          <w:sz w:val="16"/>
          <w:szCs w:val="16"/>
          <w:color w:val="auto"/>
        </w:rPr>
        <w:t>B.A., Harvard College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62259D"/>
        </w:rPr>
        <w:t>SKILLS AND EXPERTISE</w:t>
      </w:r>
    </w:p>
    <w:p>
      <w:pPr>
        <w:spacing w:after="0" w:line="34" w:lineRule="exact"/>
        <w:rPr>
          <w:sz w:val="20"/>
          <w:szCs w:val="20"/>
          <w:color w:val="auto"/>
        </w:rPr>
      </w:pPr>
    </w:p>
    <w:p>
      <w:pPr>
        <w:ind w:right="639"/>
        <w:spacing w:after="0" w:line="238" w:lineRule="auto"/>
        <w:rPr>
          <w:sz w:val="20"/>
          <w:szCs w:val="20"/>
          <w:color w:val="auto"/>
        </w:rPr>
      </w:pPr>
      <w:r>
        <w:rPr>
          <w:rFonts w:ascii="Arial" w:cs="Arial" w:eastAsia="Arial" w:hAnsi="Arial"/>
          <w:sz w:val="16"/>
          <w:szCs w:val="16"/>
          <w:color w:val="auto"/>
        </w:rPr>
        <w:t>We believe Mr. Grayson is qualified to serve on the Board based on his</w:t>
      </w:r>
    </w:p>
    <w:p>
      <w:pPr>
        <w:jc w:val="both"/>
        <w:ind w:right="319"/>
        <w:spacing w:after="0" w:line="220" w:lineRule="auto"/>
        <w:rPr>
          <w:sz w:val="20"/>
          <w:szCs w:val="20"/>
          <w:color w:val="auto"/>
        </w:rPr>
      </w:pPr>
      <w:r>
        <w:rPr>
          <w:rFonts w:ascii="Arial" w:cs="Arial" w:eastAsia="Arial" w:hAnsi="Arial"/>
          <w:sz w:val="16"/>
          <w:szCs w:val="16"/>
          <w:color w:val="auto"/>
        </w:rPr>
        <w:t>knowledge of the data communication and software industries, his investment</w:t>
      </w:r>
    </w:p>
    <w:p>
      <w:pPr>
        <w:jc w:val="both"/>
        <w:ind w:right="319"/>
        <w:spacing w:after="0" w:line="236" w:lineRule="auto"/>
        <w:rPr>
          <w:sz w:val="20"/>
          <w:szCs w:val="20"/>
          <w:color w:val="auto"/>
        </w:rPr>
      </w:pPr>
      <w:r>
        <w:rPr>
          <w:rFonts w:ascii="Arial" w:cs="Arial" w:eastAsia="Arial" w:hAnsi="Arial"/>
          <w:sz w:val="16"/>
          <w:szCs w:val="16"/>
          <w:color w:val="auto"/>
        </w:rPr>
        <w:t>experience as a Managing Partner at ABS Ventures, and his experience as a director of various public companies.</w:t>
      </w:r>
    </w:p>
    <w:p>
      <w:pPr>
        <w:spacing w:after="0" w:line="256" w:lineRule="exact"/>
        <w:rPr>
          <w:sz w:val="20"/>
          <w:szCs w:val="20"/>
          <w:color w:val="auto"/>
        </w:rPr>
      </w:pPr>
    </w:p>
    <w:p>
      <w:pPr>
        <w:sectPr>
          <w:pgSz w:w="11900" w:h="16838" w:orient="portrait"/>
          <w:cols w:equalWidth="0" w:num="3">
            <w:col w:w="2660" w:space="320"/>
            <w:col w:w="3440" w:space="60"/>
            <w:col w:w="3399"/>
          </w:cols>
          <w:pgMar w:left="580" w:top="97" w:right="1440" w:bottom="1440" w:gutter="0" w:footer="0" w:header="0"/>
          <w:type w:val="continuous"/>
        </w:sectPr>
      </w:pPr>
    </w:p>
    <w:p>
      <w:pPr>
        <w:spacing w:after="0" w:line="20" w:lineRule="exact"/>
        <w:rPr>
          <w:sz w:val="20"/>
          <w:szCs w:val="20"/>
          <w:color w:val="auto"/>
        </w:rPr>
      </w:pPr>
    </w:p>
    <w:p>
      <w:pPr>
        <w:ind w:left="9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-4445</wp:posOffset>
            </wp:positionV>
            <wp:extent cx="56235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10</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18" w:lineRule="exact"/>
        <w:rPr>
          <w:sz w:val="20"/>
          <w:szCs w:val="20"/>
          <w:color w:val="auto"/>
        </w:rPr>
      </w:pPr>
    </w:p>
    <w:p>
      <w:pPr>
        <w:ind w:left="980"/>
        <w:spacing w:after="0"/>
        <w:tabs>
          <w:tab w:leader="none" w:pos="27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-107315</wp:posOffset>
            </wp:positionV>
            <wp:extent cx="1088390" cy="10883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88390" cy="10883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8"/>
        </w:trPr>
        <w:tc>
          <w:tcPr>
            <w:tcW w:w="3360" w:type="dxa"/>
            <w:vAlign w:val="bottom"/>
            <w:vMerge w:val="restart"/>
            <w:shd w:val="clear" w:color="auto" w:fill="E7417A"/>
          </w:tcPr>
          <w:p>
            <w:pPr>
              <w:spacing w:after="0"/>
              <w:rPr>
                <w:sz w:val="20"/>
                <w:szCs w:val="20"/>
                <w:color w:val="auto"/>
              </w:rPr>
            </w:pPr>
            <w:r>
              <w:rPr>
                <w:rFonts w:ascii="Arial" w:cs="Arial" w:eastAsia="Arial" w:hAnsi="Arial"/>
                <w:sz w:val="15"/>
                <w:szCs w:val="15"/>
                <w:b w:val="1"/>
                <w:bCs w:val="1"/>
                <w:color w:val="FEFEFE"/>
              </w:rPr>
              <w:t xml:space="preserve">​  </w:t>
            </w:r>
            <w:r>
              <w:rPr>
                <w:rFonts w:ascii="Arial" w:cs="Arial" w:eastAsia="Arial" w:hAnsi="Arial"/>
                <w:sz w:val="25"/>
                <w:szCs w:val="25"/>
                <w:b w:val="1"/>
                <w:bCs w:val="1"/>
                <w:color w:val="FEFEFE"/>
              </w:rPr>
              <w:t>BEATRIZ V. INFANTE</w:t>
            </w:r>
            <w:r>
              <w:rPr>
                <w:rFonts w:ascii="Arial" w:cs="Arial" w:eastAsia="Arial" w:hAnsi="Arial"/>
                <w:sz w:val="15"/>
                <w:szCs w:val="15"/>
                <w:b w:val="1"/>
                <w:bCs w:val="1"/>
                <w:color w:val="FEFEFE"/>
              </w:rPr>
              <w:t xml:space="preserve"> ​</w:t>
            </w:r>
          </w:p>
        </w:tc>
        <w:tc>
          <w:tcPr>
            <w:tcW w:w="940" w:type="dxa"/>
            <w:vAlign w:val="bottom"/>
            <w:shd w:val="clear" w:color="auto" w:fill="E7417A"/>
          </w:tcPr>
          <w:p>
            <w:pPr>
              <w:spacing w:after="0"/>
              <w:rPr>
                <w:sz w:val="24"/>
                <w:szCs w:val="24"/>
                <w:color w:val="auto"/>
              </w:rPr>
            </w:pPr>
          </w:p>
        </w:tc>
        <w:tc>
          <w:tcPr>
            <w:tcW w:w="2500" w:type="dxa"/>
            <w:vAlign w:val="bottom"/>
            <w:shd w:val="clear" w:color="auto" w:fill="E7417A"/>
          </w:tcPr>
          <w:p>
            <w:pPr>
              <w:ind w:left="540"/>
              <w:spacing w:after="0"/>
              <w:rPr>
                <w:sz w:val="20"/>
                <w:szCs w:val="20"/>
                <w:color w:val="auto"/>
              </w:rPr>
            </w:pPr>
            <w:r>
              <w:rPr>
                <w:rFonts w:ascii="Arial" w:cs="Arial" w:eastAsia="Arial" w:hAnsi="Arial"/>
                <w:sz w:val="15"/>
                <w:szCs w:val="15"/>
                <w:b w:val="1"/>
                <w:bCs w:val="1"/>
                <w:color w:val="FEFEFE"/>
              </w:rPr>
              <w:t>Independent Director</w:t>
            </w:r>
          </w:p>
        </w:tc>
        <w:tc>
          <w:tcPr>
            <w:tcW w:w="0" w:type="dxa"/>
            <w:vAlign w:val="bottom"/>
          </w:tcPr>
          <w:p>
            <w:pPr>
              <w:spacing w:after="0"/>
              <w:rPr>
                <w:sz w:val="1"/>
                <w:szCs w:val="1"/>
                <w:color w:val="auto"/>
              </w:rPr>
            </w:pPr>
          </w:p>
        </w:tc>
      </w:tr>
      <w:tr>
        <w:trPr>
          <w:trHeight w:val="216"/>
        </w:trPr>
        <w:tc>
          <w:tcPr>
            <w:tcW w:w="3360" w:type="dxa"/>
            <w:vAlign w:val="bottom"/>
            <w:vMerge w:val="continue"/>
            <w:shd w:val="clear" w:color="auto" w:fill="E7417A"/>
          </w:tcPr>
          <w:p>
            <w:pPr>
              <w:spacing w:after="0"/>
              <w:rPr>
                <w:sz w:val="18"/>
                <w:szCs w:val="18"/>
                <w:color w:val="auto"/>
              </w:rPr>
            </w:pPr>
          </w:p>
        </w:tc>
        <w:tc>
          <w:tcPr>
            <w:tcW w:w="940" w:type="dxa"/>
            <w:vAlign w:val="bottom"/>
            <w:shd w:val="clear" w:color="auto" w:fill="E7417A"/>
          </w:tcPr>
          <w:p>
            <w:pPr>
              <w:ind w:left="340"/>
              <w:spacing w:after="0"/>
              <w:rPr>
                <w:sz w:val="20"/>
                <w:szCs w:val="20"/>
                <w:color w:val="auto"/>
              </w:rPr>
            </w:pPr>
            <w:r>
              <w:rPr>
                <w:rFonts w:ascii="Arial" w:cs="Arial" w:eastAsia="Arial" w:hAnsi="Arial"/>
                <w:sz w:val="15"/>
                <w:szCs w:val="15"/>
                <w:b w:val="1"/>
                <w:bCs w:val="1"/>
                <w:color w:val="FEFEFE"/>
              </w:rPr>
              <w:t>​</w:t>
            </w:r>
          </w:p>
        </w:tc>
        <w:tc>
          <w:tcPr>
            <w:tcW w:w="2500" w:type="dxa"/>
            <w:vAlign w:val="bottom"/>
            <w:shd w:val="clear" w:color="auto" w:fill="E7417A"/>
          </w:tcPr>
          <w:p>
            <w:pPr>
              <w:jc w:val="center"/>
              <w:ind w:left="904"/>
              <w:spacing w:after="0"/>
              <w:rPr>
                <w:sz w:val="20"/>
                <w:szCs w:val="20"/>
                <w:color w:val="auto"/>
              </w:rPr>
            </w:pPr>
            <w:r>
              <w:rPr>
                <w:rFonts w:ascii="Arial" w:cs="Arial" w:eastAsia="Arial" w:hAnsi="Arial"/>
                <w:sz w:val="15"/>
                <w:szCs w:val="15"/>
                <w:b w:val="1"/>
                <w:bCs w:val="1"/>
                <w:color w:val="FEFEFE"/>
              </w:rPr>
              <w:t>Director since​</w:t>
            </w:r>
          </w:p>
        </w:tc>
        <w:tc>
          <w:tcPr>
            <w:tcW w:w="0" w:type="dxa"/>
            <w:vAlign w:val="bottom"/>
          </w:tcPr>
          <w:p>
            <w:pPr>
              <w:spacing w:after="0"/>
              <w:rPr>
                <w:sz w:val="1"/>
                <w:szCs w:val="1"/>
                <w:color w:val="auto"/>
              </w:rPr>
            </w:pPr>
          </w:p>
        </w:tc>
      </w:tr>
      <w:tr>
        <w:trPr>
          <w:trHeight w:val="210"/>
        </w:trPr>
        <w:tc>
          <w:tcPr>
            <w:tcW w:w="3360" w:type="dxa"/>
            <w:vAlign w:val="bottom"/>
            <w:shd w:val="clear" w:color="auto" w:fill="E7417A"/>
          </w:tcPr>
          <w:p>
            <w:pPr>
              <w:spacing w:after="0"/>
              <w:rPr>
                <w:sz w:val="18"/>
                <w:szCs w:val="18"/>
                <w:color w:val="auto"/>
              </w:rPr>
            </w:pPr>
          </w:p>
        </w:tc>
        <w:tc>
          <w:tcPr>
            <w:tcW w:w="940" w:type="dxa"/>
            <w:vAlign w:val="bottom"/>
            <w:shd w:val="clear" w:color="auto" w:fill="E7417A"/>
          </w:tcPr>
          <w:p>
            <w:pPr>
              <w:spacing w:after="0"/>
              <w:rPr>
                <w:sz w:val="18"/>
                <w:szCs w:val="18"/>
                <w:color w:val="auto"/>
              </w:rPr>
            </w:pPr>
          </w:p>
        </w:tc>
        <w:tc>
          <w:tcPr>
            <w:tcW w:w="2500" w:type="dxa"/>
            <w:vAlign w:val="bottom"/>
            <w:shd w:val="clear" w:color="auto" w:fill="E7417A"/>
          </w:tcPr>
          <w:p>
            <w:pPr>
              <w:jc w:val="center"/>
              <w:ind w:left="924"/>
              <w:spacing w:after="0"/>
              <w:rPr>
                <w:sz w:val="20"/>
                <w:szCs w:val="20"/>
                <w:color w:val="auto"/>
              </w:rPr>
            </w:pPr>
            <w:r>
              <w:rPr>
                <w:rFonts w:ascii="Arial" w:cs="Arial" w:eastAsia="Arial" w:hAnsi="Arial"/>
                <w:sz w:val="15"/>
                <w:szCs w:val="15"/>
                <w:b w:val="1"/>
                <w:bCs w:val="1"/>
                <w:color w:val="FEFEFE"/>
              </w:rPr>
              <w:t>October 2017</w:t>
            </w:r>
          </w:p>
        </w:tc>
        <w:tc>
          <w:tcPr>
            <w:tcW w:w="0" w:type="dxa"/>
            <w:vAlign w:val="bottom"/>
          </w:tcPr>
          <w:p>
            <w:pPr>
              <w:spacing w:after="0"/>
              <w:rPr>
                <w:sz w:val="1"/>
                <w:szCs w:val="1"/>
                <w:color w:val="auto"/>
              </w:rPr>
            </w:pPr>
          </w:p>
        </w:tc>
      </w:tr>
      <w:tr>
        <w:trPr>
          <w:trHeight w:val="66"/>
        </w:trPr>
        <w:tc>
          <w:tcPr>
            <w:tcW w:w="3360" w:type="dxa"/>
            <w:vAlign w:val="bottom"/>
            <w:shd w:val="clear" w:color="auto" w:fill="E7417A"/>
          </w:tcPr>
          <w:p>
            <w:pPr>
              <w:spacing w:after="0"/>
              <w:rPr>
                <w:sz w:val="5"/>
                <w:szCs w:val="5"/>
                <w:color w:val="auto"/>
              </w:rPr>
            </w:pPr>
          </w:p>
        </w:tc>
        <w:tc>
          <w:tcPr>
            <w:tcW w:w="940" w:type="dxa"/>
            <w:vAlign w:val="bottom"/>
            <w:shd w:val="clear" w:color="auto" w:fill="E7417A"/>
          </w:tcPr>
          <w:p>
            <w:pPr>
              <w:spacing w:after="0"/>
              <w:rPr>
                <w:sz w:val="5"/>
                <w:szCs w:val="5"/>
                <w:color w:val="auto"/>
              </w:rPr>
            </w:pPr>
          </w:p>
        </w:tc>
        <w:tc>
          <w:tcPr>
            <w:tcW w:w="2500" w:type="dxa"/>
            <w:vAlign w:val="bottom"/>
            <w:shd w:val="clear" w:color="auto" w:fill="E7417A"/>
          </w:tcPr>
          <w:p>
            <w:pPr>
              <w:spacing w:after="0"/>
              <w:rPr>
                <w:sz w:val="5"/>
                <w:szCs w:val="5"/>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sectPr>
          <w:pgSz w:w="11900" w:h="16838" w:orient="portrait"/>
          <w:cols w:equalWidth="0" w:num="2">
            <w:col w:w="2800" w:space="180"/>
            <w:col w:w="68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71</w:t>
      </w:r>
    </w:p>
    <w:p>
      <w:pPr>
        <w:spacing w:after="0" w:line="100"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COMMITTEES</w:t>
      </w:r>
    </w:p>
    <w:p>
      <w:pPr>
        <w:spacing w:after="0" w:line="73" w:lineRule="exact"/>
        <w:rPr>
          <w:sz w:val="20"/>
          <w:szCs w:val="20"/>
          <w:color w:val="auto"/>
        </w:rPr>
      </w:pPr>
    </w:p>
    <w:p>
      <w:pPr>
        <w:ind w:left="1200" w:hanging="168"/>
        <w:spacing w:after="0" w:line="248" w:lineRule="auto"/>
        <w:tabs>
          <w:tab w:leader="none" w:pos="1200" w:val="left"/>
        </w:tabs>
        <w:numPr>
          <w:ilvl w:val="0"/>
          <w:numId w:val="22"/>
        </w:numPr>
        <w:rPr>
          <w:rFonts w:ascii="Arial" w:cs="Arial" w:eastAsia="Arial" w:hAnsi="Arial"/>
          <w:sz w:val="16"/>
          <w:szCs w:val="16"/>
          <w:color w:val="62259D"/>
        </w:rPr>
      </w:pPr>
      <w:r>
        <w:rPr>
          <w:rFonts w:ascii="Arial" w:cs="Arial" w:eastAsia="Arial" w:hAnsi="Arial"/>
          <w:sz w:val="16"/>
          <w:szCs w:val="16"/>
          <w:color w:val="auto"/>
        </w:rPr>
        <w:t>Audit (Audit Committee Financial Expert)</w:t>
      </w:r>
    </w:p>
    <w:p>
      <w:pPr>
        <w:spacing w:after="0" w:line="50" w:lineRule="exact"/>
        <w:rPr>
          <w:rFonts w:ascii="Arial" w:cs="Arial" w:eastAsia="Arial" w:hAnsi="Arial"/>
          <w:sz w:val="16"/>
          <w:szCs w:val="16"/>
          <w:color w:val="62259D"/>
        </w:rPr>
      </w:pPr>
    </w:p>
    <w:p>
      <w:pPr>
        <w:ind w:left="1200" w:right="440" w:hanging="168"/>
        <w:spacing w:after="0" w:line="286" w:lineRule="auto"/>
        <w:tabs>
          <w:tab w:leader="none" w:pos="1200" w:val="left"/>
        </w:tabs>
        <w:numPr>
          <w:ilvl w:val="0"/>
          <w:numId w:val="22"/>
        </w:numPr>
        <w:rPr>
          <w:rFonts w:ascii="Arial" w:cs="Arial" w:eastAsia="Arial" w:hAnsi="Arial"/>
          <w:sz w:val="16"/>
          <w:szCs w:val="16"/>
          <w:color w:val="62259D"/>
        </w:rPr>
      </w:pPr>
      <w:r>
        <w:rPr>
          <w:rFonts w:ascii="Arial" w:cs="Arial" w:eastAsia="Arial" w:hAnsi="Arial"/>
          <w:sz w:val="16"/>
          <w:szCs w:val="16"/>
          <w:color w:val="auto"/>
        </w:rPr>
        <w:t>Compensation (Chair)</w:t>
      </w:r>
    </w:p>
    <w:p>
      <w:pPr>
        <w:spacing w:after="0" w:line="20" w:lineRule="exact"/>
        <w:rPr>
          <w:rFonts w:ascii="Arial" w:cs="Arial" w:eastAsia="Arial" w:hAnsi="Arial"/>
          <w:sz w:val="16"/>
          <w:szCs w:val="16"/>
          <w:color w:val="62259D"/>
        </w:rPr>
      </w:pPr>
    </w:p>
    <w:p>
      <w:pPr>
        <w:ind w:left="1200" w:right="360" w:hanging="168"/>
        <w:spacing w:after="0" w:line="268" w:lineRule="auto"/>
        <w:tabs>
          <w:tab w:leader="none" w:pos="1200" w:val="left"/>
        </w:tabs>
        <w:numPr>
          <w:ilvl w:val="0"/>
          <w:numId w:val="22"/>
        </w:numPr>
        <w:rPr>
          <w:rFonts w:ascii="Arial" w:cs="Arial" w:eastAsia="Arial" w:hAnsi="Arial"/>
          <w:sz w:val="16"/>
          <w:szCs w:val="16"/>
          <w:color w:val="62259D"/>
        </w:rPr>
      </w:pPr>
      <w:r>
        <w:rPr>
          <w:rFonts w:ascii="Arial" w:cs="Arial" w:eastAsia="Arial" w:hAnsi="Arial"/>
          <w:sz w:val="16"/>
          <w:szCs w:val="16"/>
          <w:color w:val="auto"/>
        </w:rPr>
        <w:t>Technology and Innovation</w:t>
      </w:r>
    </w:p>
    <w:p>
      <w:pPr>
        <w:spacing w:after="0" w:line="20" w:lineRule="exact"/>
        <w:rPr>
          <w:sz w:val="20"/>
          <w:szCs w:val="20"/>
          <w:color w:val="auto"/>
        </w:rPr>
      </w:pPr>
      <w:r>
        <w:rPr>
          <w:sz w:val="20"/>
          <w:szCs w:val="20"/>
          <w:color w:val="auto"/>
        </w:rPr>
        <w:br w:type="column"/>
      </w:r>
    </w:p>
    <w:p>
      <w:pPr>
        <w:ind w:left="104" w:right="20" w:hanging="104"/>
        <w:spacing w:after="0" w:line="259" w:lineRule="auto"/>
        <w:tabs>
          <w:tab w:leader="none" w:pos="104"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62259D"/>
        </w:rPr>
        <w:t xml:space="preserve">BACKGROUND </w:t>
      </w:r>
      <w:r>
        <w:rPr>
          <w:rFonts w:ascii="Arial" w:cs="Arial" w:eastAsia="Arial" w:hAnsi="Arial"/>
          <w:sz w:val="16"/>
          <w:szCs w:val="16"/>
          <w:b w:val="1"/>
          <w:bCs w:val="1"/>
          <w:color w:val="000000"/>
        </w:rPr>
        <w:t>BusinessExcelleration LLC</w:t>
      </w:r>
      <w:r>
        <w:rPr>
          <w:rFonts w:ascii="Arial" w:cs="Arial" w:eastAsia="Arial" w:hAnsi="Arial"/>
          <w:sz w:val="16"/>
          <w:szCs w:val="16"/>
          <w:color w:val="000000"/>
        </w:rPr>
        <w:t>, a business</w:t>
      </w:r>
      <w:r>
        <w:rPr>
          <w:rFonts w:ascii="Arial" w:cs="Arial" w:eastAsia="Arial" w:hAnsi="Arial"/>
          <w:sz w:val="16"/>
          <w:szCs w:val="16"/>
          <w:b w:val="1"/>
          <w:bCs w:val="1"/>
          <w:color w:val="000000"/>
        </w:rPr>
        <w:t xml:space="preserve"> </w:t>
      </w:r>
      <w:r>
        <w:rPr>
          <w:rFonts w:ascii="Arial" w:cs="Arial" w:eastAsia="Arial" w:hAnsi="Arial"/>
          <w:sz w:val="16"/>
          <w:szCs w:val="16"/>
          <w:color w:val="000000"/>
        </w:rPr>
        <w:t>consultancy specializing in corporate transformation and renewal</w:t>
      </w:r>
    </w:p>
    <w:p>
      <w:pPr>
        <w:spacing w:after="0" w:line="230" w:lineRule="exact"/>
        <w:rPr>
          <w:sz w:val="20"/>
          <w:szCs w:val="20"/>
          <w:color w:val="auto"/>
        </w:rPr>
      </w:pPr>
    </w:p>
    <w:p>
      <w:pPr>
        <w:ind w:left="264" w:hanging="156"/>
        <w:spacing w:after="0"/>
        <w:tabs>
          <w:tab w:leader="none" w:pos="264" w:val="left"/>
        </w:tabs>
        <w:numPr>
          <w:ilvl w:val="0"/>
          <w:numId w:val="24"/>
        </w:numPr>
        <w:rPr>
          <w:rFonts w:ascii="Arial" w:cs="Arial" w:eastAsia="Arial" w:hAnsi="Arial"/>
          <w:sz w:val="16"/>
          <w:szCs w:val="16"/>
          <w:color w:val="62259D"/>
        </w:rPr>
      </w:pPr>
      <w:r>
        <w:rPr>
          <w:rFonts w:ascii="Arial" w:cs="Arial" w:eastAsia="Arial" w:hAnsi="Arial"/>
          <w:sz w:val="16"/>
          <w:szCs w:val="16"/>
          <w:color w:val="auto"/>
        </w:rPr>
        <w:t>Chief Executive Officer (2009 to present)</w:t>
      </w:r>
    </w:p>
    <w:p>
      <w:pPr>
        <w:spacing w:after="0" w:line="57" w:lineRule="exact"/>
        <w:rPr>
          <w:sz w:val="20"/>
          <w:szCs w:val="20"/>
          <w:color w:val="auto"/>
        </w:rPr>
      </w:pPr>
    </w:p>
    <w:p>
      <w:pPr>
        <w:ind w:left="104" w:right="140"/>
        <w:spacing w:after="0" w:line="261" w:lineRule="auto"/>
        <w:rPr>
          <w:sz w:val="20"/>
          <w:szCs w:val="20"/>
          <w:color w:val="auto"/>
        </w:rPr>
      </w:pPr>
      <w:r>
        <w:rPr>
          <w:rFonts w:ascii="Arial" w:cs="Arial" w:eastAsia="Arial" w:hAnsi="Arial"/>
          <w:sz w:val="16"/>
          <w:szCs w:val="16"/>
          <w:b w:val="1"/>
          <w:bCs w:val="1"/>
          <w:color w:val="auto"/>
        </w:rPr>
        <w:t>ENXSUITE Corporation</w:t>
      </w:r>
      <w:r>
        <w:rPr>
          <w:rFonts w:ascii="Arial" w:cs="Arial" w:eastAsia="Arial" w:hAnsi="Arial"/>
          <w:sz w:val="16"/>
          <w:szCs w:val="16"/>
          <w:color w:val="auto"/>
        </w:rPr>
        <w:t>, a leading</w:t>
      </w:r>
      <w:r>
        <w:rPr>
          <w:rFonts w:ascii="Arial" w:cs="Arial" w:eastAsia="Arial" w:hAnsi="Arial"/>
          <w:sz w:val="16"/>
          <w:szCs w:val="16"/>
          <w:b w:val="1"/>
          <w:bCs w:val="1"/>
          <w:color w:val="auto"/>
        </w:rPr>
        <w:t xml:space="preserve"> </w:t>
      </w:r>
      <w:r>
        <w:rPr>
          <w:rFonts w:ascii="Arial" w:cs="Arial" w:eastAsia="Arial" w:hAnsi="Arial"/>
          <w:sz w:val="16"/>
          <w:szCs w:val="16"/>
          <w:color w:val="auto"/>
        </w:rPr>
        <w:t>supplier of energy management solutions</w:t>
      </w:r>
    </w:p>
    <w:p>
      <w:pPr>
        <w:spacing w:after="0" w:line="34" w:lineRule="exact"/>
        <w:rPr>
          <w:sz w:val="20"/>
          <w:szCs w:val="20"/>
          <w:color w:val="auto"/>
        </w:rPr>
      </w:pPr>
    </w:p>
    <w:p>
      <w:pPr>
        <w:ind w:left="264" w:right="280" w:hanging="156"/>
        <w:spacing w:after="0" w:line="241" w:lineRule="auto"/>
        <w:tabs>
          <w:tab w:leader="none" w:pos="264" w:val="left"/>
        </w:tabs>
        <w:numPr>
          <w:ilvl w:val="0"/>
          <w:numId w:val="25"/>
        </w:numPr>
        <w:rPr>
          <w:rFonts w:ascii="Arial" w:cs="Arial" w:eastAsia="Arial" w:hAnsi="Arial"/>
          <w:sz w:val="16"/>
          <w:szCs w:val="16"/>
          <w:color w:val="62259D"/>
        </w:rPr>
      </w:pPr>
      <w:r>
        <w:rPr>
          <w:rFonts w:ascii="Arial" w:cs="Arial" w:eastAsia="Arial" w:hAnsi="Arial"/>
          <w:sz w:val="16"/>
          <w:szCs w:val="16"/>
          <w:color w:val="auto"/>
        </w:rPr>
        <w:t>Chief Executive Officer (2010 until its acquisition by Infor in 2011)</w:t>
      </w:r>
    </w:p>
    <w:p>
      <w:pPr>
        <w:spacing w:after="0" w:line="33" w:lineRule="exact"/>
        <w:rPr>
          <w:sz w:val="20"/>
          <w:szCs w:val="20"/>
          <w:color w:val="auto"/>
        </w:rPr>
      </w:pPr>
    </w:p>
    <w:p>
      <w:pPr>
        <w:ind w:left="104" w:right="280"/>
        <w:spacing w:after="0" w:line="261" w:lineRule="auto"/>
        <w:rPr>
          <w:sz w:val="20"/>
          <w:szCs w:val="20"/>
          <w:color w:val="auto"/>
        </w:rPr>
      </w:pPr>
      <w:r>
        <w:rPr>
          <w:rFonts w:ascii="Arial" w:cs="Arial" w:eastAsia="Arial" w:hAnsi="Arial"/>
          <w:sz w:val="16"/>
          <w:szCs w:val="16"/>
          <w:b w:val="1"/>
          <w:bCs w:val="1"/>
          <w:color w:val="auto"/>
        </w:rPr>
        <w:t>VoiceObjects Inc.</w:t>
      </w:r>
      <w:r>
        <w:rPr>
          <w:rFonts w:ascii="Arial" w:cs="Arial" w:eastAsia="Arial" w:hAnsi="Arial"/>
          <w:sz w:val="16"/>
          <w:szCs w:val="16"/>
          <w:color w:val="auto"/>
        </w:rPr>
        <w:t>, a market leader in</w:t>
      </w:r>
      <w:r>
        <w:rPr>
          <w:rFonts w:ascii="Arial" w:cs="Arial" w:eastAsia="Arial" w:hAnsi="Arial"/>
          <w:sz w:val="16"/>
          <w:szCs w:val="16"/>
          <w:b w:val="1"/>
          <w:bCs w:val="1"/>
          <w:color w:val="auto"/>
        </w:rPr>
        <w:t xml:space="preserve"> </w:t>
      </w:r>
      <w:r>
        <w:rPr>
          <w:rFonts w:ascii="Arial" w:cs="Arial" w:eastAsia="Arial" w:hAnsi="Arial"/>
          <w:sz w:val="16"/>
          <w:szCs w:val="16"/>
          <w:color w:val="auto"/>
        </w:rPr>
        <w:t>voice applications servers</w:t>
      </w:r>
    </w:p>
    <w:p>
      <w:pPr>
        <w:spacing w:after="0" w:line="34" w:lineRule="exact"/>
        <w:rPr>
          <w:sz w:val="20"/>
          <w:szCs w:val="20"/>
          <w:color w:val="auto"/>
        </w:rPr>
      </w:pPr>
    </w:p>
    <w:p>
      <w:pPr>
        <w:ind w:left="264" w:right="280" w:hanging="156"/>
        <w:spacing w:after="0" w:line="236" w:lineRule="auto"/>
        <w:tabs>
          <w:tab w:leader="none" w:pos="264" w:val="left"/>
        </w:tabs>
        <w:numPr>
          <w:ilvl w:val="0"/>
          <w:numId w:val="26"/>
        </w:numPr>
        <w:rPr>
          <w:rFonts w:ascii="Arial" w:cs="Arial" w:eastAsia="Arial" w:hAnsi="Arial"/>
          <w:sz w:val="16"/>
          <w:szCs w:val="16"/>
          <w:color w:val="62259D"/>
        </w:rPr>
      </w:pPr>
      <w:r>
        <w:rPr>
          <w:rFonts w:ascii="Arial" w:cs="Arial" w:eastAsia="Arial" w:hAnsi="Arial"/>
          <w:sz w:val="16"/>
          <w:szCs w:val="16"/>
          <w:color w:val="auto"/>
        </w:rPr>
        <w:t>Chief Executive Officer (2006 until its acquisition by Voxeo Corporation in 2008)</w:t>
      </w:r>
    </w:p>
    <w:p>
      <w:pPr>
        <w:spacing w:after="0" w:line="36" w:lineRule="exact"/>
        <w:rPr>
          <w:sz w:val="20"/>
          <w:szCs w:val="20"/>
          <w:color w:val="auto"/>
        </w:rPr>
      </w:pPr>
    </w:p>
    <w:p>
      <w:pPr>
        <w:ind w:left="104" w:right="180"/>
        <w:spacing w:after="0" w:line="261" w:lineRule="auto"/>
        <w:rPr>
          <w:sz w:val="20"/>
          <w:szCs w:val="20"/>
          <w:color w:val="auto"/>
        </w:rPr>
      </w:pPr>
      <w:r>
        <w:rPr>
          <w:rFonts w:ascii="Arial" w:cs="Arial" w:eastAsia="Arial" w:hAnsi="Arial"/>
          <w:sz w:val="16"/>
          <w:szCs w:val="16"/>
          <w:b w:val="1"/>
          <w:bCs w:val="1"/>
          <w:color w:val="auto"/>
        </w:rPr>
        <w:t>Sychron Inc.</w:t>
      </w:r>
      <w:r>
        <w:rPr>
          <w:rFonts w:ascii="Arial" w:cs="Arial" w:eastAsia="Arial" w:hAnsi="Arial"/>
          <w:sz w:val="16"/>
          <w:szCs w:val="16"/>
          <w:color w:val="auto"/>
        </w:rPr>
        <w:t>, a data center automation</w:t>
      </w:r>
      <w:r>
        <w:rPr>
          <w:rFonts w:ascii="Arial" w:cs="Arial" w:eastAsia="Arial" w:hAnsi="Arial"/>
          <w:sz w:val="16"/>
          <w:szCs w:val="16"/>
          <w:b w:val="1"/>
          <w:bCs w:val="1"/>
          <w:color w:val="auto"/>
        </w:rPr>
        <w:t xml:space="preserve"> </w:t>
      </w:r>
      <w:r>
        <w:rPr>
          <w:rFonts w:ascii="Arial" w:cs="Arial" w:eastAsia="Arial" w:hAnsi="Arial"/>
          <w:sz w:val="16"/>
          <w:szCs w:val="16"/>
          <w:color w:val="auto"/>
        </w:rPr>
        <w:t>company</w:t>
      </w:r>
    </w:p>
    <w:p>
      <w:pPr>
        <w:spacing w:after="0" w:line="34" w:lineRule="exact"/>
        <w:rPr>
          <w:sz w:val="20"/>
          <w:szCs w:val="20"/>
          <w:color w:val="auto"/>
        </w:rPr>
      </w:pPr>
    </w:p>
    <w:p>
      <w:pPr>
        <w:ind w:left="264" w:right="100" w:hanging="156"/>
        <w:spacing w:after="0" w:line="241" w:lineRule="auto"/>
        <w:tabs>
          <w:tab w:leader="none" w:pos="264" w:val="left"/>
        </w:tabs>
        <w:numPr>
          <w:ilvl w:val="0"/>
          <w:numId w:val="27"/>
        </w:numPr>
        <w:rPr>
          <w:rFonts w:ascii="Arial" w:cs="Arial" w:eastAsia="Arial" w:hAnsi="Arial"/>
          <w:sz w:val="16"/>
          <w:szCs w:val="16"/>
          <w:color w:val="62259D"/>
        </w:rPr>
      </w:pPr>
      <w:r>
        <w:rPr>
          <w:rFonts w:ascii="Arial" w:cs="Arial" w:eastAsia="Arial" w:hAnsi="Arial"/>
          <w:sz w:val="16"/>
          <w:szCs w:val="16"/>
          <w:color w:val="auto"/>
        </w:rPr>
        <w:t>Interim Chief Executive Officer (2004 to 2005)</w:t>
      </w:r>
    </w:p>
    <w:p>
      <w:pPr>
        <w:spacing w:after="0" w:line="33" w:lineRule="exact"/>
        <w:rPr>
          <w:sz w:val="20"/>
          <w:szCs w:val="20"/>
          <w:color w:val="auto"/>
        </w:rPr>
      </w:pPr>
    </w:p>
    <w:p>
      <w:pPr>
        <w:ind w:left="104"/>
        <w:spacing w:after="0"/>
        <w:rPr>
          <w:sz w:val="20"/>
          <w:szCs w:val="20"/>
          <w:color w:val="auto"/>
        </w:rPr>
      </w:pPr>
      <w:r>
        <w:rPr>
          <w:rFonts w:ascii="Arial" w:cs="Arial" w:eastAsia="Arial" w:hAnsi="Arial"/>
          <w:sz w:val="16"/>
          <w:szCs w:val="16"/>
          <w:b w:val="1"/>
          <w:bCs w:val="1"/>
          <w:color w:val="auto"/>
        </w:rPr>
        <w:t>Aspect Communications Corporation</w:t>
      </w:r>
      <w:r>
        <w:rPr>
          <w:rFonts w:ascii="Arial" w:cs="Arial" w:eastAsia="Arial" w:hAnsi="Arial"/>
          <w:sz w:val="16"/>
          <w:szCs w:val="16"/>
          <w:color w:val="auto"/>
        </w:rPr>
        <w:t>,</w:t>
      </w:r>
    </w:p>
    <w:p>
      <w:pPr>
        <w:spacing w:after="0" w:line="8" w:lineRule="exact"/>
        <w:rPr>
          <w:sz w:val="20"/>
          <w:szCs w:val="20"/>
          <w:color w:val="auto"/>
        </w:rPr>
      </w:pPr>
    </w:p>
    <w:p>
      <w:pPr>
        <w:ind w:left="104" w:right="600"/>
        <w:spacing w:after="0" w:line="241" w:lineRule="auto"/>
        <w:rPr>
          <w:sz w:val="20"/>
          <w:szCs w:val="20"/>
          <w:color w:val="auto"/>
        </w:rPr>
      </w:pPr>
      <w:r>
        <w:rPr>
          <w:rFonts w:ascii="Arial" w:cs="Arial" w:eastAsia="Arial" w:hAnsi="Arial"/>
          <w:sz w:val="16"/>
          <w:szCs w:val="16"/>
          <w:color w:val="auto"/>
        </w:rPr>
        <w:t>a market leader in communications solutions</w:t>
      </w:r>
    </w:p>
    <w:p>
      <w:pPr>
        <w:spacing w:after="0" w:line="48" w:lineRule="exact"/>
        <w:rPr>
          <w:sz w:val="20"/>
          <w:szCs w:val="20"/>
          <w:color w:val="auto"/>
        </w:rPr>
      </w:pPr>
    </w:p>
    <w:p>
      <w:pPr>
        <w:ind w:left="264" w:right="280" w:hanging="156"/>
        <w:spacing w:after="0" w:line="241" w:lineRule="auto"/>
        <w:tabs>
          <w:tab w:leader="none" w:pos="264" w:val="left"/>
        </w:tabs>
        <w:numPr>
          <w:ilvl w:val="0"/>
          <w:numId w:val="28"/>
        </w:numPr>
        <w:rPr>
          <w:rFonts w:ascii="Arial" w:cs="Arial" w:eastAsia="Arial" w:hAnsi="Arial"/>
          <w:sz w:val="16"/>
          <w:szCs w:val="16"/>
          <w:color w:val="62259D"/>
        </w:rPr>
      </w:pPr>
      <w:r>
        <w:rPr>
          <w:rFonts w:ascii="Arial" w:cs="Arial" w:eastAsia="Arial" w:hAnsi="Arial"/>
          <w:sz w:val="16"/>
          <w:szCs w:val="16"/>
          <w:color w:val="auto"/>
        </w:rPr>
        <w:t>Chief Executive Officer (April 2000 to October 2003)</w:t>
      </w:r>
    </w:p>
    <w:p>
      <w:pPr>
        <w:spacing w:after="0" w:line="48" w:lineRule="exact"/>
        <w:rPr>
          <w:rFonts w:ascii="Arial" w:cs="Arial" w:eastAsia="Arial" w:hAnsi="Arial"/>
          <w:sz w:val="16"/>
          <w:szCs w:val="16"/>
          <w:color w:val="62259D"/>
        </w:rPr>
      </w:pPr>
    </w:p>
    <w:p>
      <w:pPr>
        <w:ind w:left="264" w:right="60" w:hanging="156"/>
        <w:spacing w:after="0" w:line="259" w:lineRule="auto"/>
        <w:tabs>
          <w:tab w:leader="none" w:pos="264" w:val="left"/>
        </w:tabs>
        <w:numPr>
          <w:ilvl w:val="0"/>
          <w:numId w:val="28"/>
        </w:numPr>
        <w:rPr>
          <w:rFonts w:ascii="Arial" w:cs="Arial" w:eastAsia="Arial" w:hAnsi="Arial"/>
          <w:sz w:val="16"/>
          <w:szCs w:val="16"/>
          <w:color w:val="62259D"/>
        </w:rPr>
      </w:pPr>
      <w:r>
        <w:rPr>
          <w:rFonts w:ascii="Arial" w:cs="Arial" w:eastAsia="Arial" w:hAnsi="Arial"/>
          <w:sz w:val="16"/>
          <w:szCs w:val="16"/>
          <w:color w:val="auto"/>
        </w:rPr>
        <w:t>President and additional executive roles (October 1998 to April 2000)</w:t>
      </w:r>
    </w:p>
    <w:p>
      <w:pPr>
        <w:spacing w:after="0" w:line="20" w:lineRule="exact"/>
        <w:rPr>
          <w:sz w:val="20"/>
          <w:szCs w:val="20"/>
          <w:color w:val="auto"/>
        </w:rPr>
      </w:pPr>
      <w:r>
        <w:rPr>
          <w:sz w:val="20"/>
          <w:szCs w:val="20"/>
          <w:color w:val="auto"/>
        </w:rPr>
        <w:br w:type="column"/>
      </w:r>
    </w:p>
    <w:p>
      <w:pPr>
        <w:spacing w:after="0"/>
        <w:tabs>
          <w:tab w:leader="none" w:pos="3380" w:val="left"/>
        </w:tabs>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62259D"/>
        </w:rPr>
        <w:t>BOARD SERVICE (cont’d)</w:t>
      </w:r>
      <w:r>
        <w:rPr>
          <w:sz w:val="20"/>
          <w:szCs w:val="20"/>
          <w:color w:val="auto"/>
        </w:rPr>
        <w:tab/>
      </w:r>
      <w:r>
        <w:rPr>
          <w:rFonts w:ascii="Arial" w:cs="Arial" w:eastAsia="Arial" w:hAnsi="Arial"/>
          <w:sz w:val="16"/>
          <w:szCs w:val="16"/>
          <w:color w:val="auto"/>
        </w:rPr>
        <w:t>​</w:t>
      </w:r>
    </w:p>
    <w:p>
      <w:pPr>
        <w:spacing w:after="0" w:line="59" w:lineRule="exact"/>
        <w:rPr>
          <w:sz w:val="20"/>
          <w:szCs w:val="20"/>
          <w:color w:val="auto"/>
        </w:rPr>
      </w:pPr>
    </w:p>
    <w:p>
      <w:pPr>
        <w:ind w:left="360" w:right="599" w:hanging="154"/>
        <w:spacing w:after="0" w:line="235" w:lineRule="auto"/>
        <w:tabs>
          <w:tab w:leader="none" w:pos="360" w:val="left"/>
        </w:tabs>
        <w:numPr>
          <w:ilvl w:val="0"/>
          <w:numId w:val="29"/>
        </w:numPr>
        <w:rPr>
          <w:rFonts w:ascii="Arial" w:cs="Arial" w:eastAsia="Arial" w:hAnsi="Arial"/>
          <w:sz w:val="16"/>
          <w:szCs w:val="16"/>
          <w:color w:val="62259D"/>
        </w:rPr>
      </w:pPr>
      <w:r>
        <w:rPr>
          <w:rFonts w:ascii="Arial" w:cs="Arial" w:eastAsia="Arial" w:hAnsi="Arial"/>
          <w:sz w:val="16"/>
          <w:szCs w:val="16"/>
          <w:b w:val="1"/>
          <w:bCs w:val="1"/>
          <w:color w:val="auto"/>
        </w:rPr>
        <w:t>Liquidity Services Inc.</w:t>
      </w:r>
      <w:r>
        <w:rPr>
          <w:rFonts w:ascii="Arial" w:cs="Arial" w:eastAsia="Arial" w:hAnsi="Arial"/>
          <w:sz w:val="16"/>
          <w:szCs w:val="16"/>
          <w:color w:val="auto"/>
        </w:rPr>
        <w:t>, Lead</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Director, Chair of the Compensation Committee and Audit Committee member</w:t>
      </w:r>
    </w:p>
    <w:p>
      <w:pPr>
        <w:spacing w:after="0" w:line="50" w:lineRule="exact"/>
        <w:rPr>
          <w:rFonts w:ascii="Arial" w:cs="Arial" w:eastAsia="Arial" w:hAnsi="Arial"/>
          <w:sz w:val="16"/>
          <w:szCs w:val="16"/>
          <w:color w:val="62259D"/>
        </w:rPr>
      </w:pPr>
    </w:p>
    <w:p>
      <w:pPr>
        <w:ind w:left="360" w:right="259" w:hanging="154"/>
        <w:spacing w:after="0" w:line="244" w:lineRule="auto"/>
        <w:tabs>
          <w:tab w:leader="none" w:pos="360" w:val="left"/>
        </w:tabs>
        <w:numPr>
          <w:ilvl w:val="0"/>
          <w:numId w:val="29"/>
        </w:numPr>
        <w:rPr>
          <w:rFonts w:ascii="Arial" w:cs="Arial" w:eastAsia="Arial" w:hAnsi="Arial"/>
          <w:sz w:val="16"/>
          <w:szCs w:val="16"/>
          <w:color w:val="62259D"/>
        </w:rPr>
      </w:pPr>
      <w:r>
        <w:rPr>
          <w:rFonts w:ascii="Arial" w:cs="Arial" w:eastAsia="Arial" w:hAnsi="Arial"/>
          <w:sz w:val="16"/>
          <w:szCs w:val="16"/>
          <w:color w:val="auto"/>
        </w:rPr>
        <w:t>Previously served as a director at a number of other public and privately held companies</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2259D"/>
        </w:rPr>
        <w:t>EDUCATION</w:t>
      </w:r>
    </w:p>
    <w:p>
      <w:pPr>
        <w:spacing w:after="0" w:line="61" w:lineRule="exact"/>
        <w:rPr>
          <w:sz w:val="20"/>
          <w:szCs w:val="20"/>
          <w:color w:val="auto"/>
        </w:rPr>
      </w:pPr>
    </w:p>
    <w:p>
      <w:pPr>
        <w:ind w:left="360" w:right="579" w:hanging="154"/>
        <w:spacing w:after="0" w:line="259" w:lineRule="auto"/>
        <w:tabs>
          <w:tab w:leader="none" w:pos="360" w:val="left"/>
        </w:tabs>
        <w:numPr>
          <w:ilvl w:val="0"/>
          <w:numId w:val="30"/>
        </w:numPr>
        <w:rPr>
          <w:rFonts w:ascii="Arial" w:cs="Arial" w:eastAsia="Arial" w:hAnsi="Arial"/>
          <w:sz w:val="16"/>
          <w:szCs w:val="16"/>
          <w:color w:val="62259D"/>
        </w:rPr>
      </w:pPr>
      <w:r>
        <w:rPr>
          <w:rFonts w:ascii="Arial" w:cs="Arial" w:eastAsia="Arial" w:hAnsi="Arial"/>
          <w:sz w:val="16"/>
          <w:szCs w:val="16"/>
          <w:color w:val="auto"/>
        </w:rPr>
        <w:t>Master of Science degree, California Institute of Technology</w:t>
      </w:r>
    </w:p>
    <w:p>
      <w:pPr>
        <w:spacing w:after="0" w:line="34" w:lineRule="exact"/>
        <w:rPr>
          <w:rFonts w:ascii="Arial" w:cs="Arial" w:eastAsia="Arial" w:hAnsi="Arial"/>
          <w:sz w:val="16"/>
          <w:szCs w:val="16"/>
          <w:color w:val="62259D"/>
        </w:rPr>
      </w:pPr>
    </w:p>
    <w:p>
      <w:pPr>
        <w:ind w:left="360" w:right="339" w:hanging="154"/>
        <w:spacing w:after="0" w:line="259" w:lineRule="auto"/>
        <w:tabs>
          <w:tab w:leader="none" w:pos="360" w:val="left"/>
        </w:tabs>
        <w:numPr>
          <w:ilvl w:val="0"/>
          <w:numId w:val="30"/>
        </w:numPr>
        <w:rPr>
          <w:rFonts w:ascii="Arial" w:cs="Arial" w:eastAsia="Arial" w:hAnsi="Arial"/>
          <w:sz w:val="16"/>
          <w:szCs w:val="16"/>
          <w:color w:val="62259D"/>
        </w:rPr>
      </w:pPr>
      <w:r>
        <w:rPr>
          <w:rFonts w:ascii="Arial" w:cs="Arial" w:eastAsia="Arial" w:hAnsi="Arial"/>
          <w:sz w:val="16"/>
          <w:szCs w:val="16"/>
          <w:color w:val="auto"/>
        </w:rPr>
        <w:t>B.S. and Engineering degree, Princeton University</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2259D"/>
        </w:rPr>
        <w:t>SKILLS AND EXPERTISE</w:t>
      </w:r>
    </w:p>
    <w:p>
      <w:pPr>
        <w:spacing w:after="0" w:line="34" w:lineRule="exact"/>
        <w:rPr>
          <w:sz w:val="20"/>
          <w:szCs w:val="20"/>
          <w:color w:val="auto"/>
        </w:rPr>
      </w:pPr>
    </w:p>
    <w:p>
      <w:pPr>
        <w:ind w:left="200" w:right="259"/>
        <w:spacing w:after="0" w:line="238" w:lineRule="auto"/>
        <w:rPr>
          <w:sz w:val="20"/>
          <w:szCs w:val="20"/>
          <w:color w:val="auto"/>
        </w:rPr>
      </w:pPr>
      <w:r>
        <w:rPr>
          <w:rFonts w:ascii="Arial" w:cs="Arial" w:eastAsia="Arial" w:hAnsi="Arial"/>
          <w:sz w:val="16"/>
          <w:szCs w:val="16"/>
          <w:color w:val="auto"/>
        </w:rPr>
        <w:t>We believe Ms. Infante is qualified to serve on the Board due to her executive</w:t>
      </w:r>
    </w:p>
    <w:p>
      <w:pPr>
        <w:ind w:left="200" w:right="299"/>
        <w:spacing w:after="0" w:line="220" w:lineRule="auto"/>
        <w:rPr>
          <w:sz w:val="20"/>
          <w:szCs w:val="20"/>
          <w:color w:val="auto"/>
        </w:rPr>
      </w:pPr>
      <w:r>
        <w:rPr>
          <w:rFonts w:ascii="Arial" w:cs="Arial" w:eastAsia="Arial" w:hAnsi="Arial"/>
          <w:sz w:val="16"/>
          <w:szCs w:val="16"/>
          <w:color w:val="auto"/>
        </w:rPr>
        <w:t>leadership experience, including as a chief executive officer of various companies,</w:t>
      </w:r>
    </w:p>
    <w:p>
      <w:pPr>
        <w:jc w:val="both"/>
        <w:ind w:left="200" w:right="339"/>
        <w:spacing w:after="0" w:line="236" w:lineRule="auto"/>
        <w:rPr>
          <w:sz w:val="20"/>
          <w:szCs w:val="20"/>
          <w:color w:val="auto"/>
        </w:rPr>
      </w:pPr>
      <w:r>
        <w:rPr>
          <w:rFonts w:ascii="Arial" w:cs="Arial" w:eastAsia="Arial" w:hAnsi="Arial"/>
          <w:sz w:val="16"/>
          <w:szCs w:val="16"/>
          <w:color w:val="auto"/>
        </w:rPr>
        <w:t>along with extensive operational expertise and experience in engineering, sales, and marketing.</w:t>
      </w:r>
    </w:p>
    <w:p>
      <w:pPr>
        <w:spacing w:after="0" w:line="993" w:lineRule="exact"/>
        <w:rPr>
          <w:sz w:val="20"/>
          <w:szCs w:val="20"/>
          <w:color w:val="auto"/>
        </w:rPr>
      </w:pPr>
    </w:p>
    <w:p>
      <w:pPr>
        <w:sectPr>
          <w:pgSz w:w="11900" w:h="16838" w:orient="portrait"/>
          <w:cols w:equalWidth="0" w:num="3">
            <w:col w:w="2720" w:space="256"/>
            <w:col w:w="3244" w:space="60"/>
            <w:col w:w="35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62259D"/>
        </w:rPr>
        <w:t>BOARD SERVICE</w:t>
      </w:r>
    </w:p>
    <w:p>
      <w:pPr>
        <w:spacing w:after="0" w:line="59" w:lineRule="exact"/>
        <w:rPr>
          <w:sz w:val="20"/>
          <w:szCs w:val="20"/>
          <w:color w:val="auto"/>
        </w:rPr>
      </w:pPr>
    </w:p>
    <w:p>
      <w:pPr>
        <w:ind w:left="160" w:hanging="156"/>
        <w:spacing w:after="0"/>
        <w:tabs>
          <w:tab w:leader="none" w:pos="160" w:val="left"/>
        </w:tabs>
        <w:numPr>
          <w:ilvl w:val="0"/>
          <w:numId w:val="31"/>
        </w:numPr>
        <w:rPr>
          <w:rFonts w:ascii="Arial" w:cs="Arial" w:eastAsia="Arial" w:hAnsi="Arial"/>
          <w:sz w:val="16"/>
          <w:szCs w:val="16"/>
          <w:color w:val="62259D"/>
        </w:rPr>
      </w:pPr>
      <w:r>
        <w:rPr>
          <w:rFonts w:ascii="Arial" w:cs="Arial" w:eastAsia="Arial" w:hAnsi="Arial"/>
          <w:sz w:val="16"/>
          <w:szCs w:val="16"/>
          <w:color w:val="auto"/>
        </w:rPr>
        <w:t xml:space="preserve">Current </w:t>
      </w:r>
      <w:r>
        <w:rPr>
          <w:rFonts w:ascii="Arial" w:cs="Arial" w:eastAsia="Arial" w:hAnsi="Arial"/>
          <w:sz w:val="16"/>
          <w:szCs w:val="16"/>
          <w:b w:val="1"/>
          <w:bCs w:val="1"/>
          <w:color w:val="auto"/>
        </w:rPr>
        <w:t>National Association of</w:t>
      </w:r>
    </w:p>
    <w:p>
      <w:pPr>
        <w:spacing w:after="0" w:line="7" w:lineRule="exact"/>
        <w:rPr>
          <w:rFonts w:ascii="Arial" w:cs="Arial" w:eastAsia="Arial" w:hAnsi="Arial"/>
          <w:sz w:val="16"/>
          <w:szCs w:val="16"/>
          <w:color w:val="62259D"/>
        </w:rPr>
      </w:pPr>
    </w:p>
    <w:p>
      <w:pPr>
        <w:ind w:left="160" w:right="4459"/>
        <w:spacing w:after="0" w:line="236" w:lineRule="auto"/>
        <w:rPr>
          <w:rFonts w:ascii="Arial" w:cs="Arial" w:eastAsia="Arial" w:hAnsi="Arial"/>
          <w:sz w:val="16"/>
          <w:szCs w:val="16"/>
          <w:color w:val="62259D"/>
        </w:rPr>
      </w:pPr>
      <w:r>
        <w:rPr>
          <w:rFonts w:ascii="Arial" w:cs="Arial" w:eastAsia="Arial" w:hAnsi="Arial"/>
          <w:sz w:val="16"/>
          <w:szCs w:val="16"/>
          <w:b w:val="1"/>
          <w:bCs w:val="1"/>
          <w:color w:val="auto"/>
        </w:rPr>
        <w:t>Corporate Directors Board Leadership Fellow</w:t>
      </w:r>
    </w:p>
    <w:p>
      <w:pPr>
        <w:spacing w:after="0" w:line="40" w:lineRule="exact"/>
        <w:rPr>
          <w:rFonts w:ascii="Arial" w:cs="Arial" w:eastAsia="Arial" w:hAnsi="Arial"/>
          <w:sz w:val="16"/>
          <w:szCs w:val="16"/>
          <w:color w:val="62259D"/>
        </w:rPr>
      </w:pPr>
    </w:p>
    <w:p>
      <w:pPr>
        <w:jc w:val="both"/>
        <w:ind w:left="160" w:right="3919" w:hanging="156"/>
        <w:spacing w:after="0" w:line="245" w:lineRule="auto"/>
        <w:tabs>
          <w:tab w:leader="none" w:pos="160" w:val="left"/>
        </w:tabs>
        <w:numPr>
          <w:ilvl w:val="0"/>
          <w:numId w:val="31"/>
        </w:numPr>
        <w:rPr>
          <w:rFonts w:ascii="Arial" w:cs="Arial" w:eastAsia="Arial" w:hAnsi="Arial"/>
          <w:sz w:val="16"/>
          <w:szCs w:val="16"/>
          <w:color w:val="62259D"/>
        </w:rPr>
      </w:pPr>
      <w:r>
        <w:rPr>
          <w:rFonts w:ascii="Arial" w:cs="Arial" w:eastAsia="Arial" w:hAnsi="Arial"/>
          <w:sz w:val="16"/>
          <w:szCs w:val="16"/>
          <w:b w:val="1"/>
          <w:bCs w:val="1"/>
          <w:color w:val="auto"/>
        </w:rPr>
        <w:t>PriceSmart, Inc.</w:t>
      </w:r>
      <w:r>
        <w:rPr>
          <w:rFonts w:ascii="Arial" w:cs="Arial" w:eastAsia="Arial" w:hAnsi="Arial"/>
          <w:sz w:val="16"/>
          <w:szCs w:val="16"/>
          <w:color w:val="auto"/>
        </w:rPr>
        <w:t>, Chair of its Digital</w:t>
      </w:r>
      <w:r>
        <w:rPr>
          <w:rFonts w:ascii="Arial" w:cs="Arial" w:eastAsia="Arial" w:hAnsi="Arial"/>
          <w:sz w:val="16"/>
          <w:szCs w:val="16"/>
          <w:b w:val="1"/>
          <w:bCs w:val="1"/>
          <w:color w:val="auto"/>
        </w:rPr>
        <w:t xml:space="preserve"> </w:t>
      </w:r>
      <w:r>
        <w:rPr>
          <w:rFonts w:ascii="Arial" w:cs="Arial" w:eastAsia="Arial" w:hAnsi="Arial"/>
          <w:sz w:val="16"/>
          <w:szCs w:val="16"/>
          <w:color w:val="auto"/>
        </w:rPr>
        <w:t>Transformation Committee, and Audit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-1369695</wp:posOffset>
            </wp:positionH>
            <wp:positionV relativeFrom="paragraph">
              <wp:posOffset>137795</wp:posOffset>
            </wp:positionV>
            <wp:extent cx="56235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438" w:lineRule="exact"/>
        <w:rPr>
          <w:sz w:val="20"/>
          <w:szCs w:val="20"/>
          <w:color w:val="auto"/>
        </w:rPr>
      </w:pPr>
    </w:p>
    <w:p>
      <w:pPr>
        <w:sectPr>
          <w:pgSz w:w="11900" w:h="16838" w:orient="portrait"/>
          <w:cols w:equalWidth="0" w:num="2">
            <w:col w:w="2360" w:space="720"/>
            <w:col w:w="67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12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18" w:lineRule="exact"/>
        <w:rPr>
          <w:sz w:val="20"/>
          <w:szCs w:val="20"/>
          <w:color w:val="auto"/>
        </w:rPr>
      </w:pPr>
    </w:p>
    <w:tbl>
      <w:tblPr>
        <w:tblLayout w:type="fixed"/>
        <w:tblInd w:w="980" w:type="dxa"/>
        <w:tblCellMar>
          <w:top w:w="0" w:type="dxa"/>
          <w:left w:w="0" w:type="dxa"/>
          <w:bottom w:w="0" w:type="dxa"/>
          <w:right w:w="0" w:type="dxa"/>
        </w:tblCellMar>
      </w:tblPr>
      <w:tr>
        <w:trPr>
          <w:trHeight w:val="215"/>
        </w:trPr>
        <w:tc>
          <w:tcPr>
            <w:tcW w:w="920" w:type="dxa"/>
            <w:vAlign w:val="bottom"/>
          </w:tcPr>
          <w:p>
            <w:pPr>
              <w:spacing w:after="0"/>
              <w:rPr>
                <w:sz w:val="20"/>
                <w:szCs w:val="20"/>
                <w:color w:val="auto"/>
              </w:rPr>
            </w:pPr>
            <w:r>
              <w:rPr>
                <w:rFonts w:ascii="Arial" w:cs="Arial" w:eastAsia="Arial" w:hAnsi="Arial"/>
                <w:sz w:val="16"/>
                <w:szCs w:val="16"/>
                <w:color w:val="auto"/>
              </w:rPr>
              <w:t>​</w:t>
            </w:r>
          </w:p>
        </w:tc>
        <w:tc>
          <w:tcPr>
            <w:tcW w:w="3600" w:type="dxa"/>
            <w:vAlign w:val="bottom"/>
          </w:tcPr>
          <w:p>
            <w:pPr>
              <w:ind w:left="860"/>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18"/>
                <w:szCs w:val="18"/>
                <w:color w:val="auto"/>
              </w:rPr>
            </w:pPr>
          </w:p>
        </w:tc>
        <w:tc>
          <w:tcPr>
            <w:tcW w:w="2640" w:type="dxa"/>
            <w:vAlign w:val="bottom"/>
            <w:vMerge w:val="restart"/>
          </w:tcPr>
          <w:p>
            <w:pPr>
              <w:ind w:left="860"/>
              <w:spacing w:after="0"/>
              <w:rPr>
                <w:sz w:val="20"/>
                <w:szCs w:val="20"/>
                <w:color w:val="auto"/>
              </w:rPr>
            </w:pPr>
            <w:r>
              <w:rPr>
                <w:rFonts w:ascii="Arial" w:cs="Arial" w:eastAsia="Arial" w:hAnsi="Arial"/>
                <w:sz w:val="15"/>
                <w:szCs w:val="15"/>
                <w:b w:val="1"/>
                <w:bCs w:val="1"/>
                <w:color w:val="FEFEFE"/>
              </w:rPr>
              <w:t>Independent Director</w:t>
            </w:r>
          </w:p>
        </w:tc>
        <w:tc>
          <w:tcPr>
            <w:tcW w:w="0" w:type="dxa"/>
            <w:vAlign w:val="bottom"/>
          </w:tcPr>
          <w:p>
            <w:pPr>
              <w:spacing w:after="0"/>
              <w:rPr>
                <w:sz w:val="1"/>
                <w:szCs w:val="1"/>
                <w:color w:val="auto"/>
              </w:rPr>
            </w:pPr>
          </w:p>
        </w:tc>
      </w:tr>
      <w:tr>
        <w:trPr>
          <w:trHeight w:val="77"/>
        </w:trPr>
        <w:tc>
          <w:tcPr>
            <w:tcW w:w="920" w:type="dxa"/>
            <w:vAlign w:val="bottom"/>
          </w:tcPr>
          <w:p>
            <w:pPr>
              <w:spacing w:after="0"/>
              <w:rPr>
                <w:sz w:val="6"/>
                <w:szCs w:val="6"/>
                <w:color w:val="auto"/>
              </w:rPr>
            </w:pPr>
          </w:p>
        </w:tc>
        <w:tc>
          <w:tcPr>
            <w:tcW w:w="3600" w:type="dxa"/>
            <w:vAlign w:val="bottom"/>
            <w:vMerge w:val="restart"/>
          </w:tcPr>
          <w:p>
            <w:pPr>
              <w:ind w:left="1080"/>
              <w:spacing w:after="0"/>
              <w:rPr>
                <w:sz w:val="20"/>
                <w:szCs w:val="20"/>
                <w:color w:val="auto"/>
              </w:rPr>
            </w:pPr>
            <w:r>
              <w:rPr>
                <w:rFonts w:ascii="Arial" w:cs="Arial" w:eastAsia="Arial" w:hAnsi="Arial"/>
                <w:sz w:val="15"/>
                <w:szCs w:val="15"/>
                <w:b w:val="1"/>
                <w:bCs w:val="1"/>
                <w:color w:val="FEFEFE"/>
              </w:rPr>
              <w:t xml:space="preserve">​  </w:t>
            </w:r>
            <w:r>
              <w:rPr>
                <w:rFonts w:ascii="Arial" w:cs="Arial" w:eastAsia="Arial" w:hAnsi="Arial"/>
                <w:sz w:val="25"/>
                <w:szCs w:val="25"/>
                <w:b w:val="1"/>
                <w:bCs w:val="1"/>
                <w:color w:val="FEFEFE"/>
              </w:rPr>
              <w:t>SCOTT MAIR</w:t>
            </w:r>
            <w:r>
              <w:rPr>
                <w:rFonts w:ascii="Arial" w:cs="Arial" w:eastAsia="Arial" w:hAnsi="Arial"/>
                <w:sz w:val="15"/>
                <w:szCs w:val="15"/>
                <w:b w:val="1"/>
                <w:bCs w:val="1"/>
                <w:color w:val="FEFEFE"/>
              </w:rPr>
              <w:t xml:space="preserve"> ​</w:t>
            </w:r>
          </w:p>
        </w:tc>
        <w:tc>
          <w:tcPr>
            <w:tcW w:w="1460" w:type="dxa"/>
            <w:vAlign w:val="bottom"/>
          </w:tcPr>
          <w:p>
            <w:pPr>
              <w:spacing w:after="0"/>
              <w:rPr>
                <w:sz w:val="6"/>
                <w:szCs w:val="6"/>
                <w:color w:val="auto"/>
              </w:rPr>
            </w:pPr>
          </w:p>
        </w:tc>
        <w:tc>
          <w:tcPr>
            <w:tcW w:w="2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920" w:type="dxa"/>
            <w:vAlign w:val="bottom"/>
          </w:tcPr>
          <w:p>
            <w:pPr>
              <w:spacing w:after="0"/>
              <w:rPr>
                <w:sz w:val="20"/>
                <w:szCs w:val="20"/>
                <w:color w:val="auto"/>
              </w:rPr>
            </w:pPr>
          </w:p>
        </w:tc>
        <w:tc>
          <w:tcPr>
            <w:tcW w:w="3600" w:type="dxa"/>
            <w:vAlign w:val="bottom"/>
            <w:vMerge w:val="continue"/>
          </w:tcPr>
          <w:p>
            <w:pPr>
              <w:spacing w:after="0"/>
              <w:rPr>
                <w:sz w:val="20"/>
                <w:szCs w:val="20"/>
                <w:color w:val="auto"/>
              </w:rPr>
            </w:pPr>
          </w:p>
        </w:tc>
        <w:tc>
          <w:tcPr>
            <w:tcW w:w="1460" w:type="dxa"/>
            <w:vAlign w:val="bottom"/>
          </w:tcPr>
          <w:p>
            <w:pPr>
              <w:ind w:left="560"/>
              <w:spacing w:after="0"/>
              <w:rPr>
                <w:sz w:val="20"/>
                <w:szCs w:val="20"/>
                <w:color w:val="auto"/>
              </w:rPr>
            </w:pPr>
            <w:r>
              <w:rPr>
                <w:rFonts w:ascii="Arial" w:cs="Arial" w:eastAsia="Arial" w:hAnsi="Arial"/>
                <w:sz w:val="15"/>
                <w:szCs w:val="15"/>
                <w:b w:val="1"/>
                <w:bCs w:val="1"/>
                <w:color w:val="FEFEFE"/>
              </w:rPr>
              <w:t>​</w:t>
            </w:r>
          </w:p>
        </w:tc>
        <w:tc>
          <w:tcPr>
            <w:tcW w:w="2640" w:type="dxa"/>
            <w:vAlign w:val="bottom"/>
          </w:tcPr>
          <w:p>
            <w:pPr>
              <w:ind w:left="1480"/>
              <w:spacing w:after="0"/>
              <w:rPr>
                <w:sz w:val="20"/>
                <w:szCs w:val="20"/>
                <w:color w:val="auto"/>
              </w:rPr>
            </w:pPr>
            <w:r>
              <w:rPr>
                <w:rFonts w:ascii="Arial" w:cs="Arial" w:eastAsia="Arial" w:hAnsi="Arial"/>
                <w:sz w:val="15"/>
                <w:szCs w:val="15"/>
                <w:b w:val="1"/>
                <w:bCs w:val="1"/>
                <w:color w:val="FEFEFE"/>
              </w:rPr>
              <w:t>Director since​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-323215</wp:posOffset>
            </wp:positionV>
            <wp:extent cx="5546090" cy="10890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46090" cy="1089025"/>
                    </a:xfrm>
                    <a:prstGeom prst="rect">
                      <a:avLst/>
                    </a:prstGeom>
                    <a:noFill/>
                  </pic:spPr>
                </pic:pic>
              </a:graphicData>
            </a:graphic>
          </wp:anchor>
        </w:drawing>
      </w:r>
    </w:p>
    <w:p>
      <w:pPr>
        <w:ind w:left="8280"/>
        <w:spacing w:after="0"/>
        <w:rPr>
          <w:sz w:val="20"/>
          <w:szCs w:val="20"/>
          <w:color w:val="auto"/>
        </w:rPr>
      </w:pPr>
      <w:r>
        <w:rPr>
          <w:rFonts w:ascii="Arial" w:cs="Arial" w:eastAsia="Arial" w:hAnsi="Arial"/>
          <w:sz w:val="15"/>
          <w:szCs w:val="15"/>
          <w:b w:val="1"/>
          <w:bCs w:val="1"/>
          <w:color w:val="FEFEFE"/>
        </w:rPr>
        <w:t>September 2022</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64</w:t>
      </w:r>
    </w:p>
    <w:p>
      <w:pPr>
        <w:spacing w:after="0" w:line="100"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COMMITTEES</w:t>
      </w:r>
    </w:p>
    <w:p>
      <w:pPr>
        <w:spacing w:after="0" w:line="73" w:lineRule="exact"/>
        <w:rPr>
          <w:sz w:val="20"/>
          <w:szCs w:val="20"/>
          <w:color w:val="auto"/>
        </w:rPr>
      </w:pPr>
    </w:p>
    <w:p>
      <w:pPr>
        <w:ind w:left="1200" w:hanging="168"/>
        <w:spacing w:after="0"/>
        <w:tabs>
          <w:tab w:leader="none" w:pos="1200" w:val="left"/>
        </w:tabs>
        <w:numPr>
          <w:ilvl w:val="0"/>
          <w:numId w:val="32"/>
        </w:numPr>
        <w:rPr>
          <w:rFonts w:ascii="Arial" w:cs="Arial" w:eastAsia="Arial" w:hAnsi="Arial"/>
          <w:sz w:val="16"/>
          <w:szCs w:val="16"/>
          <w:color w:val="62259D"/>
        </w:rPr>
      </w:pPr>
      <w:r>
        <w:rPr>
          <w:rFonts w:ascii="Arial" w:cs="Arial" w:eastAsia="Arial" w:hAnsi="Arial"/>
          <w:sz w:val="16"/>
          <w:szCs w:val="16"/>
          <w:color w:val="auto"/>
        </w:rPr>
        <w:t>Audit</w:t>
      </w:r>
    </w:p>
    <w:p>
      <w:pPr>
        <w:spacing w:after="0" w:line="59" w:lineRule="exact"/>
        <w:rPr>
          <w:rFonts w:ascii="Arial" w:cs="Arial" w:eastAsia="Arial" w:hAnsi="Arial"/>
          <w:sz w:val="16"/>
          <w:szCs w:val="16"/>
          <w:color w:val="62259D"/>
        </w:rPr>
      </w:pPr>
    </w:p>
    <w:p>
      <w:pPr>
        <w:ind w:left="1200" w:hanging="168"/>
        <w:spacing w:after="0" w:line="286" w:lineRule="auto"/>
        <w:tabs>
          <w:tab w:leader="none" w:pos="1200" w:val="left"/>
        </w:tabs>
        <w:numPr>
          <w:ilvl w:val="0"/>
          <w:numId w:val="32"/>
        </w:numPr>
        <w:rPr>
          <w:rFonts w:ascii="Arial" w:cs="Arial" w:eastAsia="Arial" w:hAnsi="Arial"/>
          <w:sz w:val="16"/>
          <w:szCs w:val="16"/>
          <w:color w:val="62259D"/>
        </w:rPr>
      </w:pPr>
      <w:r>
        <w:rPr>
          <w:rFonts w:ascii="Arial" w:cs="Arial" w:eastAsia="Arial" w:hAnsi="Arial"/>
          <w:sz w:val="16"/>
          <w:szCs w:val="16"/>
          <w:color w:val="auto"/>
        </w:rPr>
        <w:t>Technology &amp; Innovation (Chair)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104" w:hanging="104"/>
        <w:spacing w:after="0"/>
        <w:tabs>
          <w:tab w:leader="none" w:pos="104"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62259D"/>
        </w:rPr>
        <w:t>BACKGROUND:</w:t>
      </w:r>
    </w:p>
    <w:p>
      <w:pPr>
        <w:spacing w:after="0" w:line="45" w:lineRule="exact"/>
        <w:rPr>
          <w:rFonts w:ascii="Arial" w:cs="Arial" w:eastAsia="Arial" w:hAnsi="Arial"/>
          <w:sz w:val="16"/>
          <w:szCs w:val="16"/>
          <w:color w:val="auto"/>
        </w:rPr>
      </w:pPr>
    </w:p>
    <w:p>
      <w:pPr>
        <w:ind w:left="104"/>
        <w:spacing w:after="0" w:line="237" w:lineRule="auto"/>
        <w:rPr>
          <w:rFonts w:ascii="Arial" w:cs="Arial" w:eastAsia="Arial" w:hAnsi="Arial"/>
          <w:sz w:val="16"/>
          <w:szCs w:val="16"/>
          <w:color w:val="auto"/>
        </w:rPr>
      </w:pPr>
      <w:r>
        <w:rPr>
          <w:rFonts w:ascii="Arial" w:cs="Arial" w:eastAsia="Arial" w:hAnsi="Arial"/>
          <w:sz w:val="16"/>
          <w:szCs w:val="16"/>
          <w:b w:val="1"/>
          <w:bCs w:val="1"/>
          <w:color w:val="auto"/>
        </w:rPr>
        <w:t>AT&amp;T</w:t>
      </w:r>
      <w:r>
        <w:rPr>
          <w:rFonts w:ascii="Arial" w:cs="Arial" w:eastAsia="Arial" w:hAnsi="Arial"/>
          <w:sz w:val="16"/>
          <w:szCs w:val="16"/>
          <w:color w:val="auto"/>
        </w:rPr>
        <w:t>, a leading provider of</w:t>
      </w:r>
      <w:r>
        <w:rPr>
          <w:rFonts w:ascii="Arial" w:cs="Arial" w:eastAsia="Arial" w:hAnsi="Arial"/>
          <w:sz w:val="16"/>
          <w:szCs w:val="16"/>
          <w:b w:val="1"/>
          <w:bCs w:val="1"/>
          <w:color w:val="auto"/>
        </w:rPr>
        <w:t xml:space="preserve"> </w:t>
      </w:r>
      <w:r>
        <w:rPr>
          <w:rFonts w:ascii="Arial" w:cs="Arial" w:eastAsia="Arial" w:hAnsi="Arial"/>
          <w:sz w:val="16"/>
          <w:szCs w:val="16"/>
          <w:color w:val="auto"/>
        </w:rPr>
        <w:t>telecommunications, media and technology services.</w:t>
      </w:r>
    </w:p>
    <w:p>
      <w:pPr>
        <w:spacing w:after="0" w:line="50" w:lineRule="exact"/>
        <w:rPr>
          <w:rFonts w:ascii="Arial" w:cs="Arial" w:eastAsia="Arial" w:hAnsi="Arial"/>
          <w:sz w:val="16"/>
          <w:szCs w:val="16"/>
          <w:color w:val="auto"/>
        </w:rPr>
      </w:pPr>
    </w:p>
    <w:p>
      <w:pPr>
        <w:ind w:left="264" w:right="520" w:hanging="156"/>
        <w:spacing w:after="0" w:line="259" w:lineRule="auto"/>
        <w:tabs>
          <w:tab w:leader="none" w:pos="264" w:val="left"/>
        </w:tabs>
        <w:numPr>
          <w:ilvl w:val="1"/>
          <w:numId w:val="33"/>
        </w:numPr>
        <w:rPr>
          <w:rFonts w:ascii="Arial" w:cs="Arial" w:eastAsia="Arial" w:hAnsi="Arial"/>
          <w:sz w:val="16"/>
          <w:szCs w:val="16"/>
          <w:color w:val="62259D"/>
        </w:rPr>
      </w:pPr>
      <w:r>
        <w:rPr>
          <w:rFonts w:ascii="Arial" w:cs="Arial" w:eastAsia="Arial" w:hAnsi="Arial"/>
          <w:sz w:val="16"/>
          <w:szCs w:val="16"/>
          <w:color w:val="auto"/>
        </w:rPr>
        <w:t>President, Network Engineering &amp; Operations (2019 to 2022)</w:t>
      </w:r>
    </w:p>
    <w:p>
      <w:pPr>
        <w:spacing w:after="0" w:line="34" w:lineRule="exact"/>
        <w:rPr>
          <w:rFonts w:ascii="Arial" w:cs="Arial" w:eastAsia="Arial" w:hAnsi="Arial"/>
          <w:sz w:val="16"/>
          <w:szCs w:val="16"/>
          <w:color w:val="62259D"/>
        </w:rPr>
      </w:pPr>
    </w:p>
    <w:p>
      <w:pPr>
        <w:ind w:left="264" w:hanging="156"/>
        <w:spacing w:after="0"/>
        <w:tabs>
          <w:tab w:leader="none" w:pos="264" w:val="left"/>
        </w:tabs>
        <w:numPr>
          <w:ilvl w:val="1"/>
          <w:numId w:val="33"/>
        </w:numPr>
        <w:rPr>
          <w:rFonts w:ascii="Arial" w:cs="Arial" w:eastAsia="Arial" w:hAnsi="Arial"/>
          <w:sz w:val="16"/>
          <w:szCs w:val="16"/>
          <w:color w:val="62259D"/>
        </w:rPr>
      </w:pPr>
      <w:r>
        <w:rPr>
          <w:rFonts w:ascii="Arial" w:cs="Arial" w:eastAsia="Arial" w:hAnsi="Arial"/>
          <w:sz w:val="16"/>
          <w:szCs w:val="16"/>
          <w:color w:val="auto"/>
        </w:rPr>
        <w:t>President of Operations (2017 to 2019)</w:t>
      </w:r>
    </w:p>
    <w:p>
      <w:pPr>
        <w:spacing w:after="0" w:line="72" w:lineRule="exact"/>
        <w:rPr>
          <w:rFonts w:ascii="Arial" w:cs="Arial" w:eastAsia="Arial" w:hAnsi="Arial"/>
          <w:sz w:val="16"/>
          <w:szCs w:val="16"/>
          <w:color w:val="62259D"/>
        </w:rPr>
      </w:pPr>
    </w:p>
    <w:p>
      <w:pPr>
        <w:ind w:left="264" w:hanging="156"/>
        <w:spacing w:after="0"/>
        <w:tabs>
          <w:tab w:leader="none" w:pos="264" w:val="left"/>
        </w:tabs>
        <w:numPr>
          <w:ilvl w:val="1"/>
          <w:numId w:val="33"/>
        </w:numPr>
        <w:rPr>
          <w:rFonts w:ascii="Arial" w:cs="Arial" w:eastAsia="Arial" w:hAnsi="Arial"/>
          <w:sz w:val="16"/>
          <w:szCs w:val="16"/>
          <w:color w:val="62259D"/>
        </w:rPr>
      </w:pPr>
      <w:r>
        <w:rPr>
          <w:rFonts w:ascii="Arial" w:cs="Arial" w:eastAsia="Arial" w:hAnsi="Arial"/>
          <w:sz w:val="16"/>
          <w:szCs w:val="16"/>
          <w:color w:val="auto"/>
        </w:rPr>
        <w:t>Various other rolls (1985 to 2017)</w:t>
      </w:r>
    </w:p>
    <w:p>
      <w:pPr>
        <w:spacing w:after="0" w:line="98" w:lineRule="exact"/>
        <w:rPr>
          <w:sz w:val="20"/>
          <w:szCs w:val="20"/>
          <w:color w:val="auto"/>
        </w:rPr>
      </w:pPr>
    </w:p>
    <w:p>
      <w:pPr>
        <w:ind w:left="104"/>
        <w:spacing w:after="0"/>
        <w:rPr>
          <w:sz w:val="20"/>
          <w:szCs w:val="20"/>
          <w:color w:val="auto"/>
        </w:rPr>
      </w:pPr>
      <w:r>
        <w:rPr>
          <w:rFonts w:ascii="Arial" w:cs="Arial" w:eastAsia="Arial" w:hAnsi="Arial"/>
          <w:sz w:val="16"/>
          <w:szCs w:val="16"/>
          <w:b w:val="1"/>
          <w:bCs w:val="1"/>
          <w:color w:val="62259D"/>
        </w:rPr>
        <w:t>BOARD SERVICE:</w:t>
      </w:r>
    </w:p>
    <w:p>
      <w:pPr>
        <w:spacing w:after="0" w:line="59" w:lineRule="exact"/>
        <w:rPr>
          <w:sz w:val="20"/>
          <w:szCs w:val="20"/>
          <w:color w:val="auto"/>
        </w:rPr>
      </w:pPr>
    </w:p>
    <w:p>
      <w:pPr>
        <w:ind w:left="264" w:right="20" w:hanging="156"/>
        <w:spacing w:after="0" w:line="237" w:lineRule="auto"/>
        <w:tabs>
          <w:tab w:leader="none" w:pos="264" w:val="left"/>
        </w:tabs>
        <w:numPr>
          <w:ilvl w:val="0"/>
          <w:numId w:val="34"/>
        </w:numPr>
        <w:rPr>
          <w:rFonts w:ascii="Arial" w:cs="Arial" w:eastAsia="Arial" w:hAnsi="Arial"/>
          <w:sz w:val="16"/>
          <w:szCs w:val="16"/>
          <w:color w:val="62259D"/>
        </w:rPr>
      </w:pPr>
      <w:r>
        <w:rPr>
          <w:rFonts w:ascii="Arial" w:cs="Arial" w:eastAsia="Arial" w:hAnsi="Arial"/>
          <w:sz w:val="16"/>
          <w:szCs w:val="16"/>
          <w:b w:val="1"/>
          <w:bCs w:val="1"/>
          <w:color w:val="auto"/>
        </w:rPr>
        <w:t>American Transmission Company</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transmission-only utility (2021 to present)</w:t>
      </w:r>
    </w:p>
    <w:p>
      <w:pPr>
        <w:spacing w:after="0" w:line="48" w:lineRule="exact"/>
        <w:rPr>
          <w:rFonts w:ascii="Arial" w:cs="Arial" w:eastAsia="Arial" w:hAnsi="Arial"/>
          <w:sz w:val="16"/>
          <w:szCs w:val="16"/>
          <w:color w:val="62259D"/>
        </w:rPr>
      </w:pPr>
    </w:p>
    <w:p>
      <w:pPr>
        <w:ind w:left="264" w:hanging="156"/>
        <w:spacing w:after="0"/>
        <w:tabs>
          <w:tab w:leader="none" w:pos="264" w:val="left"/>
        </w:tabs>
        <w:numPr>
          <w:ilvl w:val="0"/>
          <w:numId w:val="34"/>
        </w:numPr>
        <w:rPr>
          <w:rFonts w:ascii="Arial" w:cs="Arial" w:eastAsia="Arial" w:hAnsi="Arial"/>
          <w:sz w:val="16"/>
          <w:szCs w:val="16"/>
          <w:color w:val="62259D"/>
        </w:rPr>
      </w:pPr>
      <w:r>
        <w:rPr>
          <w:rFonts w:ascii="Arial" w:cs="Arial" w:eastAsia="Arial" w:hAnsi="Arial"/>
          <w:sz w:val="16"/>
          <w:szCs w:val="16"/>
          <w:b w:val="1"/>
          <w:bCs w:val="1"/>
          <w:color w:val="auto"/>
        </w:rPr>
        <w:t>Gigapower, LLC</w:t>
      </w:r>
      <w:r>
        <w:rPr>
          <w:rFonts w:ascii="Arial" w:cs="Arial" w:eastAsia="Arial" w:hAnsi="Arial"/>
          <w:sz w:val="16"/>
          <w:szCs w:val="16"/>
          <w:color w:val="auto"/>
        </w:rPr>
        <w:t>, a joint venture</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BlackRock and AT&amp;T to build fiber-based broadband outside of AT&amp;T’s traditional geographic footprint. (2022 to present)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159"/>
        <w:spacing w:after="0"/>
        <w:tabs>
          <w:tab w:leader="none" w:pos="140" w:val="left"/>
        </w:tabs>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62259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Fortress Solutions</w:t>
      </w:r>
      <w:r>
        <w:rPr>
          <w:rFonts w:ascii="Arial" w:cs="Arial" w:eastAsia="Arial" w:hAnsi="Arial"/>
          <w:sz w:val="16"/>
          <w:szCs w:val="16"/>
          <w:color w:val="auto"/>
        </w:rPr>
        <w:t>, a private telecom</w:t>
        <w:tab/>
        <w:t>​</w:t>
      </w:r>
    </w:p>
    <w:p>
      <w:pPr>
        <w:spacing w:after="0" w:line="8" w:lineRule="exact"/>
        <w:rPr>
          <w:sz w:val="20"/>
          <w:szCs w:val="20"/>
          <w:color w:val="auto"/>
        </w:rPr>
      </w:pPr>
    </w:p>
    <w:p>
      <w:pPr>
        <w:ind w:left="360" w:right="579"/>
        <w:spacing w:after="0" w:line="220" w:lineRule="auto"/>
        <w:rPr>
          <w:sz w:val="20"/>
          <w:szCs w:val="20"/>
          <w:color w:val="auto"/>
        </w:rPr>
      </w:pPr>
      <w:r>
        <w:rPr>
          <w:rFonts w:ascii="Arial" w:cs="Arial" w:eastAsia="Arial" w:hAnsi="Arial"/>
          <w:sz w:val="16"/>
          <w:szCs w:val="16"/>
          <w:color w:val="auto"/>
        </w:rPr>
        <w:t>services company serving both large telecom operators and enterprise</w:t>
      </w:r>
    </w:p>
    <w:p>
      <w:pPr>
        <w:ind w:left="360" w:right="299"/>
        <w:spacing w:after="0" w:line="236" w:lineRule="auto"/>
        <w:rPr>
          <w:sz w:val="20"/>
          <w:szCs w:val="20"/>
          <w:color w:val="auto"/>
        </w:rPr>
      </w:pPr>
      <w:r>
        <w:rPr>
          <w:rFonts w:ascii="Arial" w:cs="Arial" w:eastAsia="Arial" w:hAnsi="Arial"/>
          <w:sz w:val="16"/>
          <w:szCs w:val="16"/>
          <w:color w:val="auto"/>
        </w:rPr>
        <w:t>businesses for logistics as well as repair and maintenance capabilities (2022 to present)</w:t>
      </w:r>
    </w:p>
    <w:p>
      <w:pPr>
        <w:spacing w:after="0" w:line="49" w:lineRule="exact"/>
        <w:rPr>
          <w:sz w:val="20"/>
          <w:szCs w:val="20"/>
          <w:color w:val="auto"/>
        </w:rPr>
      </w:pPr>
    </w:p>
    <w:p>
      <w:pPr>
        <w:ind w:left="360" w:right="259" w:hanging="154"/>
        <w:spacing w:after="0" w:line="235" w:lineRule="auto"/>
        <w:tabs>
          <w:tab w:leader="none" w:pos="360" w:val="left"/>
        </w:tabs>
        <w:numPr>
          <w:ilvl w:val="0"/>
          <w:numId w:val="35"/>
        </w:numPr>
        <w:rPr>
          <w:rFonts w:ascii="Arial" w:cs="Arial" w:eastAsia="Arial" w:hAnsi="Arial"/>
          <w:sz w:val="16"/>
          <w:szCs w:val="16"/>
          <w:color w:val="62259D"/>
        </w:rPr>
      </w:pPr>
      <w:r>
        <w:rPr>
          <w:rFonts w:ascii="Arial" w:cs="Arial" w:eastAsia="Arial" w:hAnsi="Arial"/>
          <w:sz w:val="16"/>
          <w:szCs w:val="16"/>
          <w:b w:val="1"/>
          <w:bCs w:val="1"/>
          <w:color w:val="auto"/>
        </w:rPr>
        <w:t>Airspan Network Holdings LLC</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provider of hardware and software for 5G networks and Open RAN solutions (2024 to present)</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2259D"/>
        </w:rPr>
        <w:t>EDUCATION:</w:t>
      </w:r>
    </w:p>
    <w:p>
      <w:pPr>
        <w:spacing w:after="0" w:line="75" w:lineRule="exact"/>
        <w:rPr>
          <w:sz w:val="20"/>
          <w:szCs w:val="20"/>
          <w:color w:val="auto"/>
        </w:rPr>
      </w:pPr>
    </w:p>
    <w:p>
      <w:pPr>
        <w:ind w:left="360" w:hanging="154"/>
        <w:spacing w:after="0"/>
        <w:tabs>
          <w:tab w:leader="none" w:pos="360" w:val="left"/>
        </w:tabs>
        <w:numPr>
          <w:ilvl w:val="0"/>
          <w:numId w:val="36"/>
        </w:numPr>
        <w:rPr>
          <w:rFonts w:ascii="Arial" w:cs="Arial" w:eastAsia="Arial" w:hAnsi="Arial"/>
          <w:sz w:val="16"/>
          <w:szCs w:val="16"/>
          <w:color w:val="62259D"/>
        </w:rPr>
      </w:pPr>
      <w:r>
        <w:rPr>
          <w:rFonts w:ascii="Arial" w:cs="Arial" w:eastAsia="Arial" w:hAnsi="Arial"/>
          <w:sz w:val="16"/>
          <w:szCs w:val="16"/>
          <w:color w:val="auto"/>
        </w:rPr>
        <w:t>B.A., University of Wisconsin- Platteville</w:t>
      </w:r>
    </w:p>
    <w:p>
      <w:pPr>
        <w:spacing w:after="0" w:line="72" w:lineRule="exact"/>
        <w:rPr>
          <w:rFonts w:ascii="Arial" w:cs="Arial" w:eastAsia="Arial" w:hAnsi="Arial"/>
          <w:sz w:val="16"/>
          <w:szCs w:val="16"/>
          <w:color w:val="62259D"/>
        </w:rPr>
      </w:pPr>
    </w:p>
    <w:p>
      <w:pPr>
        <w:ind w:left="360" w:right="779" w:hanging="154"/>
        <w:spacing w:after="0" w:line="241" w:lineRule="auto"/>
        <w:tabs>
          <w:tab w:leader="none" w:pos="360" w:val="left"/>
        </w:tabs>
        <w:numPr>
          <w:ilvl w:val="0"/>
          <w:numId w:val="36"/>
        </w:numPr>
        <w:rPr>
          <w:rFonts w:ascii="Arial" w:cs="Arial" w:eastAsia="Arial" w:hAnsi="Arial"/>
          <w:sz w:val="16"/>
          <w:szCs w:val="16"/>
          <w:color w:val="62259D"/>
        </w:rPr>
      </w:pPr>
      <w:r>
        <w:rPr>
          <w:rFonts w:ascii="Arial" w:cs="Arial" w:eastAsia="Arial" w:hAnsi="Arial"/>
          <w:sz w:val="16"/>
          <w:szCs w:val="16"/>
          <w:color w:val="auto"/>
        </w:rPr>
        <w:t>Master of Industrial Technology, University of Wisconsin-Platteville</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2259D"/>
        </w:rPr>
        <w:t>SKILLS AND EXPERTISE:</w:t>
      </w:r>
    </w:p>
    <w:p>
      <w:pPr>
        <w:spacing w:after="0" w:line="61" w:lineRule="exact"/>
        <w:rPr>
          <w:sz w:val="20"/>
          <w:szCs w:val="20"/>
          <w:color w:val="auto"/>
        </w:rPr>
      </w:pPr>
    </w:p>
    <w:p>
      <w:pPr>
        <w:ind w:left="360" w:right="259" w:hanging="154"/>
        <w:spacing w:after="0" w:line="232" w:lineRule="auto"/>
        <w:tabs>
          <w:tab w:leader="none" w:pos="360" w:val="left"/>
        </w:tabs>
        <w:numPr>
          <w:ilvl w:val="0"/>
          <w:numId w:val="37"/>
        </w:numPr>
        <w:rPr>
          <w:rFonts w:ascii="Arial" w:cs="Arial" w:eastAsia="Arial" w:hAnsi="Arial"/>
          <w:sz w:val="16"/>
          <w:szCs w:val="16"/>
          <w:color w:val="62259D"/>
        </w:rPr>
      </w:pPr>
      <w:r>
        <w:rPr>
          <w:rFonts w:ascii="Arial" w:cs="Arial" w:eastAsia="Arial" w:hAnsi="Arial"/>
          <w:sz w:val="16"/>
          <w:szCs w:val="16"/>
          <w:color w:val="auto"/>
        </w:rPr>
        <w:t>We believe Mr. Mair is qualified to serve on the Board due to his executive leadership experience and extensive operational expertise and experience primarily in the telecommunications industry in which the Company operates.</w:t>
      </w:r>
    </w:p>
    <w:p>
      <w:pPr>
        <w:spacing w:after="0" w:line="200" w:lineRule="exact"/>
        <w:rPr>
          <w:sz w:val="20"/>
          <w:szCs w:val="20"/>
          <w:color w:val="auto"/>
        </w:rPr>
      </w:pPr>
    </w:p>
    <w:p>
      <w:pPr>
        <w:sectPr>
          <w:pgSz w:w="11900" w:h="16838" w:orient="portrait"/>
          <w:cols w:equalWidth="0" w:num="3">
            <w:col w:w="2540" w:space="436"/>
            <w:col w:w="3244" w:space="60"/>
            <w:col w:w="3599"/>
          </w:cols>
          <w:pgMar w:left="580" w:top="97" w:right="1440" w:bottom="1440" w:gutter="0" w:footer="0" w:header="0"/>
          <w:type w:val="continuous"/>
        </w:sectPr>
      </w:pPr>
    </w:p>
    <w:p>
      <w:pPr>
        <w:spacing w:after="0" w:line="106" w:lineRule="exact"/>
        <w:rPr>
          <w:sz w:val="20"/>
          <w:szCs w:val="20"/>
          <w:color w:val="auto"/>
        </w:rPr>
      </w:pPr>
    </w:p>
    <w:p>
      <w:pPr>
        <w:ind w:left="9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-12700</wp:posOffset>
            </wp:positionV>
            <wp:extent cx="56235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4" w:lineRule="exact"/>
        <w:rPr>
          <w:sz w:val="20"/>
          <w:szCs w:val="20"/>
          <w:color w:val="auto"/>
        </w:rPr>
      </w:pPr>
    </w:p>
    <w:tbl>
      <w:tblPr>
        <w:tblLayout w:type="fixed"/>
        <w:tblInd w:w="980" w:type="dxa"/>
        <w:tblCellMar>
          <w:top w:w="0" w:type="dxa"/>
          <w:left w:w="0" w:type="dxa"/>
          <w:bottom w:w="0" w:type="dxa"/>
          <w:right w:w="0" w:type="dxa"/>
        </w:tblCellMar>
      </w:tblPr>
      <w:tr>
        <w:trPr>
          <w:trHeight w:val="215"/>
        </w:trPr>
        <w:tc>
          <w:tcPr>
            <w:tcW w:w="920" w:type="dxa"/>
            <w:vAlign w:val="bottom"/>
          </w:tcPr>
          <w:p>
            <w:pPr>
              <w:spacing w:after="0"/>
              <w:rPr>
                <w:sz w:val="20"/>
                <w:szCs w:val="20"/>
                <w:color w:val="auto"/>
              </w:rPr>
            </w:pPr>
            <w:r>
              <w:rPr>
                <w:rFonts w:ascii="Arial" w:cs="Arial" w:eastAsia="Arial" w:hAnsi="Arial"/>
                <w:sz w:val="16"/>
                <w:szCs w:val="16"/>
                <w:color w:val="62259D"/>
              </w:rPr>
              <w:t>​</w:t>
            </w:r>
          </w:p>
        </w:tc>
        <w:tc>
          <w:tcPr>
            <w:tcW w:w="3600" w:type="dxa"/>
            <w:vAlign w:val="bottom"/>
          </w:tcPr>
          <w:p>
            <w:pPr>
              <w:ind w:left="860"/>
              <w:spacing w:after="0"/>
              <w:rPr>
                <w:sz w:val="20"/>
                <w:szCs w:val="20"/>
                <w:color w:val="auto"/>
              </w:rPr>
            </w:pPr>
            <w:r>
              <w:rPr>
                <w:rFonts w:ascii="Arial" w:cs="Arial" w:eastAsia="Arial" w:hAnsi="Arial"/>
                <w:sz w:val="16"/>
                <w:szCs w:val="16"/>
                <w:color w:val="62259D"/>
              </w:rPr>
              <w:t>​</w:t>
            </w:r>
          </w:p>
        </w:tc>
        <w:tc>
          <w:tcPr>
            <w:tcW w:w="4060" w:type="dxa"/>
            <w:vAlign w:val="bottom"/>
            <w:vMerge w:val="restart"/>
          </w:tcPr>
          <w:p>
            <w:pPr>
              <w:ind w:left="2700"/>
              <w:spacing w:after="0"/>
              <w:rPr>
                <w:sz w:val="20"/>
                <w:szCs w:val="20"/>
                <w:color w:val="auto"/>
              </w:rPr>
            </w:pPr>
            <w:r>
              <w:rPr>
                <w:rFonts w:ascii="Arial" w:cs="Arial" w:eastAsia="Arial" w:hAnsi="Arial"/>
                <w:sz w:val="15"/>
                <w:szCs w:val="15"/>
                <w:b w:val="1"/>
                <w:bCs w:val="1"/>
                <w:color w:val="FEFEFE"/>
              </w:rPr>
              <w:t>Non-Independent</w:t>
            </w:r>
          </w:p>
        </w:tc>
        <w:tc>
          <w:tcPr>
            <w:tcW w:w="0" w:type="dxa"/>
            <w:vAlign w:val="bottom"/>
          </w:tcPr>
          <w:p>
            <w:pPr>
              <w:spacing w:after="0"/>
              <w:rPr>
                <w:sz w:val="1"/>
                <w:szCs w:val="1"/>
                <w:color w:val="auto"/>
              </w:rPr>
            </w:pPr>
          </w:p>
        </w:tc>
      </w:tr>
      <w:tr>
        <w:trPr>
          <w:trHeight w:val="85"/>
        </w:trPr>
        <w:tc>
          <w:tcPr>
            <w:tcW w:w="9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4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-180340</wp:posOffset>
            </wp:positionV>
            <wp:extent cx="5546090" cy="10890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46090" cy="1089025"/>
                    </a:xfrm>
                    <a:prstGeom prst="rect">
                      <a:avLst/>
                    </a:prstGeom>
                    <a:noFill/>
                  </pic:spPr>
                </pic:pic>
              </a:graphicData>
            </a:graphic>
          </wp:anchor>
        </w:drawing>
      </w:r>
    </w:p>
    <w:tbl>
      <w:tblPr>
        <w:tblLayout w:type="fixed"/>
        <w:tblInd w:w="2980" w:type="dxa"/>
        <w:tblCellMar>
          <w:top w:w="0" w:type="dxa"/>
          <w:left w:w="0" w:type="dxa"/>
          <w:bottom w:w="0" w:type="dxa"/>
          <w:right w:w="0" w:type="dxa"/>
        </w:tblCellMar>
      </w:tblPr>
      <w:tr>
        <w:trPr>
          <w:trHeight w:val="268"/>
        </w:trPr>
        <w:tc>
          <w:tcPr>
            <w:tcW w:w="4780" w:type="dxa"/>
            <w:vAlign w:val="bottom"/>
          </w:tcPr>
          <w:p>
            <w:pPr>
              <w:spacing w:after="0"/>
              <w:rPr>
                <w:sz w:val="20"/>
                <w:szCs w:val="20"/>
                <w:color w:val="auto"/>
              </w:rPr>
            </w:pPr>
            <w:r>
              <w:rPr>
                <w:rFonts w:ascii="Arial" w:cs="Arial" w:eastAsia="Arial" w:hAnsi="Arial"/>
                <w:sz w:val="15"/>
                <w:szCs w:val="15"/>
                <w:b w:val="1"/>
                <w:bCs w:val="1"/>
                <w:color w:val="FEFEFE"/>
              </w:rPr>
              <w:t xml:space="preserve">​  </w:t>
            </w:r>
            <w:r>
              <w:rPr>
                <w:rFonts w:ascii="Arial" w:cs="Arial" w:eastAsia="Arial" w:hAnsi="Arial"/>
                <w:sz w:val="25"/>
                <w:szCs w:val="25"/>
                <w:b w:val="1"/>
                <w:bCs w:val="1"/>
                <w:color w:val="FEFEFE"/>
              </w:rPr>
              <w:t>BRUCE W. MCCLELLAND</w:t>
            </w:r>
            <w:r>
              <w:rPr>
                <w:rFonts w:ascii="Arial" w:cs="Arial" w:eastAsia="Arial" w:hAnsi="Arial"/>
                <w:sz w:val="15"/>
                <w:szCs w:val="15"/>
                <w:b w:val="1"/>
                <w:bCs w:val="1"/>
                <w:color w:val="FEFEFE"/>
              </w:rPr>
              <w:t xml:space="preserve"> ​​</w:t>
            </w:r>
          </w:p>
        </w:tc>
        <w:tc>
          <w:tcPr>
            <w:tcW w:w="1800" w:type="dxa"/>
            <w:vAlign w:val="bottom"/>
          </w:tcPr>
          <w:p>
            <w:pPr>
              <w:jc w:val="right"/>
              <w:spacing w:after="0"/>
              <w:rPr>
                <w:sz w:val="20"/>
                <w:szCs w:val="20"/>
                <w:color w:val="auto"/>
              </w:rPr>
            </w:pPr>
            <w:r>
              <w:rPr>
                <w:rFonts w:ascii="Arial" w:cs="Arial" w:eastAsia="Arial" w:hAnsi="Arial"/>
                <w:sz w:val="15"/>
                <w:szCs w:val="15"/>
                <w:b w:val="1"/>
                <w:bCs w:val="1"/>
                <w:color w:val="FEFEFE"/>
              </w:rPr>
              <w:t>Director</w:t>
            </w:r>
          </w:p>
        </w:tc>
        <w:tc>
          <w:tcPr>
            <w:tcW w:w="40" w:type="dxa"/>
            <w:vAlign w:val="bottom"/>
          </w:tcPr>
          <w:p>
            <w:pPr>
              <w:jc w:val="right"/>
              <w:spacing w:after="0"/>
              <w:rPr>
                <w:sz w:val="20"/>
                <w:szCs w:val="20"/>
                <w:color w:val="auto"/>
              </w:rPr>
            </w:pPr>
            <w:r>
              <w:rPr>
                <w:rFonts w:ascii="Arial" w:cs="Arial" w:eastAsia="Arial" w:hAnsi="Arial"/>
                <w:sz w:val="15"/>
                <w:szCs w:val="15"/>
                <w:b w:val="1"/>
                <w:bCs w:val="1"/>
                <w:color w:val="FEFEFE"/>
              </w:rPr>
              <w:t>​</w:t>
            </w:r>
          </w:p>
        </w:tc>
      </w:tr>
      <w:tr>
        <w:trPr>
          <w:trHeight w:val="143"/>
        </w:trPr>
        <w:tc>
          <w:tcPr>
            <w:tcW w:w="4780" w:type="dxa"/>
            <w:vAlign w:val="bottom"/>
          </w:tcPr>
          <w:p>
            <w:pPr>
              <w:spacing w:after="0"/>
              <w:rPr>
                <w:sz w:val="12"/>
                <w:szCs w:val="12"/>
                <w:color w:val="auto"/>
              </w:rPr>
            </w:pPr>
          </w:p>
        </w:tc>
        <w:tc>
          <w:tcPr>
            <w:tcW w:w="1800" w:type="dxa"/>
            <w:vAlign w:val="bottom"/>
          </w:tcPr>
          <w:p>
            <w:pPr>
              <w:jc w:val="right"/>
              <w:spacing w:after="0" w:line="143" w:lineRule="exact"/>
              <w:rPr>
                <w:sz w:val="20"/>
                <w:szCs w:val="20"/>
                <w:color w:val="auto"/>
              </w:rPr>
            </w:pPr>
            <w:r>
              <w:rPr>
                <w:rFonts w:ascii="Arial" w:cs="Arial" w:eastAsia="Arial" w:hAnsi="Arial"/>
                <w:sz w:val="15"/>
                <w:szCs w:val="15"/>
                <w:b w:val="1"/>
                <w:bCs w:val="1"/>
                <w:color w:val="FEFEFE"/>
              </w:rPr>
              <w:t>Director since</w:t>
            </w:r>
          </w:p>
        </w:tc>
        <w:tc>
          <w:tcPr>
            <w:tcW w:w="40" w:type="dxa"/>
            <w:vAlign w:val="bottom"/>
          </w:tcPr>
          <w:p>
            <w:pPr>
              <w:spacing w:after="0"/>
              <w:rPr>
                <w:sz w:val="12"/>
                <w:szCs w:val="12"/>
                <w:color w:val="auto"/>
              </w:rPr>
            </w:pPr>
          </w:p>
        </w:tc>
      </w:tr>
      <w:tr>
        <w:trPr>
          <w:trHeight w:val="210"/>
        </w:trPr>
        <w:tc>
          <w:tcPr>
            <w:tcW w:w="47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5"/>
                <w:szCs w:val="15"/>
                <w:b w:val="1"/>
                <w:bCs w:val="1"/>
                <w:color w:val="FEFEFE"/>
              </w:rPr>
              <w:t>March 2020</w:t>
            </w:r>
          </w:p>
        </w:tc>
        <w:tc>
          <w:tcPr>
            <w:tcW w:w="40" w:type="dxa"/>
            <w:vAlign w:val="bottom"/>
          </w:tcPr>
          <w:p>
            <w:pPr>
              <w:spacing w:after="0"/>
              <w:rPr>
                <w:sz w:val="18"/>
                <w:szCs w:val="18"/>
                <w:color w:val="auto"/>
              </w:rPr>
            </w:pPr>
          </w:p>
        </w:tc>
      </w:tr>
    </w:tbl>
    <w:p>
      <w:pPr>
        <w:spacing w:after="0" w:line="190"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58</w:t>
      </w:r>
    </w:p>
    <w:p>
      <w:pPr>
        <w:spacing w:after="0" w:line="100"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COMMITTEES</w:t>
      </w:r>
    </w:p>
    <w:p>
      <w:pPr>
        <w:spacing w:after="0" w:line="73" w:lineRule="exact"/>
        <w:rPr>
          <w:sz w:val="20"/>
          <w:szCs w:val="20"/>
          <w:color w:val="auto"/>
        </w:rPr>
      </w:pPr>
    </w:p>
    <w:p>
      <w:pPr>
        <w:ind w:left="1200" w:hanging="168"/>
        <w:spacing w:after="0"/>
        <w:tabs>
          <w:tab w:leader="none" w:pos="1200" w:val="left"/>
        </w:tabs>
        <w:numPr>
          <w:ilvl w:val="0"/>
          <w:numId w:val="38"/>
        </w:numPr>
        <w:rPr>
          <w:rFonts w:ascii="Arial" w:cs="Arial" w:eastAsia="Arial" w:hAnsi="Arial"/>
          <w:sz w:val="16"/>
          <w:szCs w:val="16"/>
          <w:color w:val="62259D"/>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ind w:left="104" w:hanging="104"/>
        <w:spacing w:after="0"/>
        <w:tabs>
          <w:tab w:leader="none" w:pos="104"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62259D"/>
        </w:rPr>
        <w:t>BACKGROUND</w:t>
      </w:r>
    </w:p>
    <w:p>
      <w:pPr>
        <w:spacing w:after="0" w:line="45" w:lineRule="exact"/>
        <w:rPr>
          <w:rFonts w:ascii="Arial" w:cs="Arial" w:eastAsia="Arial" w:hAnsi="Arial"/>
          <w:sz w:val="16"/>
          <w:szCs w:val="16"/>
          <w:color w:val="auto"/>
        </w:rPr>
      </w:pPr>
    </w:p>
    <w:p>
      <w:pPr>
        <w:ind w:left="104"/>
        <w:spacing w:after="0"/>
        <w:rPr>
          <w:rFonts w:ascii="Arial" w:cs="Arial" w:eastAsia="Arial" w:hAnsi="Arial"/>
          <w:sz w:val="16"/>
          <w:szCs w:val="16"/>
          <w:color w:val="auto"/>
        </w:rPr>
      </w:pPr>
      <w:r>
        <w:rPr>
          <w:rFonts w:ascii="Arial" w:cs="Arial" w:eastAsia="Arial" w:hAnsi="Arial"/>
          <w:sz w:val="16"/>
          <w:szCs w:val="16"/>
          <w:b w:val="1"/>
          <w:bCs w:val="1"/>
          <w:color w:val="auto"/>
        </w:rPr>
        <w:t>Ribbon Communications Inc.</w:t>
      </w:r>
    </w:p>
    <w:p>
      <w:pPr>
        <w:spacing w:after="0" w:line="61" w:lineRule="exact"/>
        <w:rPr>
          <w:rFonts w:ascii="Arial" w:cs="Arial" w:eastAsia="Arial" w:hAnsi="Arial"/>
          <w:sz w:val="16"/>
          <w:szCs w:val="16"/>
          <w:color w:val="auto"/>
        </w:rPr>
      </w:pPr>
    </w:p>
    <w:p>
      <w:pPr>
        <w:ind w:left="264" w:hanging="156"/>
        <w:spacing w:after="0" w:line="234" w:lineRule="auto"/>
        <w:tabs>
          <w:tab w:leader="none" w:pos="264" w:val="left"/>
        </w:tabs>
        <w:numPr>
          <w:ilvl w:val="1"/>
          <w:numId w:val="39"/>
        </w:numPr>
        <w:rPr>
          <w:rFonts w:ascii="Arial" w:cs="Arial" w:eastAsia="Arial" w:hAnsi="Arial"/>
          <w:sz w:val="16"/>
          <w:szCs w:val="16"/>
          <w:color w:val="62259D"/>
        </w:rPr>
      </w:pPr>
      <w:r>
        <w:rPr>
          <w:rFonts w:ascii="Arial" w:cs="Arial" w:eastAsia="Arial" w:hAnsi="Arial"/>
          <w:sz w:val="16"/>
          <w:szCs w:val="16"/>
          <w:color w:val="auto"/>
        </w:rPr>
        <w:t>President and Chief Executive Officer, responsible for the strategic direction and management of Ribbon (March 2020 to present)</w:t>
      </w:r>
    </w:p>
    <w:p>
      <w:pPr>
        <w:spacing w:after="0" w:line="36" w:lineRule="exact"/>
        <w:rPr>
          <w:sz w:val="20"/>
          <w:szCs w:val="20"/>
          <w:color w:val="auto"/>
        </w:rPr>
      </w:pPr>
    </w:p>
    <w:p>
      <w:pPr>
        <w:ind w:left="104" w:right="500"/>
        <w:spacing w:after="0" w:line="244" w:lineRule="auto"/>
        <w:rPr>
          <w:sz w:val="20"/>
          <w:szCs w:val="20"/>
          <w:color w:val="auto"/>
        </w:rPr>
      </w:pPr>
      <w:r>
        <w:rPr>
          <w:rFonts w:ascii="Arial" w:cs="Arial" w:eastAsia="Arial" w:hAnsi="Arial"/>
          <w:sz w:val="16"/>
          <w:szCs w:val="16"/>
          <w:b w:val="1"/>
          <w:bCs w:val="1"/>
          <w:color w:val="auto"/>
        </w:rPr>
        <w:t>CommScope Inc.</w:t>
      </w:r>
      <w:r>
        <w:rPr>
          <w:rFonts w:ascii="Arial" w:cs="Arial" w:eastAsia="Arial" w:hAnsi="Arial"/>
          <w:sz w:val="16"/>
          <w:szCs w:val="16"/>
          <w:color w:val="auto"/>
        </w:rPr>
        <w:t>, a global network</w:t>
      </w:r>
      <w:r>
        <w:rPr>
          <w:rFonts w:ascii="Arial" w:cs="Arial" w:eastAsia="Arial" w:hAnsi="Arial"/>
          <w:sz w:val="16"/>
          <w:szCs w:val="16"/>
          <w:b w:val="1"/>
          <w:bCs w:val="1"/>
          <w:color w:val="auto"/>
        </w:rPr>
        <w:t xml:space="preserve"> </w:t>
      </w:r>
      <w:r>
        <w:rPr>
          <w:rFonts w:ascii="Arial" w:cs="Arial" w:eastAsia="Arial" w:hAnsi="Arial"/>
          <w:sz w:val="16"/>
          <w:szCs w:val="16"/>
          <w:color w:val="auto"/>
        </w:rPr>
        <w:t>infrastructure provider</w:t>
      </w:r>
    </w:p>
    <w:p>
      <w:pPr>
        <w:spacing w:after="0" w:line="60" w:lineRule="exact"/>
        <w:rPr>
          <w:sz w:val="20"/>
          <w:szCs w:val="20"/>
          <w:color w:val="auto"/>
        </w:rPr>
      </w:pPr>
    </w:p>
    <w:p>
      <w:pPr>
        <w:jc w:val="both"/>
        <w:ind w:left="264" w:right="180" w:hanging="156"/>
        <w:spacing w:after="0" w:line="236" w:lineRule="auto"/>
        <w:tabs>
          <w:tab w:leader="none" w:pos="264" w:val="left"/>
        </w:tabs>
        <w:numPr>
          <w:ilvl w:val="0"/>
          <w:numId w:val="40"/>
        </w:numPr>
        <w:rPr>
          <w:rFonts w:ascii="Arial" w:cs="Arial" w:eastAsia="Arial" w:hAnsi="Arial"/>
          <w:sz w:val="16"/>
          <w:szCs w:val="16"/>
          <w:color w:val="62259D"/>
        </w:rPr>
      </w:pPr>
      <w:r>
        <w:rPr>
          <w:rFonts w:ascii="Arial" w:cs="Arial" w:eastAsia="Arial" w:hAnsi="Arial"/>
          <w:sz w:val="16"/>
          <w:szCs w:val="16"/>
          <w:color w:val="auto"/>
        </w:rPr>
        <w:t>Chief Operating Officer, responsible for the combined portfolio of products and services (April 2019 to August 2019)</w:t>
      </w:r>
    </w:p>
    <w:p>
      <w:pPr>
        <w:spacing w:after="0" w:line="36" w:lineRule="exact"/>
        <w:rPr>
          <w:sz w:val="20"/>
          <w:szCs w:val="20"/>
          <w:color w:val="auto"/>
        </w:rPr>
      </w:pPr>
    </w:p>
    <w:p>
      <w:pPr>
        <w:ind w:left="104" w:right="280"/>
        <w:spacing w:after="0" w:line="230" w:lineRule="auto"/>
        <w:rPr>
          <w:sz w:val="20"/>
          <w:szCs w:val="20"/>
          <w:color w:val="auto"/>
        </w:rPr>
      </w:pPr>
      <w:r>
        <w:rPr>
          <w:rFonts w:ascii="Arial" w:cs="Arial" w:eastAsia="Arial" w:hAnsi="Arial"/>
          <w:sz w:val="16"/>
          <w:szCs w:val="16"/>
          <w:b w:val="1"/>
          <w:bCs w:val="1"/>
          <w:color w:val="auto"/>
        </w:rPr>
        <w:t xml:space="preserve">ARRIS International plc </w:t>
      </w:r>
      <w:r>
        <w:rPr>
          <w:rFonts w:ascii="Arial" w:cs="Arial" w:eastAsia="Arial" w:hAnsi="Arial"/>
          <w:sz w:val="16"/>
          <w:szCs w:val="16"/>
          <w:color w:val="auto"/>
        </w:rPr>
        <w:t>(“</w:t>
      </w:r>
      <w:r>
        <w:rPr>
          <w:rFonts w:ascii="Arial" w:cs="Arial" w:eastAsia="Arial" w:hAnsi="Arial"/>
          <w:sz w:val="16"/>
          <w:szCs w:val="16"/>
          <w:i w:val="1"/>
          <w:iCs w:val="1"/>
          <w:color w:val="auto"/>
        </w:rPr>
        <w:t>ARRIS</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telecommunications equipment</w:t>
      </w:r>
    </w:p>
    <w:p>
      <w:pPr>
        <w:spacing w:after="0" w:line="1" w:lineRule="exact"/>
        <w:rPr>
          <w:sz w:val="20"/>
          <w:szCs w:val="20"/>
          <w:color w:val="auto"/>
        </w:rPr>
      </w:pPr>
    </w:p>
    <w:p>
      <w:pPr>
        <w:ind w:left="104"/>
        <w:spacing w:after="0"/>
        <w:rPr>
          <w:sz w:val="20"/>
          <w:szCs w:val="20"/>
          <w:color w:val="auto"/>
        </w:rPr>
      </w:pPr>
      <w:r>
        <w:rPr>
          <w:rFonts w:ascii="Arial" w:cs="Arial" w:eastAsia="Arial" w:hAnsi="Arial"/>
          <w:sz w:val="16"/>
          <w:szCs w:val="16"/>
          <w:color w:val="auto"/>
        </w:rPr>
        <w:t>manufacturing company</w:t>
      </w:r>
    </w:p>
    <w:p>
      <w:pPr>
        <w:spacing w:after="0" w:line="59" w:lineRule="exact"/>
        <w:rPr>
          <w:sz w:val="20"/>
          <w:szCs w:val="20"/>
          <w:color w:val="auto"/>
        </w:rPr>
      </w:pPr>
    </w:p>
    <w:p>
      <w:pPr>
        <w:ind w:left="264" w:right="40" w:hanging="156"/>
        <w:spacing w:after="0" w:line="238" w:lineRule="auto"/>
        <w:tabs>
          <w:tab w:leader="none" w:pos="264" w:val="left"/>
        </w:tabs>
        <w:numPr>
          <w:ilvl w:val="0"/>
          <w:numId w:val="41"/>
        </w:numPr>
        <w:rPr>
          <w:rFonts w:ascii="Arial" w:cs="Arial" w:eastAsia="Arial" w:hAnsi="Arial"/>
          <w:sz w:val="16"/>
          <w:szCs w:val="16"/>
          <w:color w:val="62259D"/>
        </w:rPr>
      </w:pPr>
      <w:r>
        <w:rPr>
          <w:rFonts w:ascii="Arial" w:cs="Arial" w:eastAsia="Arial" w:hAnsi="Arial"/>
          <w:sz w:val="16"/>
          <w:szCs w:val="16"/>
          <w:color w:val="auto"/>
        </w:rPr>
        <w:t>Chief Executive Officer (September 2016 until its sale to CommScope in</w:t>
      </w:r>
    </w:p>
    <w:p>
      <w:pPr>
        <w:ind w:left="264"/>
        <w:spacing w:after="0"/>
        <w:rPr>
          <w:rFonts w:ascii="Arial" w:cs="Arial" w:eastAsia="Arial" w:hAnsi="Arial"/>
          <w:sz w:val="16"/>
          <w:szCs w:val="16"/>
          <w:color w:val="62259D"/>
        </w:rPr>
      </w:pPr>
      <w:r>
        <w:rPr>
          <w:rFonts w:ascii="Arial" w:cs="Arial" w:eastAsia="Arial" w:hAnsi="Arial"/>
          <w:sz w:val="16"/>
          <w:szCs w:val="16"/>
          <w:color w:val="auto"/>
        </w:rPr>
        <w:t>April 2019)</w:t>
      </w:r>
    </w:p>
    <w:p>
      <w:pPr>
        <w:spacing w:after="0" w:line="58" w:lineRule="exact"/>
        <w:rPr>
          <w:rFonts w:ascii="Arial" w:cs="Arial" w:eastAsia="Arial" w:hAnsi="Arial"/>
          <w:sz w:val="16"/>
          <w:szCs w:val="16"/>
          <w:color w:val="62259D"/>
        </w:rPr>
      </w:pPr>
    </w:p>
    <w:p>
      <w:pPr>
        <w:ind w:left="264" w:right="20" w:hanging="156"/>
        <w:spacing w:after="0" w:line="227" w:lineRule="auto"/>
        <w:tabs>
          <w:tab w:leader="none" w:pos="264" w:val="left"/>
        </w:tabs>
        <w:numPr>
          <w:ilvl w:val="0"/>
          <w:numId w:val="41"/>
        </w:numPr>
        <w:rPr>
          <w:rFonts w:ascii="Arial" w:cs="Arial" w:eastAsia="Arial" w:hAnsi="Arial"/>
          <w:sz w:val="16"/>
          <w:szCs w:val="16"/>
          <w:color w:val="62259D"/>
        </w:rPr>
      </w:pPr>
      <w:r>
        <w:rPr>
          <w:rFonts w:ascii="Arial" w:cs="Arial" w:eastAsia="Arial" w:hAnsi="Arial"/>
          <w:sz w:val="16"/>
          <w:szCs w:val="16"/>
          <w:color w:val="auto"/>
        </w:rPr>
        <w:t>served in numerous leadership roles during 20 years at ARRIS and managed the successful acquisition and integration of the Ruckus Wireless and Brocade ICX Campus switching business from Broadcom Inc., a major step in diversifying the ARRIS business beyond the service provider market into the broader enterprise market, while strengthening the company’s wireless technology capabilities</w:t>
      </w:r>
    </w:p>
    <w:p>
      <w:pPr>
        <w:spacing w:after="0" w:line="20" w:lineRule="exact"/>
        <w:rPr>
          <w:sz w:val="20"/>
          <w:szCs w:val="20"/>
          <w:color w:val="auto"/>
        </w:rPr>
      </w:pPr>
      <w:r>
        <w:rPr>
          <w:sz w:val="20"/>
          <w:szCs w:val="20"/>
          <w:color w:val="auto"/>
        </w:rPr>
        <w:br w:type="column"/>
      </w:r>
    </w:p>
    <w:p>
      <w:pPr>
        <w:spacing w:after="0"/>
        <w:tabs>
          <w:tab w:leader="none" w:pos="3380" w:val="left"/>
        </w:tabs>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ARRIS</w:t>
      </w:r>
      <w:r>
        <w:rPr>
          <w:rFonts w:ascii="Arial" w:cs="Arial" w:eastAsia="Arial" w:hAnsi="Arial"/>
          <w:sz w:val="16"/>
          <w:szCs w:val="16"/>
          <w:color w:val="auto"/>
        </w:rPr>
        <w:t xml:space="preserve"> (cont’d)</w:t>
      </w:r>
      <w:r>
        <w:rPr>
          <w:sz w:val="20"/>
          <w:szCs w:val="20"/>
          <w:color w:val="auto"/>
        </w:rPr>
        <w:tab/>
      </w:r>
      <w:r>
        <w:rPr>
          <w:rFonts w:ascii="Arial" w:cs="Arial" w:eastAsia="Arial" w:hAnsi="Arial"/>
          <w:sz w:val="16"/>
          <w:szCs w:val="16"/>
          <w:color w:val="auto"/>
        </w:rPr>
        <w:t>​</w:t>
      </w:r>
    </w:p>
    <w:p>
      <w:pPr>
        <w:spacing w:after="0" w:line="61" w:lineRule="exact"/>
        <w:rPr>
          <w:sz w:val="20"/>
          <w:szCs w:val="20"/>
          <w:color w:val="auto"/>
        </w:rPr>
      </w:pPr>
    </w:p>
    <w:p>
      <w:pPr>
        <w:ind w:left="360" w:right="379" w:hanging="154"/>
        <w:spacing w:after="0" w:line="234" w:lineRule="auto"/>
        <w:tabs>
          <w:tab w:leader="none" w:pos="360" w:val="left"/>
        </w:tabs>
        <w:numPr>
          <w:ilvl w:val="0"/>
          <w:numId w:val="42"/>
        </w:numPr>
        <w:rPr>
          <w:rFonts w:ascii="Arial" w:cs="Arial" w:eastAsia="Arial" w:hAnsi="Arial"/>
          <w:sz w:val="16"/>
          <w:szCs w:val="16"/>
          <w:color w:val="62259D"/>
        </w:rPr>
      </w:pPr>
      <w:r>
        <w:rPr>
          <w:rFonts w:ascii="Arial" w:cs="Arial" w:eastAsia="Arial" w:hAnsi="Arial"/>
          <w:sz w:val="16"/>
          <w:szCs w:val="16"/>
          <w:color w:val="auto"/>
        </w:rPr>
        <w:t>held several other roles at ARRIS, including President of Network &amp; Cloud and Global Services (April 2013 to August 2016)</w:t>
      </w:r>
    </w:p>
    <w:p>
      <w:pPr>
        <w:spacing w:after="0" w:line="51" w:lineRule="exact"/>
        <w:rPr>
          <w:rFonts w:ascii="Arial" w:cs="Arial" w:eastAsia="Arial" w:hAnsi="Arial"/>
          <w:sz w:val="16"/>
          <w:szCs w:val="16"/>
          <w:color w:val="62259D"/>
        </w:rPr>
      </w:pPr>
    </w:p>
    <w:p>
      <w:pPr>
        <w:ind w:left="360" w:right="719" w:hanging="154"/>
        <w:spacing w:after="0" w:line="259" w:lineRule="auto"/>
        <w:tabs>
          <w:tab w:leader="none" w:pos="360" w:val="left"/>
        </w:tabs>
        <w:numPr>
          <w:ilvl w:val="0"/>
          <w:numId w:val="42"/>
        </w:numPr>
        <w:rPr>
          <w:rFonts w:ascii="Arial" w:cs="Arial" w:eastAsia="Arial" w:hAnsi="Arial"/>
          <w:sz w:val="16"/>
          <w:szCs w:val="16"/>
          <w:color w:val="62259D"/>
        </w:rPr>
      </w:pPr>
      <w:r>
        <w:rPr>
          <w:rFonts w:ascii="Arial" w:cs="Arial" w:eastAsia="Arial" w:hAnsi="Arial"/>
          <w:sz w:val="16"/>
          <w:szCs w:val="16"/>
          <w:color w:val="auto"/>
        </w:rPr>
        <w:t>authored several communications-related patents</w:t>
      </w:r>
    </w:p>
    <w:p>
      <w:pPr>
        <w:spacing w:after="0" w:line="19" w:lineRule="exact"/>
        <w:rPr>
          <w:sz w:val="20"/>
          <w:szCs w:val="20"/>
          <w:color w:val="auto"/>
        </w:rPr>
      </w:pPr>
    </w:p>
    <w:p>
      <w:pPr>
        <w:ind w:left="200" w:right="339"/>
        <w:spacing w:after="0" w:line="272" w:lineRule="auto"/>
        <w:rPr>
          <w:sz w:val="20"/>
          <w:szCs w:val="20"/>
          <w:color w:val="auto"/>
        </w:rPr>
      </w:pPr>
      <w:r>
        <w:rPr>
          <w:rFonts w:ascii="Arial" w:cs="Arial" w:eastAsia="Arial" w:hAnsi="Arial"/>
          <w:sz w:val="16"/>
          <w:szCs w:val="16"/>
          <w:b w:val="1"/>
          <w:bCs w:val="1"/>
          <w:color w:val="auto"/>
        </w:rPr>
        <w:t xml:space="preserve">Nortel Networks Corporation </w:t>
      </w:r>
      <w:r>
        <w:rPr>
          <w:rFonts w:ascii="Arial" w:cs="Arial" w:eastAsia="Arial" w:hAnsi="Arial"/>
          <w:sz w:val="16"/>
          <w:szCs w:val="16"/>
          <w:color w:val="auto"/>
        </w:rPr>
        <w:t>and</w:t>
      </w:r>
      <w:r>
        <w:rPr>
          <w:rFonts w:ascii="Arial" w:cs="Arial" w:eastAsia="Arial" w:hAnsi="Arial"/>
          <w:sz w:val="16"/>
          <w:szCs w:val="16"/>
          <w:b w:val="1"/>
          <w:bCs w:val="1"/>
          <w:color w:val="auto"/>
        </w:rPr>
        <w:t xml:space="preserve"> Bell Northern Research </w:t>
      </w:r>
      <w:r>
        <w:rPr>
          <w:rFonts w:ascii="Arial" w:cs="Arial" w:eastAsia="Arial" w:hAnsi="Arial"/>
          <w:sz w:val="16"/>
          <w:szCs w:val="16"/>
          <w:color w:val="auto"/>
        </w:rPr>
        <w:t>(“</w:t>
      </w:r>
      <w:r>
        <w:rPr>
          <w:rFonts w:ascii="Arial" w:cs="Arial" w:eastAsia="Arial" w:hAnsi="Arial"/>
          <w:sz w:val="16"/>
          <w:szCs w:val="16"/>
          <w:i w:val="1"/>
          <w:iCs w:val="1"/>
          <w:color w:val="auto"/>
        </w:rPr>
        <w:t>BNR</w:t>
      </w:r>
      <w:r>
        <w:rPr>
          <w:rFonts w:ascii="Arial" w:cs="Arial" w:eastAsia="Arial" w:hAnsi="Arial"/>
          <w:sz w:val="16"/>
          <w:szCs w:val="16"/>
          <w:color w:val="auto"/>
        </w:rPr>
        <w:t>”)</w:t>
      </w:r>
    </w:p>
    <w:p>
      <w:pPr>
        <w:spacing w:after="0" w:line="17" w:lineRule="exact"/>
        <w:rPr>
          <w:sz w:val="20"/>
          <w:szCs w:val="20"/>
          <w:color w:val="auto"/>
        </w:rPr>
      </w:pPr>
    </w:p>
    <w:p>
      <w:pPr>
        <w:ind w:left="360" w:right="1119" w:hanging="154"/>
        <w:spacing w:after="0" w:line="241" w:lineRule="auto"/>
        <w:tabs>
          <w:tab w:leader="none" w:pos="360" w:val="left"/>
        </w:tabs>
        <w:numPr>
          <w:ilvl w:val="0"/>
          <w:numId w:val="43"/>
        </w:numPr>
        <w:rPr>
          <w:rFonts w:ascii="Arial" w:cs="Arial" w:eastAsia="Arial" w:hAnsi="Arial"/>
          <w:sz w:val="16"/>
          <w:szCs w:val="16"/>
          <w:color w:val="62259D"/>
        </w:rPr>
      </w:pPr>
      <w:r>
        <w:rPr>
          <w:rFonts w:ascii="Arial" w:cs="Arial" w:eastAsia="Arial" w:hAnsi="Arial"/>
          <w:sz w:val="16"/>
          <w:szCs w:val="16"/>
          <w:color w:val="auto"/>
        </w:rPr>
        <w:t>served in leadership roles for eleven years</w:t>
      </w:r>
    </w:p>
    <w:p>
      <w:pPr>
        <w:spacing w:after="0" w:line="48" w:lineRule="exact"/>
        <w:rPr>
          <w:rFonts w:ascii="Arial" w:cs="Arial" w:eastAsia="Arial" w:hAnsi="Arial"/>
          <w:sz w:val="16"/>
          <w:szCs w:val="16"/>
          <w:color w:val="62259D"/>
        </w:rPr>
      </w:pPr>
    </w:p>
    <w:p>
      <w:pPr>
        <w:ind w:left="360" w:right="239" w:hanging="154"/>
        <w:spacing w:after="0" w:line="234" w:lineRule="auto"/>
        <w:tabs>
          <w:tab w:leader="none" w:pos="360" w:val="left"/>
        </w:tabs>
        <w:numPr>
          <w:ilvl w:val="0"/>
          <w:numId w:val="43"/>
        </w:numPr>
        <w:rPr>
          <w:rFonts w:ascii="Arial" w:cs="Arial" w:eastAsia="Arial" w:hAnsi="Arial"/>
          <w:sz w:val="16"/>
          <w:szCs w:val="16"/>
          <w:color w:val="62259D"/>
        </w:rPr>
      </w:pPr>
      <w:r>
        <w:rPr>
          <w:rFonts w:ascii="Arial" w:cs="Arial" w:eastAsia="Arial" w:hAnsi="Arial"/>
          <w:sz w:val="16"/>
          <w:szCs w:val="16"/>
          <w:color w:val="auto"/>
        </w:rPr>
        <w:t>began his career with BNR in Ottawa, Canada, responsible for the development of Nortel’s SS7 switching products immediately prior to joining ARRIS</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2259D"/>
        </w:rPr>
        <w:t>EDUCATION</w:t>
      </w:r>
    </w:p>
    <w:p>
      <w:pPr>
        <w:spacing w:after="0" w:line="61" w:lineRule="exact"/>
        <w:rPr>
          <w:sz w:val="20"/>
          <w:szCs w:val="20"/>
          <w:color w:val="auto"/>
        </w:rPr>
      </w:pPr>
    </w:p>
    <w:p>
      <w:pPr>
        <w:ind w:left="360" w:hanging="154"/>
        <w:spacing w:after="0"/>
        <w:tabs>
          <w:tab w:leader="none" w:pos="360" w:val="left"/>
        </w:tabs>
        <w:numPr>
          <w:ilvl w:val="0"/>
          <w:numId w:val="44"/>
        </w:numPr>
        <w:rPr>
          <w:rFonts w:ascii="Arial" w:cs="Arial" w:eastAsia="Arial" w:hAnsi="Arial"/>
          <w:sz w:val="16"/>
          <w:szCs w:val="16"/>
          <w:color w:val="62259D"/>
        </w:rPr>
      </w:pPr>
      <w:r>
        <w:rPr>
          <w:rFonts w:ascii="Arial" w:cs="Arial" w:eastAsia="Arial" w:hAnsi="Arial"/>
          <w:sz w:val="16"/>
          <w:szCs w:val="16"/>
          <w:color w:val="auto"/>
        </w:rPr>
        <w:t>B.E., the University of Saskatchewan</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2259D"/>
        </w:rPr>
        <w:t>SKILLS AND EXPERTISE</w:t>
      </w:r>
    </w:p>
    <w:p>
      <w:pPr>
        <w:spacing w:after="0" w:line="48" w:lineRule="exact"/>
        <w:rPr>
          <w:sz w:val="20"/>
          <w:szCs w:val="20"/>
          <w:color w:val="auto"/>
        </w:rPr>
      </w:pPr>
    </w:p>
    <w:p>
      <w:pPr>
        <w:ind w:left="200" w:right="439"/>
        <w:spacing w:after="0" w:line="229" w:lineRule="auto"/>
        <w:rPr>
          <w:sz w:val="20"/>
          <w:szCs w:val="20"/>
          <w:color w:val="auto"/>
        </w:rPr>
      </w:pPr>
      <w:r>
        <w:rPr>
          <w:rFonts w:ascii="Arial" w:cs="Arial" w:eastAsia="Arial" w:hAnsi="Arial"/>
          <w:sz w:val="16"/>
          <w:szCs w:val="16"/>
          <w:color w:val="auto"/>
        </w:rPr>
        <w:t>We believe Mr. McClelland is qualified to serve on the Board due to his executive</w:t>
      </w:r>
    </w:p>
    <w:p>
      <w:pPr>
        <w:ind w:left="200" w:right="299"/>
        <w:spacing w:after="0" w:line="228" w:lineRule="auto"/>
        <w:rPr>
          <w:sz w:val="20"/>
          <w:szCs w:val="20"/>
          <w:color w:val="auto"/>
        </w:rPr>
      </w:pPr>
      <w:r>
        <w:rPr>
          <w:rFonts w:ascii="Arial" w:cs="Arial" w:eastAsia="Arial" w:hAnsi="Arial"/>
          <w:sz w:val="16"/>
          <w:szCs w:val="16"/>
          <w:color w:val="auto"/>
        </w:rPr>
        <w:t>leadership experience, including as a chief executive officer of ARRIS, along with</w:t>
      </w:r>
    </w:p>
    <w:p>
      <w:pPr>
        <w:spacing w:after="0" w:line="1" w:lineRule="exact"/>
        <w:rPr>
          <w:sz w:val="20"/>
          <w:szCs w:val="20"/>
          <w:color w:val="auto"/>
        </w:rPr>
      </w:pPr>
    </w:p>
    <w:p>
      <w:pPr>
        <w:ind w:left="200" w:right="799"/>
        <w:spacing w:after="0" w:line="231" w:lineRule="auto"/>
        <w:rPr>
          <w:sz w:val="20"/>
          <w:szCs w:val="20"/>
          <w:color w:val="auto"/>
        </w:rPr>
      </w:pPr>
      <w:r>
        <w:rPr>
          <w:rFonts w:ascii="Arial" w:cs="Arial" w:eastAsia="Arial" w:hAnsi="Arial"/>
          <w:sz w:val="16"/>
          <w:szCs w:val="16"/>
          <w:color w:val="auto"/>
        </w:rPr>
        <w:t>extensive operational expertise and experience in engineering.</w:t>
      </w:r>
    </w:p>
    <w:p>
      <w:pPr>
        <w:spacing w:after="0" w:line="652" w:lineRule="exact"/>
        <w:rPr>
          <w:sz w:val="20"/>
          <w:szCs w:val="20"/>
          <w:color w:val="auto"/>
        </w:rPr>
      </w:pPr>
    </w:p>
    <w:p>
      <w:pPr>
        <w:sectPr>
          <w:pgSz w:w="11900" w:h="16838" w:orient="portrait"/>
          <w:cols w:equalWidth="0" w:num="3">
            <w:col w:w="2256" w:space="720"/>
            <w:col w:w="3284" w:space="20"/>
            <w:col w:w="3599"/>
          </w:cols>
          <w:pgMar w:left="580" w:top="97" w:right="1440" w:bottom="1440" w:gutter="0" w:footer="0" w:header="0"/>
          <w:type w:val="continuous"/>
        </w:sectPr>
      </w:pPr>
    </w:p>
    <w:p>
      <w:pPr>
        <w:spacing w:after="0" w:line="109" w:lineRule="exact"/>
        <w:rPr>
          <w:sz w:val="20"/>
          <w:szCs w:val="20"/>
          <w:color w:val="auto"/>
        </w:rPr>
      </w:pPr>
    </w:p>
    <w:p>
      <w:pPr>
        <w:ind w:left="9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-4445</wp:posOffset>
            </wp:positionV>
            <wp:extent cx="56235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12</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210820</wp:posOffset>
            </wp:positionV>
            <wp:extent cx="1088390" cy="10883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88390" cy="1088390"/>
                    </a:xfrm>
                    <a:prstGeom prst="rect">
                      <a:avLst/>
                    </a:prstGeom>
                    <a:noFill/>
                  </pic:spPr>
                </pic:pic>
              </a:graphicData>
            </a:graphic>
          </wp:anchor>
        </w:drawing>
      </w:r>
    </w:p>
    <w:p>
      <w:pPr>
        <w:spacing w:after="0" w:line="312"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40" w:type="dxa"/>
            <w:vAlign w:val="bottom"/>
          </w:tcPr>
          <w:p>
            <w:pPr>
              <w:spacing w:after="0"/>
              <w:rPr>
                <w:sz w:val="20"/>
                <w:szCs w:val="20"/>
                <w:color w:val="auto"/>
              </w:rPr>
            </w:pPr>
            <w:r>
              <w:rPr>
                <w:rFonts w:ascii="Arial" w:cs="Arial" w:eastAsia="Arial" w:hAnsi="Arial"/>
                <w:sz w:val="16"/>
                <w:szCs w:val="16"/>
                <w:color w:val="62259D"/>
              </w:rPr>
              <w:t>​</w:t>
            </w:r>
          </w:p>
        </w:tc>
        <w:tc>
          <w:tcPr>
            <w:tcW w:w="1960" w:type="dxa"/>
            <w:vAlign w:val="bottom"/>
          </w:tcPr>
          <w:p>
            <w:pPr>
              <w:ind w:left="1740"/>
              <w:spacing w:after="0"/>
              <w:rPr>
                <w:sz w:val="20"/>
                <w:szCs w:val="20"/>
                <w:color w:val="auto"/>
              </w:rPr>
            </w:pPr>
            <w:r>
              <w:rPr>
                <w:rFonts w:ascii="Arial" w:cs="Arial" w:eastAsia="Arial" w:hAnsi="Arial"/>
                <w:sz w:val="16"/>
                <w:szCs w:val="16"/>
                <w:color w:val="62259D"/>
              </w:rPr>
              <w:t>​</w:t>
            </w:r>
          </w:p>
        </w:tc>
        <w:tc>
          <w:tcPr>
            <w:tcW w:w="80" w:type="dxa"/>
            <w:vAlign w:val="bottom"/>
            <w:shd w:val="clear" w:color="auto" w:fill="E7417A"/>
          </w:tcPr>
          <w:p>
            <w:pPr>
              <w:spacing w:after="0"/>
              <w:rPr>
                <w:sz w:val="19"/>
                <w:szCs w:val="19"/>
                <w:color w:val="auto"/>
              </w:rPr>
            </w:pPr>
          </w:p>
        </w:tc>
        <w:tc>
          <w:tcPr>
            <w:tcW w:w="3160" w:type="dxa"/>
            <w:vAlign w:val="bottom"/>
            <w:shd w:val="clear" w:color="auto" w:fill="E7417A"/>
          </w:tcPr>
          <w:p>
            <w:pPr>
              <w:spacing w:after="0"/>
              <w:rPr>
                <w:sz w:val="19"/>
                <w:szCs w:val="19"/>
                <w:color w:val="auto"/>
              </w:rPr>
            </w:pPr>
          </w:p>
        </w:tc>
        <w:tc>
          <w:tcPr>
            <w:tcW w:w="40" w:type="dxa"/>
            <w:vAlign w:val="bottom"/>
            <w:shd w:val="clear" w:color="auto" w:fill="E7417A"/>
          </w:tcPr>
          <w:p>
            <w:pPr>
              <w:spacing w:after="0"/>
              <w:rPr>
                <w:sz w:val="19"/>
                <w:szCs w:val="19"/>
                <w:color w:val="auto"/>
              </w:rPr>
            </w:pPr>
          </w:p>
        </w:tc>
        <w:tc>
          <w:tcPr>
            <w:tcW w:w="3400" w:type="dxa"/>
            <w:vAlign w:val="bottom"/>
            <w:vMerge w:val="restart"/>
            <w:shd w:val="clear" w:color="auto" w:fill="E7417A"/>
          </w:tcPr>
          <w:p>
            <w:pPr>
              <w:ind w:left="1180"/>
              <w:spacing w:after="0"/>
              <w:rPr>
                <w:sz w:val="20"/>
                <w:szCs w:val="20"/>
                <w:color w:val="auto"/>
              </w:rPr>
            </w:pPr>
            <w:r>
              <w:rPr>
                <w:rFonts w:ascii="Arial" w:cs="Arial" w:eastAsia="Arial" w:hAnsi="Arial"/>
                <w:sz w:val="15"/>
                <w:szCs w:val="15"/>
                <w:b w:val="1"/>
                <w:bCs w:val="1"/>
                <w:color w:val="FEFEFE"/>
              </w:rPr>
              <w:t>Non-Independent Director</w:t>
            </w:r>
          </w:p>
        </w:tc>
        <w:tc>
          <w:tcPr>
            <w:tcW w:w="120" w:type="dxa"/>
            <w:vAlign w:val="bottom"/>
            <w:shd w:val="clear" w:color="auto" w:fill="E7417A"/>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80" w:type="dxa"/>
            <w:vAlign w:val="bottom"/>
            <w:shd w:val="clear" w:color="auto" w:fill="E7417A"/>
          </w:tcPr>
          <w:p>
            <w:pPr>
              <w:spacing w:after="0"/>
              <w:rPr>
                <w:sz w:val="4"/>
                <w:szCs w:val="4"/>
                <w:color w:val="auto"/>
              </w:rPr>
            </w:pPr>
          </w:p>
        </w:tc>
        <w:tc>
          <w:tcPr>
            <w:tcW w:w="3160" w:type="dxa"/>
            <w:vAlign w:val="bottom"/>
            <w:vMerge w:val="restart"/>
            <w:shd w:val="clear" w:color="auto" w:fill="E7417A"/>
          </w:tcPr>
          <w:p>
            <w:pPr>
              <w:ind w:left="140"/>
              <w:spacing w:after="0" w:line="264" w:lineRule="exact"/>
              <w:rPr>
                <w:sz w:val="20"/>
                <w:szCs w:val="20"/>
                <w:color w:val="auto"/>
              </w:rPr>
            </w:pPr>
            <w:r>
              <w:rPr>
                <w:rFonts w:ascii="Arial" w:cs="Arial" w:eastAsia="Arial" w:hAnsi="Arial"/>
                <w:sz w:val="25"/>
                <w:szCs w:val="25"/>
                <w:b w:val="1"/>
                <w:bCs w:val="1"/>
                <w:color w:val="FEFEFE"/>
              </w:rPr>
              <w:t xml:space="preserve">SHAUL SHANI </w:t>
            </w:r>
            <w:r>
              <w:rPr>
                <w:rFonts w:ascii="Arial" w:cs="Arial" w:eastAsia="Arial" w:hAnsi="Arial"/>
                <w:sz w:val="15"/>
                <w:szCs w:val="15"/>
                <w:b w:val="1"/>
                <w:bCs w:val="1"/>
                <w:color w:val="FEFEFE"/>
              </w:rPr>
              <w:t>​   ​</w:t>
            </w:r>
          </w:p>
        </w:tc>
        <w:tc>
          <w:tcPr>
            <w:tcW w:w="40" w:type="dxa"/>
            <w:vAlign w:val="bottom"/>
            <w:shd w:val="clear" w:color="auto" w:fill="E7417A"/>
          </w:tcPr>
          <w:p>
            <w:pPr>
              <w:spacing w:after="0"/>
              <w:rPr>
                <w:sz w:val="4"/>
                <w:szCs w:val="4"/>
                <w:color w:val="auto"/>
              </w:rPr>
            </w:pPr>
          </w:p>
        </w:tc>
        <w:tc>
          <w:tcPr>
            <w:tcW w:w="3400" w:type="dxa"/>
            <w:vAlign w:val="bottom"/>
            <w:vMerge w:val="continue"/>
            <w:shd w:val="clear" w:color="auto" w:fill="E7417A"/>
          </w:tcPr>
          <w:p>
            <w:pPr>
              <w:spacing w:after="0"/>
              <w:rPr>
                <w:sz w:val="4"/>
                <w:szCs w:val="4"/>
                <w:color w:val="auto"/>
              </w:rPr>
            </w:pPr>
          </w:p>
        </w:tc>
        <w:tc>
          <w:tcPr>
            <w:tcW w:w="120" w:type="dxa"/>
            <w:vAlign w:val="bottom"/>
            <w:shd w:val="clear" w:color="auto" w:fill="E7417A"/>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shd w:val="clear" w:color="auto" w:fill="E7417A"/>
          </w:tcPr>
          <w:p>
            <w:pPr>
              <w:spacing w:after="0"/>
              <w:rPr>
                <w:sz w:val="20"/>
                <w:szCs w:val="20"/>
                <w:color w:val="auto"/>
              </w:rPr>
            </w:pPr>
            <w:r>
              <w:rPr>
                <w:rFonts w:ascii="Arial" w:cs="Arial" w:eastAsia="Arial" w:hAnsi="Arial"/>
                <w:sz w:val="15"/>
                <w:szCs w:val="15"/>
                <w:b w:val="1"/>
                <w:bCs w:val="1"/>
                <w:color w:val="FEFEFE"/>
              </w:rPr>
              <w:t>​</w:t>
            </w:r>
          </w:p>
        </w:tc>
        <w:tc>
          <w:tcPr>
            <w:tcW w:w="3160" w:type="dxa"/>
            <w:vAlign w:val="bottom"/>
            <w:vMerge w:val="continue"/>
            <w:shd w:val="clear" w:color="auto" w:fill="E7417A"/>
          </w:tcPr>
          <w:p>
            <w:pPr>
              <w:spacing w:after="0"/>
              <w:rPr>
                <w:sz w:val="18"/>
                <w:szCs w:val="18"/>
                <w:color w:val="auto"/>
              </w:rPr>
            </w:pPr>
          </w:p>
        </w:tc>
        <w:tc>
          <w:tcPr>
            <w:tcW w:w="3440" w:type="dxa"/>
            <w:vAlign w:val="bottom"/>
            <w:gridSpan w:val="2"/>
            <w:shd w:val="clear" w:color="auto" w:fill="E7417A"/>
          </w:tcPr>
          <w:p>
            <w:pPr>
              <w:ind w:left="20"/>
              <w:spacing w:after="0"/>
              <w:rPr>
                <w:sz w:val="20"/>
                <w:szCs w:val="20"/>
                <w:color w:val="auto"/>
              </w:rPr>
            </w:pPr>
            <w:r>
              <w:rPr>
                <w:rFonts w:ascii="Arial" w:cs="Arial" w:eastAsia="Arial" w:hAnsi="Arial"/>
                <w:sz w:val="15"/>
                <w:szCs w:val="15"/>
                <w:b w:val="1"/>
                <w:bCs w:val="1"/>
                <w:color w:val="FEFEFE"/>
              </w:rPr>
              <w:t>Director and Chairman of the Board since​</w:t>
            </w:r>
          </w:p>
        </w:tc>
        <w:tc>
          <w:tcPr>
            <w:tcW w:w="120" w:type="dxa"/>
            <w:vAlign w:val="bottom"/>
            <w:shd w:val="clear" w:color="auto" w:fill="E7417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shd w:val="clear" w:color="auto" w:fill="E7417A"/>
          </w:tcPr>
          <w:p>
            <w:pPr>
              <w:spacing w:after="0"/>
              <w:rPr>
                <w:sz w:val="18"/>
                <w:szCs w:val="18"/>
                <w:color w:val="auto"/>
              </w:rPr>
            </w:pPr>
          </w:p>
        </w:tc>
        <w:tc>
          <w:tcPr>
            <w:tcW w:w="3160" w:type="dxa"/>
            <w:vAlign w:val="bottom"/>
            <w:shd w:val="clear" w:color="auto" w:fill="E7417A"/>
          </w:tcPr>
          <w:p>
            <w:pPr>
              <w:spacing w:after="0"/>
              <w:rPr>
                <w:sz w:val="18"/>
                <w:szCs w:val="18"/>
                <w:color w:val="auto"/>
              </w:rPr>
            </w:pPr>
          </w:p>
        </w:tc>
        <w:tc>
          <w:tcPr>
            <w:tcW w:w="40" w:type="dxa"/>
            <w:vAlign w:val="bottom"/>
            <w:shd w:val="clear" w:color="auto" w:fill="E7417A"/>
          </w:tcPr>
          <w:p>
            <w:pPr>
              <w:spacing w:after="0"/>
              <w:rPr>
                <w:sz w:val="18"/>
                <w:szCs w:val="18"/>
                <w:color w:val="auto"/>
              </w:rPr>
            </w:pPr>
          </w:p>
        </w:tc>
        <w:tc>
          <w:tcPr>
            <w:tcW w:w="3400" w:type="dxa"/>
            <w:vAlign w:val="bottom"/>
            <w:shd w:val="clear" w:color="auto" w:fill="E7417A"/>
          </w:tcPr>
          <w:p>
            <w:pPr>
              <w:ind w:left="2500"/>
              <w:spacing w:after="0"/>
              <w:rPr>
                <w:sz w:val="20"/>
                <w:szCs w:val="20"/>
                <w:color w:val="auto"/>
              </w:rPr>
            </w:pPr>
            <w:r>
              <w:rPr>
                <w:rFonts w:ascii="Arial" w:cs="Arial" w:eastAsia="Arial" w:hAnsi="Arial"/>
                <w:sz w:val="15"/>
                <w:szCs w:val="15"/>
                <w:b w:val="1"/>
                <w:bCs w:val="1"/>
                <w:color w:val="FEFEFE"/>
              </w:rPr>
              <w:t>June 2020</w:t>
            </w:r>
          </w:p>
        </w:tc>
        <w:tc>
          <w:tcPr>
            <w:tcW w:w="120" w:type="dxa"/>
            <w:vAlign w:val="bottom"/>
            <w:shd w:val="clear" w:color="auto" w:fill="E7417A"/>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960" w:type="dxa"/>
            <w:vAlign w:val="bottom"/>
          </w:tcPr>
          <w:p>
            <w:pPr>
              <w:spacing w:after="0"/>
              <w:rPr>
                <w:sz w:val="5"/>
                <w:szCs w:val="5"/>
                <w:color w:val="auto"/>
              </w:rPr>
            </w:pPr>
          </w:p>
        </w:tc>
        <w:tc>
          <w:tcPr>
            <w:tcW w:w="80" w:type="dxa"/>
            <w:vAlign w:val="bottom"/>
            <w:shd w:val="clear" w:color="auto" w:fill="E7417A"/>
          </w:tcPr>
          <w:p>
            <w:pPr>
              <w:spacing w:after="0"/>
              <w:rPr>
                <w:sz w:val="5"/>
                <w:szCs w:val="5"/>
                <w:color w:val="auto"/>
              </w:rPr>
            </w:pPr>
          </w:p>
        </w:tc>
        <w:tc>
          <w:tcPr>
            <w:tcW w:w="3160" w:type="dxa"/>
            <w:vAlign w:val="bottom"/>
            <w:shd w:val="clear" w:color="auto" w:fill="E7417A"/>
          </w:tcPr>
          <w:p>
            <w:pPr>
              <w:spacing w:after="0"/>
              <w:rPr>
                <w:sz w:val="5"/>
                <w:szCs w:val="5"/>
                <w:color w:val="auto"/>
              </w:rPr>
            </w:pPr>
          </w:p>
        </w:tc>
        <w:tc>
          <w:tcPr>
            <w:tcW w:w="40" w:type="dxa"/>
            <w:vAlign w:val="bottom"/>
            <w:shd w:val="clear" w:color="auto" w:fill="E7417A"/>
          </w:tcPr>
          <w:p>
            <w:pPr>
              <w:spacing w:after="0"/>
              <w:rPr>
                <w:sz w:val="5"/>
                <w:szCs w:val="5"/>
                <w:color w:val="auto"/>
              </w:rPr>
            </w:pPr>
          </w:p>
        </w:tc>
        <w:tc>
          <w:tcPr>
            <w:tcW w:w="3400" w:type="dxa"/>
            <w:vAlign w:val="bottom"/>
            <w:shd w:val="clear" w:color="auto" w:fill="E7417A"/>
          </w:tcPr>
          <w:p>
            <w:pPr>
              <w:spacing w:after="0"/>
              <w:rPr>
                <w:sz w:val="5"/>
                <w:szCs w:val="5"/>
                <w:color w:val="auto"/>
              </w:rPr>
            </w:pPr>
          </w:p>
        </w:tc>
        <w:tc>
          <w:tcPr>
            <w:tcW w:w="120" w:type="dxa"/>
            <w:vAlign w:val="bottom"/>
            <w:shd w:val="clear" w:color="auto" w:fill="E7417A"/>
          </w:tcPr>
          <w:p>
            <w:pPr>
              <w:spacing w:after="0"/>
              <w:rPr>
                <w:sz w:val="5"/>
                <w:szCs w:val="5"/>
                <w:color w:val="auto"/>
              </w:rPr>
            </w:pPr>
          </w:p>
        </w:tc>
        <w:tc>
          <w:tcPr>
            <w:tcW w:w="0" w:type="dxa"/>
            <w:vAlign w:val="bottom"/>
          </w:tcPr>
          <w:p>
            <w:pPr>
              <w:spacing w:after="0"/>
              <w:rPr>
                <w:sz w:val="1"/>
                <w:szCs w:val="1"/>
                <w:color w:val="auto"/>
              </w:rPr>
            </w:pPr>
          </w:p>
        </w:tc>
      </w:tr>
      <w:tr>
        <w:trPr>
          <w:trHeight w:val="342"/>
        </w:trPr>
        <w:tc>
          <w:tcPr>
            <w:tcW w:w="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3160" w:type="dxa"/>
            <w:vAlign w:val="bottom"/>
          </w:tcPr>
          <w:p>
            <w:pPr>
              <w:ind w:left="20"/>
              <w:spacing w:after="0"/>
              <w:rPr>
                <w:sz w:val="20"/>
                <w:szCs w:val="20"/>
                <w:color w:val="auto"/>
              </w:rPr>
            </w:pPr>
            <w:r>
              <w:rPr>
                <w:rFonts w:ascii="Arial" w:cs="Arial" w:eastAsia="Arial" w:hAnsi="Arial"/>
                <w:sz w:val="16"/>
                <w:szCs w:val="16"/>
                <w:b w:val="1"/>
                <w:bCs w:val="1"/>
                <w:color w:val="62259D"/>
              </w:rPr>
              <w:t>BACKGROUND</w:t>
            </w:r>
          </w:p>
        </w:tc>
        <w:tc>
          <w:tcPr>
            <w:tcW w:w="40" w:type="dxa"/>
            <w:vAlign w:val="bottom"/>
          </w:tcPr>
          <w:p>
            <w:pPr>
              <w:spacing w:after="0"/>
              <w:rPr>
                <w:sz w:val="24"/>
                <w:szCs w:val="24"/>
                <w:color w:val="auto"/>
              </w:rPr>
            </w:pPr>
          </w:p>
        </w:tc>
        <w:tc>
          <w:tcPr>
            <w:tcW w:w="3400" w:type="dxa"/>
            <w:vAlign w:val="bottom"/>
          </w:tcPr>
          <w:p>
            <w:pPr>
              <w:ind w:left="2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62259D"/>
              </w:rPr>
              <w:t>BOARD SERVICE</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Entrepreneur</w:t>
            </w:r>
          </w:p>
        </w:tc>
        <w:tc>
          <w:tcPr>
            <w:tcW w:w="40" w:type="dxa"/>
            <w:vAlign w:val="bottom"/>
          </w:tcPr>
          <w:p>
            <w:pPr>
              <w:spacing w:after="0"/>
              <w:rPr>
                <w:sz w:val="17"/>
                <w:szCs w:val="17"/>
                <w:color w:val="auto"/>
              </w:rPr>
            </w:pPr>
          </w:p>
        </w:tc>
        <w:tc>
          <w:tcPr>
            <w:tcW w:w="3400" w:type="dxa"/>
            <w:vAlign w:val="bottom"/>
          </w:tcPr>
          <w:p>
            <w:pPr>
              <w:ind w:left="22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b w:val="1"/>
                <w:bCs w:val="1"/>
                <w:color w:val="000000"/>
              </w:rPr>
              <w:t>ECI</w:t>
            </w:r>
            <w:r>
              <w:rPr>
                <w:rFonts w:ascii="Arial" w:cs="Arial" w:eastAsia="Arial" w:hAnsi="Arial"/>
                <w:sz w:val="16"/>
                <w:szCs w:val="16"/>
                <w:color w:val="62259D"/>
              </w:rPr>
              <w:t xml:space="preserve"> </w:t>
            </w:r>
            <w:r>
              <w:rPr>
                <w:rFonts w:ascii="Arial" w:cs="Arial" w:eastAsia="Arial" w:hAnsi="Arial"/>
                <w:sz w:val="16"/>
                <w:szCs w:val="16"/>
                <w:color w:val="000000"/>
              </w:rPr>
              <w:t>(where Swarth Group was the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Swarth Group</w:t>
            </w:r>
            <w:r>
              <w:rPr>
                <w:rFonts w:ascii="Arial" w:cs="Arial" w:eastAsia="Arial" w:hAnsi="Arial"/>
                <w:sz w:val="16"/>
                <w:szCs w:val="16"/>
                <w:color w:val="auto"/>
              </w:rPr>
              <w:t>, a private global</w:t>
            </w:r>
          </w:p>
        </w:tc>
        <w:tc>
          <w:tcPr>
            <w:tcW w:w="40" w:type="dxa"/>
            <w:vAlign w:val="bottom"/>
          </w:tcPr>
          <w:p>
            <w:pPr>
              <w:spacing w:after="0"/>
              <w:rPr>
                <w:sz w:val="16"/>
                <w:szCs w:val="16"/>
                <w:color w:val="auto"/>
              </w:rPr>
            </w:pPr>
          </w:p>
        </w:tc>
        <w:tc>
          <w:tcPr>
            <w:tcW w:w="3400" w:type="dxa"/>
            <w:vAlign w:val="bottom"/>
          </w:tcPr>
          <w:p>
            <w:pPr>
              <w:ind w:left="380"/>
              <w:spacing w:after="0"/>
              <w:rPr>
                <w:sz w:val="20"/>
                <w:szCs w:val="20"/>
                <w:color w:val="auto"/>
              </w:rPr>
            </w:pPr>
            <w:r>
              <w:rPr>
                <w:rFonts w:ascii="Arial" w:cs="Arial" w:eastAsia="Arial" w:hAnsi="Arial"/>
                <w:sz w:val="16"/>
                <w:szCs w:val="16"/>
                <w:color w:val="auto"/>
              </w:rPr>
              <w:t>controlling shareholder) (2007 to 2012),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investment company investing in public and</w:t>
            </w:r>
          </w:p>
        </w:tc>
        <w:tc>
          <w:tcPr>
            <w:tcW w:w="3400" w:type="dxa"/>
            <w:vAlign w:val="bottom"/>
          </w:tcPr>
          <w:p>
            <w:pPr>
              <w:ind w:left="380"/>
              <w:spacing w:after="0" w:line="175" w:lineRule="exact"/>
              <w:rPr>
                <w:sz w:val="20"/>
                <w:szCs w:val="20"/>
                <w:color w:val="auto"/>
              </w:rPr>
            </w:pPr>
            <w:r>
              <w:rPr>
                <w:rFonts w:ascii="Arial" w:cs="Arial" w:eastAsia="Arial" w:hAnsi="Arial"/>
                <w:sz w:val="16"/>
                <w:szCs w:val="16"/>
                <w:color w:val="auto"/>
              </w:rPr>
              <w:t>holding the position of Chairman (2009 to</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60" w:type="dxa"/>
            <w:vAlign w:val="bottom"/>
          </w:tcPr>
          <w:p>
            <w:pPr>
              <w:ind w:left="20"/>
              <w:spacing w:after="0"/>
              <w:rPr>
                <w:sz w:val="20"/>
                <w:szCs w:val="20"/>
                <w:color w:val="auto"/>
              </w:rPr>
            </w:pPr>
            <w:r>
              <w:rPr>
                <w:rFonts w:ascii="Arial" w:cs="Arial" w:eastAsia="Arial" w:hAnsi="Arial"/>
                <w:sz w:val="16"/>
                <w:szCs w:val="16"/>
                <w:color w:val="auto"/>
              </w:rPr>
              <w:t>private companies primarily in the</w:t>
            </w:r>
          </w:p>
        </w:tc>
        <w:tc>
          <w:tcPr>
            <w:tcW w:w="40" w:type="dxa"/>
            <w:vAlign w:val="bottom"/>
          </w:tcPr>
          <w:p>
            <w:pPr>
              <w:spacing w:after="0"/>
              <w:rPr>
                <w:sz w:val="16"/>
                <w:szCs w:val="16"/>
                <w:color w:val="auto"/>
              </w:rPr>
            </w:pPr>
          </w:p>
        </w:tc>
        <w:tc>
          <w:tcPr>
            <w:tcW w:w="3400" w:type="dxa"/>
            <w:vAlign w:val="bottom"/>
          </w:tcPr>
          <w:p>
            <w:pPr>
              <w:ind w:left="380"/>
              <w:spacing w:after="0"/>
              <w:rPr>
                <w:sz w:val="20"/>
                <w:szCs w:val="20"/>
                <w:color w:val="auto"/>
              </w:rPr>
            </w:pPr>
            <w:r>
              <w:rPr>
                <w:rFonts w:ascii="Arial" w:cs="Arial" w:eastAsia="Arial" w:hAnsi="Arial"/>
                <w:sz w:val="16"/>
                <w:szCs w:val="16"/>
                <w:color w:val="auto"/>
              </w:rPr>
              <w:t>2012)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040" w:type="dxa"/>
            <w:vAlign w:val="bottom"/>
            <w:gridSpan w:val="2"/>
          </w:tcPr>
          <w:p>
            <w:pPr>
              <w:ind w:left="20"/>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70</w:t>
            </w:r>
          </w:p>
        </w:tc>
        <w:tc>
          <w:tcPr>
            <w:tcW w:w="3160" w:type="dxa"/>
            <w:vAlign w:val="bottom"/>
          </w:tcPr>
          <w:p>
            <w:pPr>
              <w:ind w:left="20"/>
              <w:spacing w:after="0"/>
              <w:rPr>
                <w:sz w:val="20"/>
                <w:szCs w:val="20"/>
                <w:color w:val="auto"/>
              </w:rPr>
            </w:pPr>
            <w:r>
              <w:rPr>
                <w:rFonts w:ascii="Arial" w:cs="Arial" w:eastAsia="Arial" w:hAnsi="Arial"/>
                <w:sz w:val="16"/>
                <w:szCs w:val="16"/>
                <w:color w:val="auto"/>
              </w:rPr>
              <w:t>communication services, technology, IT,</w:t>
            </w:r>
          </w:p>
        </w:tc>
        <w:tc>
          <w:tcPr>
            <w:tcW w:w="40" w:type="dxa"/>
            <w:vAlign w:val="bottom"/>
          </w:tcPr>
          <w:p>
            <w:pPr>
              <w:spacing w:after="0"/>
              <w:rPr>
                <w:sz w:val="17"/>
                <w:szCs w:val="17"/>
                <w:color w:val="auto"/>
              </w:rPr>
            </w:pPr>
          </w:p>
        </w:tc>
        <w:tc>
          <w:tcPr>
            <w:tcW w:w="3400" w:type="dxa"/>
            <w:vAlign w:val="bottom"/>
          </w:tcPr>
          <w:p>
            <w:pPr>
              <w:ind w:left="22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b w:val="1"/>
                <w:bCs w:val="1"/>
                <w:color w:val="000000"/>
              </w:rPr>
              <w:t>Global Village Telecom</w:t>
            </w:r>
            <w:r>
              <w:rPr>
                <w:rFonts w:ascii="Arial" w:cs="Arial" w:eastAsia="Arial" w:hAnsi="Arial"/>
                <w:sz w:val="16"/>
                <w:szCs w:val="16"/>
                <w:color w:val="000000"/>
              </w:rPr>
              <w:t>, a</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62259D"/>
              </w:rPr>
              <w:t>COMMITTEES</w:t>
            </w:r>
          </w:p>
        </w:tc>
        <w:tc>
          <w:tcPr>
            <w:tcW w:w="3160" w:type="dxa"/>
            <w:vAlign w:val="bottom"/>
          </w:tcPr>
          <w:p>
            <w:pPr>
              <w:ind w:left="20"/>
              <w:spacing w:after="0" w:line="140" w:lineRule="exact"/>
              <w:rPr>
                <w:sz w:val="20"/>
                <w:szCs w:val="20"/>
                <w:color w:val="auto"/>
              </w:rPr>
            </w:pPr>
            <w:r>
              <w:rPr>
                <w:rFonts w:ascii="Arial" w:cs="Arial" w:eastAsia="Arial" w:hAnsi="Arial"/>
                <w:sz w:val="16"/>
                <w:szCs w:val="16"/>
                <w:color w:val="auto"/>
              </w:rPr>
              <w:t>cyber, renewable energy and real estate</w:t>
            </w:r>
          </w:p>
        </w:tc>
        <w:tc>
          <w:tcPr>
            <w:tcW w:w="40" w:type="dxa"/>
            <w:vAlign w:val="bottom"/>
          </w:tcPr>
          <w:p>
            <w:pPr>
              <w:spacing w:after="0"/>
              <w:rPr>
                <w:sz w:val="12"/>
                <w:szCs w:val="12"/>
                <w:color w:val="auto"/>
              </w:rPr>
            </w:pPr>
          </w:p>
        </w:tc>
        <w:tc>
          <w:tcPr>
            <w:tcW w:w="3400" w:type="dxa"/>
            <w:vAlign w:val="bottom"/>
            <w:vMerge w:val="restart"/>
          </w:tcPr>
          <w:p>
            <w:pPr>
              <w:ind w:left="380"/>
              <w:spacing w:after="0"/>
              <w:rPr>
                <w:sz w:val="20"/>
                <w:szCs w:val="20"/>
                <w:color w:val="auto"/>
              </w:rPr>
            </w:pPr>
            <w:r>
              <w:rPr>
                <w:rFonts w:ascii="Arial" w:cs="Arial" w:eastAsia="Arial" w:hAnsi="Arial"/>
                <w:sz w:val="16"/>
                <w:szCs w:val="16"/>
                <w:color w:val="auto"/>
              </w:rPr>
              <w:t>telecommunications service provider in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040" w:type="dxa"/>
            <w:vAlign w:val="bottom"/>
            <w:gridSpan w:val="2"/>
            <w:vMerge w:val="continue"/>
          </w:tcPr>
          <w:p>
            <w:pPr>
              <w:spacing w:after="0"/>
              <w:rPr>
                <w:sz w:val="4"/>
                <w:szCs w:val="4"/>
                <w:color w:val="auto"/>
              </w:rPr>
            </w:pPr>
          </w:p>
        </w:tc>
        <w:tc>
          <w:tcPr>
            <w:tcW w:w="3160" w:type="dxa"/>
            <w:vAlign w:val="bottom"/>
            <w:vMerge w:val="restart"/>
          </w:tcPr>
          <w:p>
            <w:pPr>
              <w:ind w:left="20"/>
              <w:spacing w:after="0"/>
              <w:rPr>
                <w:sz w:val="20"/>
                <w:szCs w:val="20"/>
                <w:color w:val="auto"/>
              </w:rPr>
            </w:pPr>
            <w:r>
              <w:rPr>
                <w:rFonts w:ascii="Arial" w:cs="Arial" w:eastAsia="Arial" w:hAnsi="Arial"/>
                <w:sz w:val="16"/>
                <w:szCs w:val="16"/>
                <w:color w:val="auto"/>
              </w:rPr>
              <w:t>sectors as well as financial markets</w:t>
            </w:r>
          </w:p>
        </w:tc>
        <w:tc>
          <w:tcPr>
            <w:tcW w:w="40" w:type="dxa"/>
            <w:vAlign w:val="bottom"/>
          </w:tcPr>
          <w:p>
            <w:pPr>
              <w:spacing w:after="0"/>
              <w:rPr>
                <w:sz w:val="4"/>
                <w:szCs w:val="4"/>
                <w:color w:val="auto"/>
              </w:rPr>
            </w:pPr>
          </w:p>
        </w:tc>
        <w:tc>
          <w:tcPr>
            <w:tcW w:w="34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040" w:type="dxa"/>
            <w:vAlign w:val="bottom"/>
            <w:gridSpan w:val="2"/>
            <w:vMerge w:val="continue"/>
          </w:tcPr>
          <w:p>
            <w:pPr>
              <w:spacing w:after="0"/>
              <w:rPr>
                <w:sz w:val="13"/>
                <w:szCs w:val="13"/>
                <w:color w:val="auto"/>
              </w:rPr>
            </w:pPr>
          </w:p>
        </w:tc>
        <w:tc>
          <w:tcPr>
            <w:tcW w:w="31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3400" w:type="dxa"/>
            <w:vAlign w:val="bottom"/>
          </w:tcPr>
          <w:p>
            <w:pPr>
              <w:ind w:left="380"/>
              <w:spacing w:after="0" w:line="158" w:lineRule="exact"/>
              <w:rPr>
                <w:sz w:val="20"/>
                <w:szCs w:val="20"/>
                <w:color w:val="auto"/>
              </w:rPr>
            </w:pPr>
            <w:r>
              <w:rPr>
                <w:rFonts w:ascii="Arial" w:cs="Arial" w:eastAsia="Arial" w:hAnsi="Arial"/>
                <w:sz w:val="16"/>
                <w:szCs w:val="16"/>
                <w:color w:val="auto"/>
              </w:rPr>
              <w:t>Brazil (where Swarth Group was the lead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040" w:type="dxa"/>
            <w:vAlign w:val="bottom"/>
            <w:gridSpan w:val="2"/>
          </w:tcPr>
          <w:p>
            <w:pPr>
              <w:ind w:left="2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None</w:t>
            </w:r>
          </w:p>
        </w:tc>
        <w:tc>
          <w:tcPr>
            <w:tcW w:w="3160" w:type="dxa"/>
            <w:vAlign w:val="bottom"/>
          </w:tcPr>
          <w:p>
            <w:pPr>
              <w:ind w:left="2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Founder and Chairman (2006 to present)</w:t>
            </w:r>
          </w:p>
        </w:tc>
        <w:tc>
          <w:tcPr>
            <w:tcW w:w="40" w:type="dxa"/>
            <w:vAlign w:val="bottom"/>
          </w:tcPr>
          <w:p>
            <w:pPr>
              <w:spacing w:after="0"/>
              <w:rPr>
                <w:sz w:val="17"/>
                <w:szCs w:val="17"/>
                <w:color w:val="auto"/>
              </w:rPr>
            </w:pPr>
          </w:p>
        </w:tc>
        <w:tc>
          <w:tcPr>
            <w:tcW w:w="3400" w:type="dxa"/>
            <w:vAlign w:val="bottom"/>
          </w:tcPr>
          <w:p>
            <w:pPr>
              <w:ind w:left="380"/>
              <w:spacing w:after="0"/>
              <w:rPr>
                <w:sz w:val="20"/>
                <w:szCs w:val="20"/>
                <w:color w:val="auto"/>
              </w:rPr>
            </w:pPr>
            <w:r>
              <w:rPr>
                <w:rFonts w:ascii="Arial" w:cs="Arial" w:eastAsia="Arial" w:hAnsi="Arial"/>
                <w:sz w:val="16"/>
                <w:szCs w:val="16"/>
                <w:color w:val="auto"/>
              </w:rPr>
              <w:t>investor), Executive Chairman (1997 until</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Magnum Group</w:t>
            </w:r>
            <w:r>
              <w:rPr>
                <w:rFonts w:ascii="Arial" w:cs="Arial" w:eastAsia="Arial" w:hAnsi="Arial"/>
                <w:sz w:val="16"/>
                <w:szCs w:val="16"/>
                <w:color w:val="auto"/>
              </w:rPr>
              <w:t>, an investment group</w:t>
            </w:r>
          </w:p>
        </w:tc>
        <w:tc>
          <w:tcPr>
            <w:tcW w:w="40" w:type="dxa"/>
            <w:vAlign w:val="bottom"/>
          </w:tcPr>
          <w:p>
            <w:pPr>
              <w:spacing w:after="0"/>
              <w:rPr>
                <w:sz w:val="13"/>
                <w:szCs w:val="13"/>
                <w:color w:val="auto"/>
              </w:rPr>
            </w:pPr>
          </w:p>
        </w:tc>
        <w:tc>
          <w:tcPr>
            <w:tcW w:w="3400" w:type="dxa"/>
            <w:vAlign w:val="bottom"/>
          </w:tcPr>
          <w:p>
            <w:pPr>
              <w:ind w:left="380"/>
              <w:spacing w:after="0" w:line="153" w:lineRule="exact"/>
              <w:rPr>
                <w:sz w:val="20"/>
                <w:szCs w:val="20"/>
                <w:color w:val="auto"/>
              </w:rPr>
            </w:pPr>
            <w:r>
              <w:rPr>
                <w:rFonts w:ascii="Arial" w:cs="Arial" w:eastAsia="Arial" w:hAnsi="Arial"/>
                <w:sz w:val="16"/>
                <w:szCs w:val="16"/>
                <w:color w:val="auto"/>
              </w:rPr>
              <w:t>its acquisition by the Vivendi Group in</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3400" w:type="dxa"/>
            <w:vAlign w:val="bottom"/>
            <w:vMerge w:val="restart"/>
          </w:tcPr>
          <w:p>
            <w:pPr>
              <w:ind w:left="380"/>
              <w:spacing w:after="0"/>
              <w:rPr>
                <w:sz w:val="20"/>
                <w:szCs w:val="20"/>
                <w:color w:val="auto"/>
              </w:rPr>
            </w:pPr>
            <w:r>
              <w:rPr>
                <w:rFonts w:ascii="Arial" w:cs="Arial" w:eastAsia="Arial" w:hAnsi="Arial"/>
                <w:sz w:val="16"/>
                <w:szCs w:val="16"/>
                <w:color w:val="auto"/>
              </w:rPr>
              <w:t>2009)</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60" w:type="dxa"/>
            <w:vAlign w:val="bottom"/>
            <w:vMerge w:val="restart"/>
          </w:tcPr>
          <w:p>
            <w:pPr>
              <w:ind w:left="20"/>
              <w:spacing w:after="0" w:line="175" w:lineRule="exact"/>
              <w:rPr>
                <w:sz w:val="20"/>
                <w:szCs w:val="20"/>
                <w:color w:val="auto"/>
              </w:rPr>
            </w:pPr>
            <w:r>
              <w:rPr>
                <w:rFonts w:ascii="Arial" w:cs="Arial" w:eastAsia="Arial" w:hAnsi="Arial"/>
                <w:sz w:val="16"/>
                <w:szCs w:val="16"/>
                <w:color w:val="auto"/>
              </w:rPr>
              <w:t>investing in telecom and tech ventures,</w:t>
            </w:r>
          </w:p>
        </w:tc>
        <w:tc>
          <w:tcPr>
            <w:tcW w:w="40" w:type="dxa"/>
            <w:vAlign w:val="bottom"/>
          </w:tcPr>
          <w:p>
            <w:pPr>
              <w:spacing w:after="0"/>
              <w:rPr>
                <w:sz w:val="9"/>
                <w:szCs w:val="9"/>
                <w:color w:val="auto"/>
              </w:rPr>
            </w:pPr>
          </w:p>
        </w:tc>
        <w:tc>
          <w:tcPr>
            <w:tcW w:w="3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1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400" w:type="dxa"/>
            <w:vAlign w:val="bottom"/>
            <w:vMerge w:val="restart"/>
          </w:tcPr>
          <w:p>
            <w:pPr>
              <w:ind w:left="22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b w:val="1"/>
                <w:bCs w:val="1"/>
                <w:color w:val="000000"/>
              </w:rPr>
              <w:t>DSP Group</w:t>
            </w:r>
            <w:r>
              <w:rPr>
                <w:rFonts w:ascii="Arial" w:cs="Arial" w:eastAsia="Arial" w:hAnsi="Arial"/>
                <w:sz w:val="16"/>
                <w:szCs w:val="16"/>
                <w:color w:val="62259D"/>
              </w:rPr>
              <w:t xml:space="preserve"> </w:t>
            </w:r>
            <w:r>
              <w:rPr>
                <w:rFonts w:ascii="Arial" w:cs="Arial" w:eastAsia="Arial" w:hAnsi="Arial"/>
                <w:sz w:val="16"/>
                <w:szCs w:val="16"/>
                <w:color w:val="000000"/>
              </w:rPr>
              <w:t>(serving as director on</w:t>
            </w: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tcPr>
          <w:p>
            <w:pPr>
              <w:ind w:left="20"/>
              <w:spacing w:after="0" w:line="162" w:lineRule="exact"/>
              <w:rPr>
                <w:sz w:val="20"/>
                <w:szCs w:val="20"/>
                <w:color w:val="auto"/>
              </w:rPr>
            </w:pPr>
            <w:r>
              <w:rPr>
                <w:rFonts w:ascii="Arial" w:cs="Arial" w:eastAsia="Arial" w:hAnsi="Arial"/>
                <w:sz w:val="16"/>
                <w:szCs w:val="16"/>
                <w:color w:val="auto"/>
              </w:rPr>
              <w:t>including DSP Group (a major shareholder</w:t>
            </w:r>
          </w:p>
        </w:tc>
        <w:tc>
          <w:tcPr>
            <w:tcW w:w="40" w:type="dxa"/>
            <w:vAlign w:val="bottom"/>
          </w:tcPr>
          <w:p>
            <w:pPr>
              <w:spacing w:after="0"/>
              <w:rPr>
                <w:sz w:val="14"/>
                <w:szCs w:val="14"/>
                <w:color w:val="auto"/>
              </w:rPr>
            </w:pPr>
          </w:p>
        </w:tc>
        <w:tc>
          <w:tcPr>
            <w:tcW w:w="3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tcPr>
          <w:p>
            <w:pPr>
              <w:ind w:left="20"/>
              <w:spacing w:after="0" w:line="171" w:lineRule="exact"/>
              <w:rPr>
                <w:sz w:val="20"/>
                <w:szCs w:val="20"/>
                <w:color w:val="auto"/>
              </w:rPr>
            </w:pPr>
            <w:r>
              <w:rPr>
                <w:rFonts w:ascii="Arial" w:cs="Arial" w:eastAsia="Arial" w:hAnsi="Arial"/>
                <w:sz w:val="16"/>
                <w:szCs w:val="16"/>
                <w:color w:val="auto"/>
              </w:rPr>
              <w:t>of AudioCodes which was taken public in</w:t>
            </w:r>
          </w:p>
        </w:tc>
        <w:tc>
          <w:tcPr>
            <w:tcW w:w="40" w:type="dxa"/>
            <w:vAlign w:val="bottom"/>
          </w:tcPr>
          <w:p>
            <w:pPr>
              <w:spacing w:after="0"/>
              <w:rPr>
                <w:sz w:val="14"/>
                <w:szCs w:val="14"/>
                <w:color w:val="auto"/>
              </w:rPr>
            </w:pPr>
          </w:p>
        </w:tc>
        <w:tc>
          <w:tcPr>
            <w:tcW w:w="3400" w:type="dxa"/>
            <w:vAlign w:val="bottom"/>
          </w:tcPr>
          <w:p>
            <w:pPr>
              <w:ind w:left="380"/>
              <w:spacing w:after="0" w:line="171" w:lineRule="exact"/>
              <w:rPr>
                <w:sz w:val="20"/>
                <w:szCs w:val="20"/>
                <w:color w:val="auto"/>
              </w:rPr>
            </w:pPr>
            <w:r>
              <w:rPr>
                <w:rFonts w:ascii="Arial" w:cs="Arial" w:eastAsia="Arial" w:hAnsi="Arial"/>
                <w:sz w:val="16"/>
                <w:szCs w:val="16"/>
                <w:color w:val="auto"/>
              </w:rPr>
              <w:t>behalf of the Magnum Group) (1999 to</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6"/>
                <w:szCs w:val="16"/>
                <w:color w:val="auto"/>
              </w:rPr>
              <w:t>1999)</w:t>
            </w:r>
          </w:p>
        </w:tc>
        <w:tc>
          <w:tcPr>
            <w:tcW w:w="40" w:type="dxa"/>
            <w:vAlign w:val="bottom"/>
          </w:tcPr>
          <w:p>
            <w:pPr>
              <w:spacing w:after="0"/>
              <w:rPr>
                <w:sz w:val="19"/>
                <w:szCs w:val="19"/>
                <w:color w:val="auto"/>
              </w:rPr>
            </w:pPr>
          </w:p>
        </w:tc>
        <w:tc>
          <w:tcPr>
            <w:tcW w:w="3400" w:type="dxa"/>
            <w:vAlign w:val="bottom"/>
          </w:tcPr>
          <w:p>
            <w:pPr>
              <w:ind w:left="380"/>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60" w:type="dxa"/>
            <w:vAlign w:val="bottom"/>
          </w:tcPr>
          <w:p>
            <w:pPr>
              <w:ind w:left="2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Founder (1994 to 2006)</w:t>
            </w:r>
          </w:p>
        </w:tc>
        <w:tc>
          <w:tcPr>
            <w:tcW w:w="40" w:type="dxa"/>
            <w:vAlign w:val="bottom"/>
          </w:tcPr>
          <w:p>
            <w:pPr>
              <w:spacing w:after="0"/>
              <w:rPr>
                <w:sz w:val="17"/>
                <w:szCs w:val="17"/>
                <w:color w:val="auto"/>
              </w:rPr>
            </w:pPr>
          </w:p>
        </w:tc>
        <w:tc>
          <w:tcPr>
            <w:tcW w:w="3400" w:type="dxa"/>
            <w:vAlign w:val="bottom"/>
          </w:tcPr>
          <w:p>
            <w:pPr>
              <w:ind w:left="22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b w:val="1"/>
                <w:bCs w:val="1"/>
                <w:color w:val="000000"/>
              </w:rPr>
              <w:t>Sapiens International Corporation</w:t>
            </w:r>
            <w:r>
              <w:rPr>
                <w:rFonts w:ascii="Arial" w:cs="Arial" w:eastAsia="Arial" w:hAnsi="Arial"/>
                <w:sz w:val="16"/>
                <w:szCs w:val="16"/>
                <w:color w:val="000000"/>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Sapiens International Corporation</w:t>
            </w:r>
            <w:r>
              <w:rPr>
                <w:rFonts w:ascii="Arial" w:cs="Arial" w:eastAsia="Arial" w:hAnsi="Arial"/>
                <w:sz w:val="16"/>
                <w:szCs w:val="16"/>
                <w:color w:val="auto"/>
              </w:rPr>
              <w:t>, a</w:t>
            </w:r>
          </w:p>
        </w:tc>
        <w:tc>
          <w:tcPr>
            <w:tcW w:w="40" w:type="dxa"/>
            <w:vAlign w:val="bottom"/>
          </w:tcPr>
          <w:p>
            <w:pPr>
              <w:spacing w:after="0"/>
              <w:rPr>
                <w:sz w:val="18"/>
                <w:szCs w:val="18"/>
                <w:color w:val="auto"/>
              </w:rPr>
            </w:pPr>
          </w:p>
        </w:tc>
        <w:tc>
          <w:tcPr>
            <w:tcW w:w="3400" w:type="dxa"/>
            <w:vAlign w:val="bottom"/>
          </w:tcPr>
          <w:p>
            <w:pPr>
              <w:ind w:left="380"/>
              <w:spacing w:after="0"/>
              <w:rPr>
                <w:sz w:val="20"/>
                <w:szCs w:val="20"/>
                <w:color w:val="auto"/>
              </w:rPr>
            </w:pPr>
            <w:r>
              <w:rPr>
                <w:rFonts w:ascii="Arial" w:cs="Arial" w:eastAsia="Arial" w:hAnsi="Arial"/>
                <w:sz w:val="16"/>
                <w:szCs w:val="16"/>
                <w:color w:val="auto"/>
              </w:rPr>
              <w:t>Chairman (1989 to 1993)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1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60" w:type="dxa"/>
            <w:vAlign w:val="bottom"/>
          </w:tcPr>
          <w:p>
            <w:pPr>
              <w:ind w:left="20"/>
              <w:spacing w:after="0" w:line="175" w:lineRule="exact"/>
              <w:rPr>
                <w:sz w:val="20"/>
                <w:szCs w:val="20"/>
                <w:color w:val="auto"/>
              </w:rPr>
            </w:pPr>
            <w:r>
              <w:rPr>
                <w:rFonts w:ascii="Arial" w:cs="Arial" w:eastAsia="Arial" w:hAnsi="Arial"/>
                <w:sz w:val="16"/>
                <w:szCs w:val="16"/>
                <w:color w:val="auto"/>
              </w:rPr>
              <w:t>software development company which was</w:t>
            </w:r>
          </w:p>
        </w:tc>
        <w:tc>
          <w:tcPr>
            <w:tcW w:w="40" w:type="dxa"/>
            <w:vAlign w:val="bottom"/>
          </w:tcPr>
          <w:p>
            <w:pPr>
              <w:spacing w:after="0"/>
              <w:rPr>
                <w:sz w:val="15"/>
                <w:szCs w:val="15"/>
                <w:color w:val="auto"/>
              </w:rPr>
            </w:pPr>
          </w:p>
        </w:tc>
        <w:tc>
          <w:tcPr>
            <w:tcW w:w="3400" w:type="dxa"/>
            <w:vAlign w:val="bottom"/>
          </w:tcPr>
          <w:p>
            <w:pPr>
              <w:ind w:left="220"/>
              <w:spacing w:after="0" w:line="175" w:lineRule="exact"/>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held board positions at many private and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60" w:type="dxa"/>
            <w:vAlign w:val="bottom"/>
          </w:tcPr>
          <w:p>
            <w:pPr>
              <w:ind w:left="20"/>
              <w:spacing w:after="0"/>
              <w:rPr>
                <w:sz w:val="20"/>
                <w:szCs w:val="20"/>
                <w:color w:val="auto"/>
              </w:rPr>
            </w:pPr>
            <w:r>
              <w:rPr>
                <w:rFonts w:ascii="Arial" w:cs="Arial" w:eastAsia="Arial" w:hAnsi="Arial"/>
                <w:sz w:val="16"/>
                <w:szCs w:val="16"/>
                <w:color w:val="auto"/>
              </w:rPr>
              <w:t>listed on the Nasdaq Stock Market in 1992</w:t>
            </w:r>
          </w:p>
        </w:tc>
        <w:tc>
          <w:tcPr>
            <w:tcW w:w="40" w:type="dxa"/>
            <w:vAlign w:val="bottom"/>
          </w:tcPr>
          <w:p>
            <w:pPr>
              <w:spacing w:after="0"/>
              <w:rPr>
                <w:sz w:val="16"/>
                <w:szCs w:val="16"/>
                <w:color w:val="auto"/>
              </w:rPr>
            </w:pPr>
          </w:p>
        </w:tc>
        <w:tc>
          <w:tcPr>
            <w:tcW w:w="3400" w:type="dxa"/>
            <w:vAlign w:val="bottom"/>
          </w:tcPr>
          <w:p>
            <w:pPr>
              <w:ind w:left="380"/>
              <w:spacing w:after="0"/>
              <w:rPr>
                <w:sz w:val="20"/>
                <w:szCs w:val="20"/>
                <w:color w:val="auto"/>
              </w:rPr>
            </w:pPr>
            <w:r>
              <w:rPr>
                <w:rFonts w:ascii="Arial" w:cs="Arial" w:eastAsia="Arial" w:hAnsi="Arial"/>
                <w:sz w:val="16"/>
                <w:szCs w:val="16"/>
                <w:color w:val="auto"/>
              </w:rPr>
              <w:t>public companies in the field of</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60" w:type="dxa"/>
            <w:vAlign w:val="bottom"/>
          </w:tcPr>
          <w:p>
            <w:pPr>
              <w:ind w:left="20"/>
              <w:spacing w:after="0" w:line="176" w:lineRule="exact"/>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Founder and Chief Executive Officer</w:t>
            </w:r>
          </w:p>
        </w:tc>
        <w:tc>
          <w:tcPr>
            <w:tcW w:w="40" w:type="dxa"/>
            <w:vAlign w:val="bottom"/>
          </w:tcPr>
          <w:p>
            <w:pPr>
              <w:spacing w:after="0"/>
              <w:rPr>
                <w:sz w:val="18"/>
                <w:szCs w:val="18"/>
                <w:color w:val="auto"/>
              </w:rPr>
            </w:pPr>
          </w:p>
        </w:tc>
        <w:tc>
          <w:tcPr>
            <w:tcW w:w="3400" w:type="dxa"/>
            <w:vAlign w:val="bottom"/>
          </w:tcPr>
          <w:p>
            <w:pPr>
              <w:ind w:left="380"/>
              <w:spacing w:after="0"/>
              <w:rPr>
                <w:sz w:val="20"/>
                <w:szCs w:val="20"/>
                <w:color w:val="auto"/>
              </w:rPr>
            </w:pPr>
            <w:r>
              <w:rPr>
                <w:rFonts w:ascii="Arial" w:cs="Arial" w:eastAsia="Arial" w:hAnsi="Arial"/>
                <w:sz w:val="16"/>
                <w:szCs w:val="16"/>
                <w:color w:val="auto"/>
              </w:rPr>
              <w:t>telecommunications and technology over</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240" w:type="dxa"/>
        <w:tblCellMar>
          <w:top w:w="0" w:type="dxa"/>
          <w:left w:w="0" w:type="dxa"/>
          <w:bottom w:w="0" w:type="dxa"/>
          <w:right w:w="0" w:type="dxa"/>
        </w:tblCellMar>
      </w:tblPr>
      <w:tr>
        <w:trPr>
          <w:trHeight w:val="224"/>
        </w:trPr>
        <w:tc>
          <w:tcPr>
            <w:tcW w:w="2240" w:type="dxa"/>
            <w:vAlign w:val="bottom"/>
            <w:vMerge w:val="restart"/>
          </w:tcPr>
          <w:p>
            <w:pPr>
              <w:spacing w:after="0"/>
              <w:rPr>
                <w:sz w:val="20"/>
                <w:szCs w:val="20"/>
                <w:color w:val="auto"/>
              </w:rPr>
            </w:pPr>
            <w:r>
              <w:rPr>
                <w:rFonts w:ascii="Arial" w:cs="Arial" w:eastAsia="Arial" w:hAnsi="Arial"/>
                <w:sz w:val="16"/>
                <w:szCs w:val="16"/>
                <w:color w:val="auto"/>
              </w:rPr>
              <w:t>(1989 to 1993)</w:t>
            </w:r>
          </w:p>
        </w:tc>
        <w:tc>
          <w:tcPr>
            <w:tcW w:w="2380" w:type="dxa"/>
            <w:vAlign w:val="bottom"/>
          </w:tcPr>
          <w:p>
            <w:pPr>
              <w:ind w:left="1160"/>
              <w:spacing w:after="0"/>
              <w:rPr>
                <w:sz w:val="20"/>
                <w:szCs w:val="20"/>
                <w:color w:val="auto"/>
              </w:rPr>
            </w:pPr>
            <w:r>
              <w:rPr>
                <w:rFonts w:ascii="Arial" w:cs="Arial" w:eastAsia="Arial" w:hAnsi="Arial"/>
                <w:sz w:val="16"/>
                <w:szCs w:val="16"/>
                <w:color w:val="auto"/>
              </w:rPr>
              <w:t>the last 30 years</w:t>
            </w:r>
          </w:p>
        </w:tc>
        <w:tc>
          <w:tcPr>
            <w:tcW w:w="0" w:type="dxa"/>
            <w:vAlign w:val="bottom"/>
          </w:tcPr>
          <w:p>
            <w:pPr>
              <w:spacing w:after="0"/>
              <w:rPr>
                <w:sz w:val="1"/>
                <w:szCs w:val="1"/>
                <w:color w:val="auto"/>
              </w:rPr>
            </w:pPr>
          </w:p>
        </w:tc>
      </w:tr>
      <w:tr>
        <w:trPr>
          <w:trHeight w:val="50"/>
        </w:trPr>
        <w:tc>
          <w:tcPr>
            <w:tcW w:w="2240" w:type="dxa"/>
            <w:vAlign w:val="bottom"/>
            <w:vMerge w:val="continue"/>
          </w:tcPr>
          <w:p>
            <w:pPr>
              <w:spacing w:after="0"/>
              <w:rPr>
                <w:sz w:val="4"/>
                <w:szCs w:val="4"/>
                <w:color w:val="auto"/>
              </w:rPr>
            </w:pPr>
          </w:p>
        </w:tc>
        <w:tc>
          <w:tcPr>
            <w:tcW w:w="23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3" w:lineRule="exact"/>
        <w:rPr>
          <w:sz w:val="20"/>
          <w:szCs w:val="20"/>
          <w:color w:val="auto"/>
        </w:rPr>
      </w:pPr>
    </w:p>
    <w:p>
      <w:pPr>
        <w:ind w:left="3080"/>
        <w:spacing w:after="0"/>
        <w:rPr>
          <w:sz w:val="20"/>
          <w:szCs w:val="20"/>
          <w:color w:val="auto"/>
        </w:rPr>
      </w:pPr>
      <w:r>
        <w:rPr>
          <w:rFonts w:ascii="Arial" w:cs="Arial" w:eastAsia="Arial" w:hAnsi="Arial"/>
          <w:sz w:val="16"/>
          <w:szCs w:val="16"/>
          <w:b w:val="1"/>
          <w:bCs w:val="1"/>
          <w:color w:val="auto"/>
        </w:rPr>
        <w:t>Eurosoft</w:t>
      </w:r>
      <w:r>
        <w:rPr>
          <w:rFonts w:ascii="Arial" w:cs="Arial" w:eastAsia="Arial" w:hAnsi="Arial"/>
          <w:sz w:val="16"/>
          <w:szCs w:val="16"/>
          <w:color w:val="auto"/>
        </w:rPr>
        <w:t>, an IT company</w:t>
      </w:r>
    </w:p>
    <w:p>
      <w:pPr>
        <w:spacing w:after="0" w:line="61" w:lineRule="exact"/>
        <w:rPr>
          <w:sz w:val="20"/>
          <w:szCs w:val="20"/>
          <w:color w:val="auto"/>
        </w:rPr>
      </w:pPr>
    </w:p>
    <w:p>
      <w:pPr>
        <w:ind w:left="3240" w:hanging="156"/>
        <w:spacing w:after="0"/>
        <w:tabs>
          <w:tab w:leader="none" w:pos="3240" w:val="left"/>
        </w:tabs>
        <w:numPr>
          <w:ilvl w:val="0"/>
          <w:numId w:val="45"/>
        </w:numPr>
        <w:rPr>
          <w:rFonts w:ascii="Arial" w:cs="Arial" w:eastAsia="Arial" w:hAnsi="Arial"/>
          <w:sz w:val="16"/>
          <w:szCs w:val="16"/>
          <w:color w:val="62259D"/>
        </w:rPr>
      </w:pPr>
      <w:r>
        <w:rPr>
          <w:rFonts w:ascii="Arial" w:cs="Arial" w:eastAsia="Arial" w:hAnsi="Arial"/>
          <w:sz w:val="16"/>
          <w:szCs w:val="16"/>
          <w:color w:val="auto"/>
        </w:rPr>
        <w:t>Founder and Chief Executive Officer</w:t>
      </w:r>
    </w:p>
    <w:p>
      <w:pPr>
        <w:spacing w:after="0" w:line="43" w:lineRule="exact"/>
        <w:rPr>
          <w:rFonts w:ascii="Arial" w:cs="Arial" w:eastAsia="Arial" w:hAnsi="Arial"/>
          <w:sz w:val="16"/>
          <w:szCs w:val="16"/>
          <w:color w:val="62259D"/>
        </w:rPr>
      </w:pPr>
    </w:p>
    <w:p>
      <w:pPr>
        <w:ind w:left="3080"/>
        <w:spacing w:after="0"/>
        <w:rPr>
          <w:rFonts w:ascii="Arial" w:cs="Arial" w:eastAsia="Arial" w:hAnsi="Arial"/>
          <w:sz w:val="16"/>
          <w:szCs w:val="16"/>
          <w:color w:val="62259D"/>
        </w:rPr>
      </w:pPr>
      <w:r>
        <w:rPr>
          <w:rFonts w:ascii="Arial" w:cs="Arial" w:eastAsia="Arial" w:hAnsi="Arial"/>
          <w:sz w:val="16"/>
          <w:szCs w:val="16"/>
          <w:b w:val="1"/>
          <w:bCs w:val="1"/>
          <w:color w:val="auto"/>
        </w:rPr>
        <w:t>Tecnomatix Technologies</w:t>
      </w:r>
    </w:p>
    <w:p>
      <w:pPr>
        <w:spacing w:after="0" w:line="61" w:lineRule="exact"/>
        <w:rPr>
          <w:rFonts w:ascii="Arial" w:cs="Arial" w:eastAsia="Arial" w:hAnsi="Arial"/>
          <w:sz w:val="16"/>
          <w:szCs w:val="16"/>
          <w:color w:val="62259D"/>
        </w:rPr>
      </w:pPr>
    </w:p>
    <w:p>
      <w:pPr>
        <w:ind w:left="3240" w:hanging="156"/>
        <w:spacing w:after="0"/>
        <w:tabs>
          <w:tab w:leader="none" w:pos="3240" w:val="left"/>
        </w:tabs>
        <w:numPr>
          <w:ilvl w:val="0"/>
          <w:numId w:val="45"/>
        </w:numPr>
        <w:rPr>
          <w:rFonts w:ascii="Arial" w:cs="Arial" w:eastAsia="Arial" w:hAnsi="Arial"/>
          <w:sz w:val="16"/>
          <w:szCs w:val="16"/>
          <w:color w:val="62259D"/>
        </w:rPr>
      </w:pPr>
      <w:r>
        <w:rPr>
          <w:rFonts w:ascii="Arial" w:cs="Arial" w:eastAsia="Arial" w:hAnsi="Arial"/>
          <w:sz w:val="16"/>
          <w:szCs w:val="16"/>
          <w:color w:val="auto"/>
        </w:rPr>
        <w:t>Founder (1983)</w:t>
      </w:r>
    </w:p>
    <w:p>
      <w:pPr>
        <w:spacing w:after="0" w:line="44" w:lineRule="exact"/>
        <w:rPr>
          <w:sz w:val="20"/>
          <w:szCs w:val="20"/>
          <w:color w:val="auto"/>
        </w:rPr>
      </w:pPr>
    </w:p>
    <w:p>
      <w:pPr>
        <w:ind w:left="3080"/>
        <w:spacing w:after="0"/>
        <w:rPr>
          <w:sz w:val="20"/>
          <w:szCs w:val="20"/>
          <w:color w:val="auto"/>
        </w:rPr>
      </w:pPr>
      <w:r>
        <w:rPr>
          <w:rFonts w:ascii="Arial" w:cs="Arial" w:eastAsia="Arial" w:hAnsi="Arial"/>
          <w:sz w:val="16"/>
          <w:szCs w:val="16"/>
          <w:b w:val="1"/>
          <w:bCs w:val="1"/>
          <w:color w:val="auto"/>
        </w:rPr>
        <w:t>Oshap Technologies Ltd.</w:t>
      </w:r>
      <w:r>
        <w:rPr>
          <w:rFonts w:ascii="Arial" w:cs="Arial" w:eastAsia="Arial" w:hAnsi="Arial"/>
          <w:sz w:val="16"/>
          <w:szCs w:val="16"/>
          <w:color w:val="auto"/>
        </w:rPr>
        <w:t>, a developer</w:t>
      </w:r>
    </w:p>
    <w:p>
      <w:pPr>
        <w:spacing w:after="0" w:line="8"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of flexible automation software for robotics</w:t>
      </w:r>
    </w:p>
    <w:p>
      <w:pPr>
        <w:spacing w:after="0" w:line="59" w:lineRule="exact"/>
        <w:rPr>
          <w:sz w:val="20"/>
          <w:szCs w:val="20"/>
          <w:color w:val="auto"/>
        </w:rPr>
      </w:pPr>
    </w:p>
    <w:p>
      <w:pPr>
        <w:ind w:left="3240" w:right="300" w:hanging="156"/>
        <w:spacing w:after="0" w:line="241" w:lineRule="auto"/>
        <w:tabs>
          <w:tab w:leader="none" w:pos="3240" w:val="left"/>
        </w:tabs>
        <w:numPr>
          <w:ilvl w:val="0"/>
          <w:numId w:val="46"/>
        </w:numPr>
        <w:rPr>
          <w:rFonts w:ascii="Arial" w:cs="Arial" w:eastAsia="Arial" w:hAnsi="Arial"/>
          <w:sz w:val="16"/>
          <w:szCs w:val="16"/>
          <w:color w:val="62259D"/>
        </w:rPr>
      </w:pPr>
      <w:r>
        <w:rPr>
          <w:rFonts w:ascii="Arial" w:cs="Arial" w:eastAsia="Arial" w:hAnsi="Arial"/>
          <w:sz w:val="16"/>
          <w:szCs w:val="16"/>
          <w:color w:val="auto"/>
        </w:rPr>
        <w:t>Founder and Chief Executive Officer (1982 to 1985)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62259D"/>
        </w:rPr>
        <w:t>SKILLS AND EXPERTISE</w:t>
      </w:r>
    </w:p>
    <w:p>
      <w:pPr>
        <w:spacing w:after="0" w:line="48" w:lineRule="exact"/>
        <w:rPr>
          <w:sz w:val="20"/>
          <w:szCs w:val="20"/>
          <w:color w:val="auto"/>
        </w:rPr>
      </w:pPr>
    </w:p>
    <w:p>
      <w:pPr>
        <w:ind w:right="379"/>
        <w:spacing w:after="0" w:line="229" w:lineRule="auto"/>
        <w:rPr>
          <w:sz w:val="20"/>
          <w:szCs w:val="20"/>
          <w:color w:val="auto"/>
        </w:rPr>
      </w:pPr>
      <w:r>
        <w:rPr>
          <w:rFonts w:ascii="Arial" w:cs="Arial" w:eastAsia="Arial" w:hAnsi="Arial"/>
          <w:sz w:val="16"/>
          <w:szCs w:val="16"/>
          <w:color w:val="auto"/>
        </w:rPr>
        <w:t>We believe Mr. Shani is qualified to serve on the Board due to his extensive</w:t>
      </w:r>
    </w:p>
    <w:p>
      <w:pPr>
        <w:ind w:right="399"/>
        <w:spacing w:after="0" w:line="228" w:lineRule="auto"/>
        <w:rPr>
          <w:sz w:val="20"/>
          <w:szCs w:val="20"/>
          <w:color w:val="auto"/>
        </w:rPr>
      </w:pPr>
      <w:r>
        <w:rPr>
          <w:rFonts w:ascii="Arial" w:cs="Arial" w:eastAsia="Arial" w:hAnsi="Arial"/>
          <w:sz w:val="16"/>
          <w:szCs w:val="16"/>
          <w:color w:val="auto"/>
        </w:rPr>
        <w:t>background in finance and private equity, his extensive knowledge of the</w:t>
      </w:r>
    </w:p>
    <w:p>
      <w:pPr>
        <w:spacing w:after="0" w:line="1" w:lineRule="exact"/>
        <w:rPr>
          <w:sz w:val="20"/>
          <w:szCs w:val="20"/>
          <w:color w:val="auto"/>
        </w:rPr>
      </w:pPr>
    </w:p>
    <w:p>
      <w:pPr>
        <w:ind w:right="759"/>
        <w:spacing w:after="0" w:line="220" w:lineRule="auto"/>
        <w:rPr>
          <w:sz w:val="20"/>
          <w:szCs w:val="20"/>
          <w:color w:val="auto"/>
        </w:rPr>
      </w:pPr>
      <w:r>
        <w:rPr>
          <w:rFonts w:ascii="Arial" w:cs="Arial" w:eastAsia="Arial" w:hAnsi="Arial"/>
          <w:sz w:val="16"/>
          <w:szCs w:val="16"/>
          <w:color w:val="auto"/>
        </w:rPr>
        <w:t>telecommunication business and his experience serving as a director of</w:t>
      </w:r>
    </w:p>
    <w:p>
      <w:pPr>
        <w:ind w:right="659"/>
        <w:spacing w:after="0" w:line="241" w:lineRule="auto"/>
        <w:rPr>
          <w:sz w:val="20"/>
          <w:szCs w:val="20"/>
          <w:color w:val="auto"/>
        </w:rPr>
      </w:pPr>
      <w:r>
        <w:rPr>
          <w:rFonts w:ascii="Arial" w:cs="Arial" w:eastAsia="Arial" w:hAnsi="Arial"/>
          <w:sz w:val="16"/>
          <w:szCs w:val="16"/>
          <w:color w:val="auto"/>
        </w:rPr>
        <w:t>companies in the telecommunications industry.</w:t>
      </w:r>
    </w:p>
    <w:p>
      <w:pPr>
        <w:spacing w:after="0" w:line="320" w:lineRule="exact"/>
        <w:rPr>
          <w:sz w:val="20"/>
          <w:szCs w:val="20"/>
          <w:color w:val="auto"/>
        </w:rPr>
      </w:pPr>
    </w:p>
    <w:p>
      <w:pPr>
        <w:sectPr>
          <w:pgSz w:w="11900" w:h="16838" w:orient="portrait"/>
          <w:cols w:equalWidth="0" w:num="2">
            <w:col w:w="6180" w:space="300"/>
            <w:col w:w="3399"/>
          </w:cols>
          <w:pgMar w:left="580" w:top="97" w:right="1440" w:bottom="1440" w:gutter="0" w:footer="0" w:header="0"/>
          <w:type w:val="continuous"/>
        </w:sectPr>
      </w:pPr>
    </w:p>
    <w:p>
      <w:pPr>
        <w:spacing w:after="0" w:line="263" w:lineRule="exact"/>
        <w:rPr>
          <w:sz w:val="20"/>
          <w:szCs w:val="20"/>
          <w:color w:val="auto"/>
        </w:rPr>
      </w:pPr>
    </w:p>
    <w:p>
      <w:pPr>
        <w:ind w:left="9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-12700</wp:posOffset>
            </wp:positionV>
            <wp:extent cx="56235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18" w:lineRule="exact"/>
        <w:rPr>
          <w:sz w:val="20"/>
          <w:szCs w:val="20"/>
          <w:color w:val="auto"/>
        </w:rPr>
      </w:pPr>
    </w:p>
    <w:tbl>
      <w:tblPr>
        <w:tblLayout w:type="fixed"/>
        <w:tblInd w:w="980" w:type="dxa"/>
        <w:tblCellMar>
          <w:top w:w="0" w:type="dxa"/>
          <w:left w:w="0" w:type="dxa"/>
          <w:bottom w:w="0" w:type="dxa"/>
          <w:right w:w="0" w:type="dxa"/>
        </w:tblCellMar>
      </w:tblPr>
      <w:tr>
        <w:trPr>
          <w:trHeight w:val="215"/>
        </w:trPr>
        <w:tc>
          <w:tcPr>
            <w:tcW w:w="920" w:type="dxa"/>
            <w:vAlign w:val="bottom"/>
          </w:tcPr>
          <w:p>
            <w:pPr>
              <w:spacing w:after="0"/>
              <w:rPr>
                <w:sz w:val="20"/>
                <w:szCs w:val="20"/>
                <w:color w:val="auto"/>
              </w:rPr>
            </w:pPr>
            <w:r>
              <w:rPr>
                <w:rFonts w:ascii="Arial" w:cs="Arial" w:eastAsia="Arial" w:hAnsi="Arial"/>
                <w:sz w:val="16"/>
                <w:szCs w:val="16"/>
                <w:color w:val="62259D"/>
              </w:rPr>
              <w:t>​</w:t>
            </w:r>
          </w:p>
        </w:tc>
        <w:tc>
          <w:tcPr>
            <w:tcW w:w="4320" w:type="dxa"/>
            <w:vAlign w:val="bottom"/>
          </w:tcPr>
          <w:p>
            <w:pPr>
              <w:ind w:left="860"/>
              <w:spacing w:after="0"/>
              <w:rPr>
                <w:sz w:val="20"/>
                <w:szCs w:val="20"/>
                <w:color w:val="auto"/>
              </w:rPr>
            </w:pPr>
            <w:r>
              <w:rPr>
                <w:rFonts w:ascii="Arial" w:cs="Arial" w:eastAsia="Arial" w:hAnsi="Arial"/>
                <w:sz w:val="16"/>
                <w:szCs w:val="16"/>
                <w:color w:val="62259D"/>
              </w:rPr>
              <w:t>​</w:t>
            </w:r>
          </w:p>
        </w:tc>
        <w:tc>
          <w:tcPr>
            <w:tcW w:w="820" w:type="dxa"/>
            <w:vAlign w:val="bottom"/>
          </w:tcPr>
          <w:p>
            <w:pPr>
              <w:spacing w:after="0"/>
              <w:rPr>
                <w:sz w:val="18"/>
                <w:szCs w:val="18"/>
                <w:color w:val="auto"/>
              </w:rPr>
            </w:pPr>
          </w:p>
        </w:tc>
        <w:tc>
          <w:tcPr>
            <w:tcW w:w="2560" w:type="dxa"/>
            <w:vAlign w:val="bottom"/>
            <w:vMerge w:val="restart"/>
          </w:tcPr>
          <w:p>
            <w:pPr>
              <w:ind w:left="400"/>
              <w:spacing w:after="0"/>
              <w:rPr>
                <w:sz w:val="20"/>
                <w:szCs w:val="20"/>
                <w:color w:val="auto"/>
              </w:rPr>
            </w:pPr>
            <w:r>
              <w:rPr>
                <w:rFonts w:ascii="Arial" w:cs="Arial" w:eastAsia="Arial" w:hAnsi="Arial"/>
                <w:sz w:val="15"/>
                <w:szCs w:val="15"/>
                <w:b w:val="1"/>
                <w:bCs w:val="1"/>
                <w:color w:val="FEFEFE"/>
              </w:rPr>
              <w:t>Non-Independent Director</w:t>
            </w:r>
          </w:p>
        </w:tc>
        <w:tc>
          <w:tcPr>
            <w:tcW w:w="0" w:type="dxa"/>
            <w:vAlign w:val="bottom"/>
          </w:tcPr>
          <w:p>
            <w:pPr>
              <w:spacing w:after="0"/>
              <w:rPr>
                <w:sz w:val="1"/>
                <w:szCs w:val="1"/>
                <w:color w:val="auto"/>
              </w:rPr>
            </w:pPr>
          </w:p>
        </w:tc>
      </w:tr>
      <w:tr>
        <w:trPr>
          <w:trHeight w:val="77"/>
        </w:trPr>
        <w:tc>
          <w:tcPr>
            <w:tcW w:w="920" w:type="dxa"/>
            <w:vAlign w:val="bottom"/>
          </w:tcPr>
          <w:p>
            <w:pPr>
              <w:spacing w:after="0"/>
              <w:rPr>
                <w:sz w:val="6"/>
                <w:szCs w:val="6"/>
                <w:color w:val="auto"/>
              </w:rPr>
            </w:pPr>
          </w:p>
        </w:tc>
        <w:tc>
          <w:tcPr>
            <w:tcW w:w="4320" w:type="dxa"/>
            <w:vAlign w:val="bottom"/>
            <w:vMerge w:val="restart"/>
          </w:tcPr>
          <w:p>
            <w:pPr>
              <w:ind w:left="1080"/>
              <w:spacing w:after="0"/>
              <w:rPr>
                <w:sz w:val="20"/>
                <w:szCs w:val="20"/>
                <w:color w:val="auto"/>
              </w:rPr>
            </w:pPr>
            <w:r>
              <w:rPr>
                <w:rFonts w:ascii="Arial" w:cs="Arial" w:eastAsia="Arial" w:hAnsi="Arial"/>
                <w:sz w:val="15"/>
                <w:szCs w:val="15"/>
                <w:b w:val="1"/>
                <w:bCs w:val="1"/>
                <w:color w:val="FEFEFE"/>
              </w:rPr>
              <w:t xml:space="preserve">​  </w:t>
            </w:r>
            <w:r>
              <w:rPr>
                <w:rFonts w:ascii="Arial" w:cs="Arial" w:eastAsia="Arial" w:hAnsi="Arial"/>
                <w:sz w:val="25"/>
                <w:szCs w:val="25"/>
                <w:b w:val="1"/>
                <w:bCs w:val="1"/>
                <w:color w:val="FEFEFE"/>
              </w:rPr>
              <w:t>RICHARD W. SMITH</w:t>
            </w:r>
            <w:r>
              <w:rPr>
                <w:rFonts w:ascii="Arial" w:cs="Arial" w:eastAsia="Arial" w:hAnsi="Arial"/>
                <w:sz w:val="15"/>
                <w:szCs w:val="15"/>
                <w:b w:val="1"/>
                <w:bCs w:val="1"/>
                <w:color w:val="FEFEFE"/>
              </w:rPr>
              <w:t xml:space="preserve"> ​</w:t>
            </w:r>
          </w:p>
        </w:tc>
        <w:tc>
          <w:tcPr>
            <w:tcW w:w="820" w:type="dxa"/>
            <w:vAlign w:val="bottom"/>
          </w:tcPr>
          <w:p>
            <w:pPr>
              <w:spacing w:after="0"/>
              <w:rPr>
                <w:sz w:val="6"/>
                <w:szCs w:val="6"/>
                <w:color w:val="auto"/>
              </w:rPr>
            </w:pPr>
          </w:p>
        </w:tc>
        <w:tc>
          <w:tcPr>
            <w:tcW w:w="2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920" w:type="dxa"/>
            <w:vAlign w:val="bottom"/>
          </w:tcPr>
          <w:p>
            <w:pPr>
              <w:spacing w:after="0"/>
              <w:rPr>
                <w:sz w:val="20"/>
                <w:szCs w:val="20"/>
                <w:color w:val="auto"/>
              </w:rPr>
            </w:pPr>
          </w:p>
        </w:tc>
        <w:tc>
          <w:tcPr>
            <w:tcW w:w="4320" w:type="dxa"/>
            <w:vAlign w:val="bottom"/>
            <w:vMerge w:val="continue"/>
          </w:tcPr>
          <w:p>
            <w:pPr>
              <w:spacing w:after="0"/>
              <w:rPr>
                <w:sz w:val="20"/>
                <w:szCs w:val="20"/>
                <w:color w:val="auto"/>
              </w:rPr>
            </w:pPr>
          </w:p>
        </w:tc>
        <w:tc>
          <w:tcPr>
            <w:tcW w:w="820" w:type="dxa"/>
            <w:vAlign w:val="bottom"/>
          </w:tcPr>
          <w:p>
            <w:pPr>
              <w:ind w:left="380"/>
              <w:spacing w:after="0"/>
              <w:rPr>
                <w:sz w:val="20"/>
                <w:szCs w:val="20"/>
                <w:color w:val="auto"/>
              </w:rPr>
            </w:pPr>
            <w:r>
              <w:rPr>
                <w:rFonts w:ascii="Arial" w:cs="Arial" w:eastAsia="Arial" w:hAnsi="Arial"/>
                <w:sz w:val="15"/>
                <w:szCs w:val="15"/>
                <w:b w:val="1"/>
                <w:bCs w:val="1"/>
                <w:color w:val="FEFEFE"/>
              </w:rPr>
              <w:t>​</w:t>
            </w:r>
          </w:p>
        </w:tc>
        <w:tc>
          <w:tcPr>
            <w:tcW w:w="2560" w:type="dxa"/>
            <w:vAlign w:val="bottom"/>
          </w:tcPr>
          <w:p>
            <w:pPr>
              <w:ind w:left="1400"/>
              <w:spacing w:after="0"/>
              <w:rPr>
                <w:sz w:val="20"/>
                <w:szCs w:val="20"/>
                <w:color w:val="auto"/>
              </w:rPr>
            </w:pPr>
            <w:r>
              <w:rPr>
                <w:rFonts w:ascii="Arial" w:cs="Arial" w:eastAsia="Arial" w:hAnsi="Arial"/>
                <w:sz w:val="15"/>
                <w:szCs w:val="15"/>
                <w:b w:val="1"/>
                <w:bCs w:val="1"/>
                <w:color w:val="FEFEFE"/>
              </w:rPr>
              <w:t>Director since​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-323215</wp:posOffset>
            </wp:positionV>
            <wp:extent cx="5546090" cy="10883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46090" cy="1088390"/>
                    </a:xfrm>
                    <a:prstGeom prst="rect">
                      <a:avLst/>
                    </a:prstGeom>
                    <a:noFill/>
                  </pic:spPr>
                </pic:pic>
              </a:graphicData>
            </a:graphic>
          </wp:anchor>
        </w:drawing>
      </w:r>
    </w:p>
    <w:p>
      <w:pPr>
        <w:ind w:left="8500"/>
        <w:spacing w:after="0"/>
        <w:rPr>
          <w:sz w:val="20"/>
          <w:szCs w:val="20"/>
          <w:color w:val="auto"/>
        </w:rPr>
      </w:pPr>
      <w:r>
        <w:rPr>
          <w:rFonts w:ascii="Arial" w:cs="Arial" w:eastAsia="Arial" w:hAnsi="Arial"/>
          <w:sz w:val="15"/>
          <w:szCs w:val="15"/>
          <w:b w:val="1"/>
          <w:bCs w:val="1"/>
          <w:color w:val="FEFEFE"/>
        </w:rPr>
        <w:t>October 2017</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72</w:t>
      </w:r>
    </w:p>
    <w:p>
      <w:pPr>
        <w:spacing w:after="0" w:line="100"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COMMITTEES</w:t>
      </w:r>
    </w:p>
    <w:p>
      <w:pPr>
        <w:spacing w:after="0" w:line="73" w:lineRule="exact"/>
        <w:rPr>
          <w:sz w:val="20"/>
          <w:szCs w:val="20"/>
          <w:color w:val="auto"/>
        </w:rPr>
      </w:pPr>
    </w:p>
    <w:p>
      <w:pPr>
        <w:ind w:left="1200" w:hanging="168"/>
        <w:spacing w:after="0"/>
        <w:tabs>
          <w:tab w:leader="none" w:pos="1200" w:val="left"/>
        </w:tabs>
        <w:numPr>
          <w:ilvl w:val="0"/>
          <w:numId w:val="47"/>
        </w:numPr>
        <w:rPr>
          <w:rFonts w:ascii="Arial" w:cs="Arial" w:eastAsia="Arial" w:hAnsi="Arial"/>
          <w:sz w:val="16"/>
          <w:szCs w:val="16"/>
          <w:color w:val="62259D"/>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104" w:hanging="104"/>
        <w:spacing w:after="0"/>
        <w:tabs>
          <w:tab w:leader="none" w:pos="104"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62259D"/>
        </w:rPr>
        <w:t>BACKGROUND</w:t>
      </w:r>
    </w:p>
    <w:p>
      <w:pPr>
        <w:spacing w:after="0" w:line="45" w:lineRule="exact"/>
        <w:rPr>
          <w:rFonts w:ascii="Arial" w:cs="Arial" w:eastAsia="Arial" w:hAnsi="Arial"/>
          <w:sz w:val="16"/>
          <w:szCs w:val="16"/>
          <w:color w:val="auto"/>
        </w:rPr>
      </w:pPr>
    </w:p>
    <w:p>
      <w:pPr>
        <w:ind w:left="104" w:right="100"/>
        <w:spacing w:after="0" w:line="237" w:lineRule="auto"/>
        <w:rPr>
          <w:rFonts w:ascii="Arial" w:cs="Arial" w:eastAsia="Arial" w:hAnsi="Arial"/>
          <w:sz w:val="16"/>
          <w:szCs w:val="16"/>
          <w:color w:val="auto"/>
        </w:rPr>
      </w:pPr>
      <w:r>
        <w:rPr>
          <w:rFonts w:ascii="Arial" w:cs="Arial" w:eastAsia="Arial" w:hAnsi="Arial"/>
          <w:sz w:val="16"/>
          <w:szCs w:val="16"/>
          <w:b w:val="1"/>
          <w:bCs w:val="1"/>
          <w:color w:val="auto"/>
        </w:rPr>
        <w:t>JPMorgan Chase &amp; Co.</w:t>
      </w:r>
      <w:r>
        <w:rPr>
          <w:rFonts w:ascii="Arial" w:cs="Arial" w:eastAsia="Arial" w:hAnsi="Arial"/>
          <w:sz w:val="16"/>
          <w:szCs w:val="16"/>
          <w:color w:val="auto"/>
        </w:rPr>
        <w:t>, a multinational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banking and financial services holding company</w:t>
      </w:r>
    </w:p>
    <w:p>
      <w:pPr>
        <w:spacing w:after="0" w:line="50" w:lineRule="exact"/>
        <w:rPr>
          <w:rFonts w:ascii="Arial" w:cs="Arial" w:eastAsia="Arial" w:hAnsi="Arial"/>
          <w:sz w:val="16"/>
          <w:szCs w:val="16"/>
          <w:color w:val="auto"/>
        </w:rPr>
      </w:pPr>
    </w:p>
    <w:p>
      <w:pPr>
        <w:ind w:left="264" w:right="120" w:hanging="156"/>
        <w:spacing w:after="0" w:line="233" w:lineRule="auto"/>
        <w:tabs>
          <w:tab w:leader="none" w:pos="264" w:val="left"/>
        </w:tabs>
        <w:numPr>
          <w:ilvl w:val="1"/>
          <w:numId w:val="48"/>
        </w:numPr>
        <w:rPr>
          <w:rFonts w:ascii="Arial" w:cs="Arial" w:eastAsia="Arial" w:hAnsi="Arial"/>
          <w:sz w:val="16"/>
          <w:szCs w:val="16"/>
          <w:color w:val="62259D"/>
        </w:rPr>
      </w:pPr>
      <w:r>
        <w:rPr>
          <w:rFonts w:ascii="Arial" w:cs="Arial" w:eastAsia="Arial" w:hAnsi="Arial"/>
          <w:sz w:val="16"/>
          <w:szCs w:val="16"/>
          <w:color w:val="auto"/>
        </w:rPr>
        <w:t>Chairman, Private Capital, creating and guiding a series of investment entities focused initially on technology and healthcare, funded by the bank and clients (February 2021 to present)</w:t>
      </w:r>
    </w:p>
    <w:p>
      <w:pPr>
        <w:spacing w:after="0" w:line="51" w:lineRule="exact"/>
        <w:rPr>
          <w:rFonts w:ascii="Arial" w:cs="Arial" w:eastAsia="Arial" w:hAnsi="Arial"/>
          <w:sz w:val="16"/>
          <w:szCs w:val="16"/>
          <w:color w:val="62259D"/>
        </w:rPr>
      </w:pPr>
    </w:p>
    <w:p>
      <w:pPr>
        <w:ind w:left="264" w:hanging="156"/>
        <w:spacing w:after="0" w:line="234" w:lineRule="auto"/>
        <w:tabs>
          <w:tab w:leader="none" w:pos="264" w:val="left"/>
        </w:tabs>
        <w:numPr>
          <w:ilvl w:val="1"/>
          <w:numId w:val="48"/>
        </w:numPr>
        <w:rPr>
          <w:rFonts w:ascii="Arial" w:cs="Arial" w:eastAsia="Arial" w:hAnsi="Arial"/>
          <w:sz w:val="16"/>
          <w:szCs w:val="16"/>
          <w:color w:val="62259D"/>
        </w:rPr>
      </w:pPr>
      <w:r>
        <w:rPr>
          <w:rFonts w:ascii="Arial" w:cs="Arial" w:eastAsia="Arial" w:hAnsi="Arial"/>
          <w:sz w:val="16"/>
          <w:szCs w:val="16"/>
          <w:color w:val="auto"/>
        </w:rPr>
        <w:t>Head of Private Investments, responsible for private and public company investments solely funded by the bank (November 2014 to January 2021)</w:t>
      </w:r>
    </w:p>
    <w:p>
      <w:pPr>
        <w:spacing w:after="0" w:line="51" w:lineRule="exact"/>
        <w:rPr>
          <w:rFonts w:ascii="Arial" w:cs="Arial" w:eastAsia="Arial" w:hAnsi="Arial"/>
          <w:sz w:val="16"/>
          <w:szCs w:val="16"/>
          <w:color w:val="62259D"/>
        </w:rPr>
      </w:pPr>
    </w:p>
    <w:p>
      <w:pPr>
        <w:ind w:left="264" w:right="80" w:hanging="156"/>
        <w:spacing w:after="0" w:line="259" w:lineRule="auto"/>
        <w:tabs>
          <w:tab w:leader="none" w:pos="264" w:val="left"/>
        </w:tabs>
        <w:numPr>
          <w:ilvl w:val="1"/>
          <w:numId w:val="48"/>
        </w:numPr>
        <w:rPr>
          <w:rFonts w:ascii="Arial" w:cs="Arial" w:eastAsia="Arial" w:hAnsi="Arial"/>
          <w:sz w:val="16"/>
          <w:szCs w:val="16"/>
          <w:color w:val="62259D"/>
        </w:rPr>
      </w:pPr>
      <w:r>
        <w:rPr>
          <w:rFonts w:ascii="Arial" w:cs="Arial" w:eastAsia="Arial" w:hAnsi="Arial"/>
          <w:sz w:val="16"/>
          <w:szCs w:val="16"/>
          <w:color w:val="auto"/>
        </w:rPr>
        <w:t>One Equity Partners, Partner (July 2002 to present)</w:t>
      </w:r>
    </w:p>
    <w:p>
      <w:pPr>
        <w:spacing w:after="0" w:line="19" w:lineRule="exact"/>
        <w:rPr>
          <w:sz w:val="20"/>
          <w:szCs w:val="20"/>
          <w:color w:val="auto"/>
        </w:rPr>
      </w:pPr>
    </w:p>
    <w:p>
      <w:pPr>
        <w:ind w:left="104" w:right="540"/>
        <w:spacing w:after="0" w:line="244" w:lineRule="auto"/>
        <w:rPr>
          <w:sz w:val="20"/>
          <w:szCs w:val="20"/>
          <w:color w:val="auto"/>
        </w:rPr>
      </w:pPr>
      <w:r>
        <w:rPr>
          <w:rFonts w:ascii="Arial" w:cs="Arial" w:eastAsia="Arial" w:hAnsi="Arial"/>
          <w:sz w:val="16"/>
          <w:szCs w:val="16"/>
          <w:b w:val="1"/>
          <w:bCs w:val="1"/>
          <w:color w:val="auto"/>
        </w:rPr>
        <w:t xml:space="preserve">Allegra Partners </w:t>
      </w:r>
      <w:r>
        <w:rPr>
          <w:rFonts w:ascii="Arial" w:cs="Arial" w:eastAsia="Arial" w:hAnsi="Arial"/>
          <w:sz w:val="16"/>
          <w:szCs w:val="16"/>
          <w:color w:val="auto"/>
        </w:rPr>
        <w:t>and predecessor</w:t>
      </w:r>
      <w:r>
        <w:rPr>
          <w:rFonts w:ascii="Arial" w:cs="Arial" w:eastAsia="Arial" w:hAnsi="Arial"/>
          <w:sz w:val="16"/>
          <w:szCs w:val="16"/>
          <w:b w:val="1"/>
          <w:bCs w:val="1"/>
          <w:color w:val="auto"/>
        </w:rPr>
        <w:t xml:space="preserve"> </w:t>
      </w:r>
      <w:r>
        <w:rPr>
          <w:rFonts w:ascii="Arial" w:cs="Arial" w:eastAsia="Arial" w:hAnsi="Arial"/>
          <w:sz w:val="16"/>
          <w:szCs w:val="16"/>
          <w:color w:val="auto"/>
        </w:rPr>
        <w:t>entities</w:t>
      </w:r>
    </w:p>
    <w:p>
      <w:pPr>
        <w:spacing w:after="0" w:line="46" w:lineRule="exact"/>
        <w:rPr>
          <w:sz w:val="20"/>
          <w:szCs w:val="20"/>
          <w:color w:val="auto"/>
        </w:rPr>
      </w:pPr>
    </w:p>
    <w:p>
      <w:pPr>
        <w:ind w:left="264" w:hanging="156"/>
        <w:spacing w:after="0"/>
        <w:tabs>
          <w:tab w:leader="none" w:pos="264" w:val="left"/>
        </w:tabs>
        <w:numPr>
          <w:ilvl w:val="0"/>
          <w:numId w:val="49"/>
        </w:numPr>
        <w:rPr>
          <w:rFonts w:ascii="Arial" w:cs="Arial" w:eastAsia="Arial" w:hAnsi="Arial"/>
          <w:sz w:val="16"/>
          <w:szCs w:val="16"/>
          <w:color w:val="62259D"/>
        </w:rPr>
      </w:pPr>
      <w:r>
        <w:rPr>
          <w:rFonts w:ascii="Arial" w:cs="Arial" w:eastAsia="Arial" w:hAnsi="Arial"/>
          <w:sz w:val="16"/>
          <w:szCs w:val="16"/>
          <w:color w:val="auto"/>
        </w:rPr>
        <w:t>Managing Partner (1981 to 2013)</w:t>
      </w:r>
    </w:p>
    <w:p>
      <w:pPr>
        <w:spacing w:after="0" w:line="44" w:lineRule="exact"/>
        <w:rPr>
          <w:sz w:val="20"/>
          <w:szCs w:val="20"/>
          <w:color w:val="auto"/>
        </w:rPr>
      </w:pPr>
    </w:p>
    <w:p>
      <w:pPr>
        <w:ind w:left="104"/>
        <w:spacing w:after="0"/>
        <w:rPr>
          <w:sz w:val="20"/>
          <w:szCs w:val="20"/>
          <w:color w:val="auto"/>
        </w:rPr>
      </w:pPr>
      <w:r>
        <w:rPr>
          <w:rFonts w:ascii="Arial" w:cs="Arial" w:eastAsia="Arial" w:hAnsi="Arial"/>
          <w:sz w:val="16"/>
          <w:szCs w:val="16"/>
          <w:b w:val="1"/>
          <w:bCs w:val="1"/>
          <w:color w:val="auto"/>
        </w:rPr>
        <w:t>Citicorp Venture Capital Ltd.</w:t>
      </w:r>
      <w:r>
        <w:rPr>
          <w:rFonts w:ascii="Arial" w:cs="Arial" w:eastAsia="Arial" w:hAnsi="Arial"/>
          <w:sz w:val="16"/>
          <w:szCs w:val="16"/>
          <w:color w:val="auto"/>
        </w:rPr>
        <w:t>, a former</w:t>
      </w:r>
    </w:p>
    <w:p>
      <w:pPr>
        <w:spacing w:after="0" w:line="8" w:lineRule="exact"/>
        <w:rPr>
          <w:sz w:val="20"/>
          <w:szCs w:val="20"/>
          <w:color w:val="auto"/>
        </w:rPr>
      </w:pPr>
    </w:p>
    <w:p>
      <w:pPr>
        <w:ind w:left="104" w:right="420"/>
        <w:spacing w:after="0" w:line="241" w:lineRule="auto"/>
        <w:rPr>
          <w:sz w:val="20"/>
          <w:szCs w:val="20"/>
          <w:color w:val="auto"/>
        </w:rPr>
      </w:pPr>
      <w:r>
        <w:rPr>
          <w:rFonts w:ascii="Arial" w:cs="Arial" w:eastAsia="Arial" w:hAnsi="Arial"/>
          <w:sz w:val="16"/>
          <w:szCs w:val="16"/>
          <w:color w:val="auto"/>
        </w:rPr>
        <w:t>venture and private equity investment division of Citigroup Inc.</w:t>
      </w:r>
    </w:p>
    <w:p>
      <w:pPr>
        <w:spacing w:after="0" w:line="48" w:lineRule="exact"/>
        <w:rPr>
          <w:sz w:val="20"/>
          <w:szCs w:val="20"/>
          <w:color w:val="auto"/>
        </w:rPr>
      </w:pPr>
    </w:p>
    <w:p>
      <w:pPr>
        <w:ind w:left="264" w:right="340" w:hanging="156"/>
        <w:spacing w:after="0" w:line="241" w:lineRule="auto"/>
        <w:tabs>
          <w:tab w:leader="none" w:pos="264" w:val="left"/>
        </w:tabs>
        <w:numPr>
          <w:ilvl w:val="0"/>
          <w:numId w:val="50"/>
        </w:numPr>
        <w:rPr>
          <w:rFonts w:ascii="Arial" w:cs="Arial" w:eastAsia="Arial" w:hAnsi="Arial"/>
          <w:sz w:val="16"/>
          <w:szCs w:val="16"/>
          <w:color w:val="62259D"/>
        </w:rPr>
      </w:pPr>
      <w:r>
        <w:rPr>
          <w:rFonts w:ascii="Arial" w:cs="Arial" w:eastAsia="Arial" w:hAnsi="Arial"/>
          <w:sz w:val="16"/>
          <w:szCs w:val="16"/>
          <w:color w:val="auto"/>
        </w:rPr>
        <w:t>Senior Investment Manager (1979 to 1981)</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tabs>
          <w:tab w:leader="none" w:pos="3380" w:val="left"/>
        </w:tabs>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62259D"/>
        </w:rPr>
        <w:t>BOARD SERVICE</w:t>
      </w:r>
      <w:r>
        <w:rPr>
          <w:sz w:val="20"/>
          <w:szCs w:val="20"/>
          <w:color w:val="auto"/>
        </w:rPr>
        <w:tab/>
      </w:r>
      <w:r>
        <w:rPr>
          <w:rFonts w:ascii="Arial" w:cs="Arial" w:eastAsia="Arial" w:hAnsi="Arial"/>
          <w:sz w:val="16"/>
          <w:szCs w:val="16"/>
          <w:color w:val="auto"/>
        </w:rPr>
        <w:t>​</w:t>
      </w:r>
    </w:p>
    <w:p>
      <w:pPr>
        <w:spacing w:after="0" w:line="59" w:lineRule="exact"/>
        <w:rPr>
          <w:sz w:val="20"/>
          <w:szCs w:val="20"/>
          <w:color w:val="auto"/>
        </w:rPr>
      </w:pPr>
    </w:p>
    <w:p>
      <w:pPr>
        <w:ind w:left="360" w:hanging="154"/>
        <w:spacing w:after="0"/>
        <w:tabs>
          <w:tab w:leader="none" w:pos="360" w:val="left"/>
        </w:tabs>
        <w:numPr>
          <w:ilvl w:val="0"/>
          <w:numId w:val="51"/>
        </w:numPr>
        <w:rPr>
          <w:rFonts w:ascii="Arial" w:cs="Arial" w:eastAsia="Arial" w:hAnsi="Arial"/>
          <w:sz w:val="16"/>
          <w:szCs w:val="16"/>
          <w:color w:val="62259D"/>
        </w:rPr>
      </w:pPr>
      <w:r>
        <w:rPr>
          <w:rFonts w:ascii="Arial" w:cs="Arial" w:eastAsia="Arial" w:hAnsi="Arial"/>
          <w:sz w:val="16"/>
          <w:szCs w:val="16"/>
          <w:b w:val="1"/>
          <w:bCs w:val="1"/>
          <w:color w:val="auto"/>
        </w:rPr>
        <w:t xml:space="preserve">GENBAND </w:t>
      </w:r>
      <w:r>
        <w:rPr>
          <w:rFonts w:ascii="Arial" w:cs="Arial" w:eastAsia="Arial" w:hAnsi="Arial"/>
          <w:sz w:val="16"/>
          <w:szCs w:val="16"/>
          <w:color w:val="auto"/>
        </w:rPr>
        <w:t>(2014 to 2017)</w:t>
      </w:r>
    </w:p>
    <w:p>
      <w:pPr>
        <w:spacing w:after="0" w:line="61" w:lineRule="exact"/>
        <w:rPr>
          <w:rFonts w:ascii="Arial" w:cs="Arial" w:eastAsia="Arial" w:hAnsi="Arial"/>
          <w:sz w:val="16"/>
          <w:szCs w:val="16"/>
          <w:color w:val="62259D"/>
        </w:rPr>
      </w:pPr>
    </w:p>
    <w:p>
      <w:pPr>
        <w:ind w:left="360" w:right="279" w:hanging="154"/>
        <w:spacing w:after="0" w:line="244" w:lineRule="auto"/>
        <w:tabs>
          <w:tab w:leader="none" w:pos="360" w:val="left"/>
        </w:tabs>
        <w:numPr>
          <w:ilvl w:val="0"/>
          <w:numId w:val="51"/>
        </w:numPr>
        <w:rPr>
          <w:rFonts w:ascii="Arial" w:cs="Arial" w:eastAsia="Arial" w:hAnsi="Arial"/>
          <w:sz w:val="16"/>
          <w:szCs w:val="16"/>
          <w:color w:val="62259D"/>
        </w:rPr>
      </w:pPr>
      <w:r>
        <w:rPr>
          <w:rFonts w:ascii="Arial" w:cs="Arial" w:eastAsia="Arial" w:hAnsi="Arial"/>
          <w:sz w:val="16"/>
          <w:szCs w:val="16"/>
          <w:color w:val="auto"/>
        </w:rPr>
        <w:t>has over 45 years of experience as a board member of both public and private companies</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2259D"/>
        </w:rPr>
        <w:t>PUBLICATION</w:t>
      </w:r>
    </w:p>
    <w:p>
      <w:pPr>
        <w:spacing w:after="0" w:line="61" w:lineRule="exact"/>
        <w:rPr>
          <w:sz w:val="20"/>
          <w:szCs w:val="20"/>
          <w:color w:val="auto"/>
        </w:rPr>
      </w:pPr>
    </w:p>
    <w:p>
      <w:pPr>
        <w:ind w:left="360" w:right="239" w:hanging="154"/>
        <w:spacing w:after="0" w:line="244" w:lineRule="auto"/>
        <w:tabs>
          <w:tab w:leader="none" w:pos="360" w:val="left"/>
        </w:tabs>
        <w:numPr>
          <w:ilvl w:val="0"/>
          <w:numId w:val="52"/>
        </w:numPr>
        <w:rPr>
          <w:rFonts w:ascii="Arial" w:cs="Arial" w:eastAsia="Arial" w:hAnsi="Arial"/>
          <w:sz w:val="16"/>
          <w:szCs w:val="16"/>
          <w:color w:val="62259D"/>
        </w:rPr>
      </w:pPr>
      <w:r>
        <w:rPr>
          <w:rFonts w:ascii="Arial" w:cs="Arial" w:eastAsia="Arial" w:hAnsi="Arial"/>
          <w:sz w:val="16"/>
          <w:szCs w:val="16"/>
          <w:color w:val="auto"/>
        </w:rPr>
        <w:t xml:space="preserve">Co-author of the book </w:t>
      </w:r>
      <w:r>
        <w:rPr>
          <w:rFonts w:ascii="Arial" w:cs="Arial" w:eastAsia="Arial" w:hAnsi="Arial"/>
          <w:sz w:val="16"/>
          <w:szCs w:val="16"/>
          <w:i w:val="1"/>
          <w:iCs w:val="1"/>
          <w:color w:val="auto"/>
        </w:rPr>
        <w:t>Treasury</w:t>
      </w:r>
      <w:r>
        <w:rPr>
          <w:rFonts w:ascii="Arial" w:cs="Arial" w:eastAsia="Arial" w:hAnsi="Arial"/>
          <w:sz w:val="16"/>
          <w:szCs w:val="16"/>
          <w:color w:val="auto"/>
        </w:rPr>
        <w:t xml:space="preserve"> </w:t>
      </w:r>
      <w:r>
        <w:rPr>
          <w:rFonts w:ascii="Arial" w:cs="Arial" w:eastAsia="Arial" w:hAnsi="Arial"/>
          <w:sz w:val="16"/>
          <w:szCs w:val="16"/>
          <w:i w:val="1"/>
          <w:iCs w:val="1"/>
          <w:color w:val="auto"/>
        </w:rPr>
        <w:t>Management: A Practitioner’s Handbook</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John Wiley &amp; Sons, 1980</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2259D"/>
        </w:rPr>
        <w:t>EDUCATION</w:t>
      </w:r>
    </w:p>
    <w:p>
      <w:pPr>
        <w:spacing w:after="0" w:line="61" w:lineRule="exact"/>
        <w:rPr>
          <w:sz w:val="20"/>
          <w:szCs w:val="20"/>
          <w:color w:val="auto"/>
        </w:rPr>
      </w:pPr>
    </w:p>
    <w:p>
      <w:pPr>
        <w:ind w:left="360" w:hanging="154"/>
        <w:spacing w:after="0"/>
        <w:tabs>
          <w:tab w:leader="none" w:pos="360" w:val="left"/>
        </w:tabs>
        <w:numPr>
          <w:ilvl w:val="0"/>
          <w:numId w:val="53"/>
        </w:numPr>
        <w:rPr>
          <w:rFonts w:ascii="Arial" w:cs="Arial" w:eastAsia="Arial" w:hAnsi="Arial"/>
          <w:sz w:val="16"/>
          <w:szCs w:val="16"/>
          <w:color w:val="62259D"/>
        </w:rPr>
      </w:pPr>
      <w:r>
        <w:rPr>
          <w:rFonts w:ascii="Arial" w:cs="Arial" w:eastAsia="Arial" w:hAnsi="Arial"/>
          <w:sz w:val="16"/>
          <w:szCs w:val="16"/>
          <w:color w:val="auto"/>
        </w:rPr>
        <w:t>B.A., Harvard College</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2259D"/>
        </w:rPr>
        <w:t>SKILLS AND EXPERTISE</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believe Mr. Smith is qualified to serve</w:t>
      </w:r>
    </w:p>
    <w:p>
      <w:pPr>
        <w:spacing w:after="0" w:line="6" w:lineRule="exact"/>
        <w:rPr>
          <w:sz w:val="20"/>
          <w:szCs w:val="20"/>
          <w:color w:val="auto"/>
        </w:rPr>
      </w:pPr>
    </w:p>
    <w:p>
      <w:pPr>
        <w:ind w:left="200" w:right="439"/>
        <w:spacing w:after="0" w:line="220" w:lineRule="auto"/>
        <w:rPr>
          <w:sz w:val="20"/>
          <w:szCs w:val="20"/>
          <w:color w:val="auto"/>
        </w:rPr>
      </w:pPr>
      <w:r>
        <w:rPr>
          <w:rFonts w:ascii="Arial" w:cs="Arial" w:eastAsia="Arial" w:hAnsi="Arial"/>
          <w:sz w:val="16"/>
          <w:szCs w:val="16"/>
          <w:color w:val="auto"/>
        </w:rPr>
        <w:t>on the Board due to his extensive background in finance and private equity</w:t>
      </w:r>
    </w:p>
    <w:p>
      <w:pPr>
        <w:ind w:left="200"/>
        <w:spacing w:after="0" w:line="229" w:lineRule="auto"/>
        <w:rPr>
          <w:sz w:val="20"/>
          <w:szCs w:val="20"/>
          <w:color w:val="auto"/>
        </w:rPr>
      </w:pPr>
      <w:r>
        <w:rPr>
          <w:rFonts w:ascii="Arial" w:cs="Arial" w:eastAsia="Arial" w:hAnsi="Arial"/>
          <w:sz w:val="16"/>
          <w:szCs w:val="16"/>
          <w:color w:val="auto"/>
        </w:rPr>
        <w:t>and his experience serving as a director of</w:t>
      </w:r>
    </w:p>
    <w:p>
      <w:pPr>
        <w:ind w:left="200" w:right="659"/>
        <w:spacing w:after="0" w:line="231" w:lineRule="auto"/>
        <w:rPr>
          <w:sz w:val="20"/>
          <w:szCs w:val="20"/>
          <w:color w:val="auto"/>
        </w:rPr>
      </w:pPr>
      <w:r>
        <w:rPr>
          <w:rFonts w:ascii="Arial" w:cs="Arial" w:eastAsia="Arial" w:hAnsi="Arial"/>
          <w:sz w:val="16"/>
          <w:szCs w:val="16"/>
          <w:color w:val="auto"/>
        </w:rPr>
        <w:t>companies in the telecommunications industry.</w:t>
      </w:r>
    </w:p>
    <w:p>
      <w:pPr>
        <w:spacing w:after="0" w:line="803" w:lineRule="exact"/>
        <w:rPr>
          <w:sz w:val="20"/>
          <w:szCs w:val="20"/>
          <w:color w:val="auto"/>
        </w:rPr>
      </w:pPr>
    </w:p>
    <w:p>
      <w:pPr>
        <w:sectPr>
          <w:pgSz w:w="11900" w:h="16838" w:orient="portrait"/>
          <w:cols w:equalWidth="0" w:num="3">
            <w:col w:w="2256" w:space="720"/>
            <w:col w:w="3264" w:space="40"/>
            <w:col w:w="3599"/>
          </w:cols>
          <w:pgMar w:left="580" w:top="97" w:right="1440" w:bottom="1440" w:gutter="0" w:footer="0" w:header="0"/>
          <w:type w:val="continuous"/>
        </w:sectPr>
      </w:pPr>
    </w:p>
    <w:p>
      <w:pPr>
        <w:ind w:left="3080"/>
        <w:spacing w:after="0"/>
        <w:rPr>
          <w:sz w:val="20"/>
          <w:szCs w:val="20"/>
          <w:color w:val="auto"/>
        </w:rPr>
      </w:pPr>
      <w:r>
        <w:rPr>
          <w:rFonts w:ascii="Arial" w:cs="Arial" w:eastAsia="Arial" w:hAnsi="Arial"/>
          <w:sz w:val="16"/>
          <w:szCs w:val="16"/>
          <w:b w:val="1"/>
          <w:bCs w:val="1"/>
          <w:color w:val="auto"/>
        </w:rPr>
        <w:t>Morgan Guaranty Trust Company of</w:t>
      </w:r>
    </w:p>
    <w:p>
      <w:pPr>
        <w:spacing w:after="0" w:line="8" w:lineRule="exact"/>
        <w:rPr>
          <w:sz w:val="20"/>
          <w:szCs w:val="20"/>
          <w:color w:val="auto"/>
        </w:rPr>
      </w:pPr>
    </w:p>
    <w:p>
      <w:pPr>
        <w:ind w:left="3080"/>
        <w:spacing w:after="0"/>
        <w:rPr>
          <w:sz w:val="20"/>
          <w:szCs w:val="20"/>
          <w:color w:val="auto"/>
        </w:rPr>
      </w:pPr>
      <w:r>
        <w:rPr>
          <w:rFonts w:ascii="Arial" w:cs="Arial" w:eastAsia="Arial" w:hAnsi="Arial"/>
          <w:sz w:val="16"/>
          <w:szCs w:val="16"/>
          <w:b w:val="1"/>
          <w:bCs w:val="1"/>
          <w:color w:val="auto"/>
        </w:rPr>
        <w:t>New York</w:t>
      </w:r>
    </w:p>
    <w:p>
      <w:pPr>
        <w:spacing w:after="0" w:line="59" w:lineRule="exact"/>
        <w:rPr>
          <w:sz w:val="20"/>
          <w:szCs w:val="20"/>
          <w:color w:val="auto"/>
        </w:rPr>
      </w:pPr>
    </w:p>
    <w:p>
      <w:pPr>
        <w:ind w:left="3240" w:right="3699" w:hanging="156"/>
        <w:spacing w:after="0" w:line="259" w:lineRule="auto"/>
        <w:tabs>
          <w:tab w:leader="none" w:pos="3240" w:val="left"/>
        </w:tabs>
        <w:numPr>
          <w:ilvl w:val="0"/>
          <w:numId w:val="54"/>
        </w:numPr>
        <w:rPr>
          <w:rFonts w:ascii="Arial" w:cs="Arial" w:eastAsia="Arial" w:hAnsi="Arial"/>
          <w:sz w:val="16"/>
          <w:szCs w:val="16"/>
          <w:color w:val="62259D"/>
        </w:rPr>
      </w:pPr>
      <w:r>
        <w:rPr>
          <w:rFonts w:ascii="Arial" w:cs="Arial" w:eastAsia="Arial" w:hAnsi="Arial"/>
          <w:sz w:val="16"/>
          <w:szCs w:val="16"/>
          <w:color w:val="auto"/>
        </w:rPr>
        <w:t>International Money Management Group (1974 to 1979)</w:t>
      </w:r>
    </w:p>
    <w:p>
      <w:pPr>
        <w:spacing w:after="0" w:line="233" w:lineRule="exact"/>
        <w:rPr>
          <w:sz w:val="20"/>
          <w:szCs w:val="20"/>
          <w:color w:val="auto"/>
        </w:rPr>
      </w:pPr>
    </w:p>
    <w:p>
      <w:pPr>
        <w:ind w:left="9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-12700</wp:posOffset>
            </wp:positionV>
            <wp:extent cx="56235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194" w:lineRule="exact"/>
        <w:rPr>
          <w:sz w:val="20"/>
          <w:szCs w:val="20"/>
          <w:color w:val="auto"/>
        </w:rPr>
      </w:pPr>
    </w:p>
    <w:p>
      <w:pPr>
        <w:ind w:left="980"/>
        <w:spacing w:after="0"/>
        <w:tabs>
          <w:tab w:leader="none" w:pos="27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-107315</wp:posOffset>
            </wp:positionV>
            <wp:extent cx="1088390" cy="10890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88390"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63</w:t>
      </w:r>
    </w:p>
    <w:p>
      <w:pPr>
        <w:spacing w:after="0" w:line="100"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COMMITTEES</w:t>
      </w:r>
    </w:p>
    <w:p>
      <w:pPr>
        <w:spacing w:after="0" w:line="73" w:lineRule="exact"/>
        <w:rPr>
          <w:sz w:val="20"/>
          <w:szCs w:val="20"/>
          <w:color w:val="auto"/>
        </w:rPr>
      </w:pPr>
    </w:p>
    <w:p>
      <w:pPr>
        <w:ind w:left="1200" w:hanging="168"/>
        <w:spacing w:after="0"/>
        <w:tabs>
          <w:tab w:leader="none" w:pos="1200" w:val="left"/>
        </w:tabs>
        <w:numPr>
          <w:ilvl w:val="0"/>
          <w:numId w:val="55"/>
        </w:numPr>
        <w:rPr>
          <w:rFonts w:ascii="Arial" w:cs="Arial" w:eastAsia="Arial" w:hAnsi="Arial"/>
          <w:sz w:val="16"/>
          <w:szCs w:val="16"/>
          <w:color w:val="62259D"/>
        </w:rPr>
      </w:pPr>
      <w:r>
        <w:rPr>
          <w:rFonts w:ascii="Arial" w:cs="Arial" w:eastAsia="Arial" w:hAnsi="Arial"/>
          <w:sz w:val="16"/>
          <w:szCs w:val="16"/>
          <w:color w:val="auto"/>
        </w:rPr>
        <w:t>Compensation</w:t>
      </w:r>
    </w:p>
    <w:p>
      <w:pPr>
        <w:spacing w:after="0" w:line="59" w:lineRule="exact"/>
        <w:rPr>
          <w:rFonts w:ascii="Arial" w:cs="Arial" w:eastAsia="Arial" w:hAnsi="Arial"/>
          <w:sz w:val="16"/>
          <w:szCs w:val="16"/>
          <w:color w:val="62259D"/>
        </w:rPr>
      </w:pPr>
    </w:p>
    <w:p>
      <w:pPr>
        <w:ind w:left="1200" w:right="280" w:hanging="168"/>
        <w:spacing w:after="0" w:line="248" w:lineRule="auto"/>
        <w:tabs>
          <w:tab w:leader="none" w:pos="1200" w:val="left"/>
        </w:tabs>
        <w:numPr>
          <w:ilvl w:val="0"/>
          <w:numId w:val="55"/>
        </w:numPr>
        <w:rPr>
          <w:rFonts w:ascii="Arial" w:cs="Arial" w:eastAsia="Arial" w:hAnsi="Arial"/>
          <w:sz w:val="16"/>
          <w:szCs w:val="16"/>
          <w:color w:val="62259D"/>
        </w:rPr>
      </w:pPr>
      <w:r>
        <w:rPr>
          <w:rFonts w:ascii="Arial" w:cs="Arial" w:eastAsia="Arial" w:hAnsi="Arial"/>
          <w:sz w:val="16"/>
          <w:szCs w:val="16"/>
          <w:color w:val="auto"/>
        </w:rPr>
        <w:t>Nominating, Sustainability and Corporate Governance</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left="4"/>
        <w:spacing w:after="0"/>
        <w:tabs>
          <w:tab w:leader="none" w:pos="203" w:val="left"/>
        </w:tabs>
        <w:rPr>
          <w:sz w:val="20"/>
          <w:szCs w:val="20"/>
          <w:color w:val="auto"/>
        </w:rPr>
      </w:pPr>
      <w:r>
        <w:rPr>
          <w:rFonts w:ascii="Arial" w:cs="Arial" w:eastAsia="Arial" w:hAnsi="Arial"/>
          <w:sz w:val="15"/>
          <w:szCs w:val="15"/>
          <w:b w:val="1"/>
          <w:bCs w:val="1"/>
          <w:color w:val="FEFEFE"/>
        </w:rPr>
        <w:t>​</w:t>
      </w:r>
      <w:r>
        <w:rPr>
          <w:sz w:val="20"/>
          <w:szCs w:val="20"/>
          <w:color w:val="auto"/>
        </w:rPr>
        <w:tab/>
      </w:r>
      <w:r>
        <w:rPr>
          <w:rFonts w:ascii="Arial" w:cs="Arial" w:eastAsia="Arial" w:hAnsi="Arial"/>
          <w:sz w:val="25"/>
          <w:szCs w:val="25"/>
          <w:b w:val="1"/>
          <w:bCs w:val="1"/>
          <w:color w:val="FEFEFE"/>
        </w:rPr>
        <w:t xml:space="preserve">TANYA TAMONE </w:t>
      </w:r>
      <w:r>
        <w:rPr>
          <w:rFonts w:ascii="Arial" w:cs="Arial" w:eastAsia="Arial" w:hAnsi="Arial"/>
          <w:sz w:val="15"/>
          <w:szCs w:val="15"/>
          <w:b w:val="1"/>
          <w:bCs w:val="1"/>
          <w:color w:val="FEFEFE"/>
        </w:rPr>
        <w:t>​</w:t>
      </w:r>
    </w:p>
    <w:p>
      <w:pPr>
        <w:spacing w:after="0" w:line="200" w:lineRule="exact"/>
        <w:rPr>
          <w:sz w:val="20"/>
          <w:szCs w:val="20"/>
          <w:color w:val="auto"/>
        </w:rPr>
      </w:pPr>
    </w:p>
    <w:p>
      <w:pPr>
        <w:spacing w:after="0" w:line="201" w:lineRule="exact"/>
        <w:rPr>
          <w:sz w:val="20"/>
          <w:szCs w:val="20"/>
          <w:color w:val="auto"/>
        </w:rPr>
      </w:pPr>
    </w:p>
    <w:p>
      <w:pPr>
        <w:ind w:left="104" w:hanging="104"/>
        <w:spacing w:after="0"/>
        <w:tabs>
          <w:tab w:leader="none" w:pos="104"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62259D"/>
        </w:rPr>
        <w:t>BACKGROUND</w:t>
      </w:r>
    </w:p>
    <w:p>
      <w:pPr>
        <w:spacing w:after="0" w:line="45" w:lineRule="exact"/>
        <w:rPr>
          <w:rFonts w:ascii="Arial" w:cs="Arial" w:eastAsia="Arial" w:hAnsi="Arial"/>
          <w:sz w:val="16"/>
          <w:szCs w:val="16"/>
          <w:color w:val="auto"/>
        </w:rPr>
      </w:pPr>
    </w:p>
    <w:p>
      <w:pPr>
        <w:ind w:left="104"/>
        <w:spacing w:after="0"/>
        <w:rPr>
          <w:rFonts w:ascii="Arial" w:cs="Arial" w:eastAsia="Arial" w:hAnsi="Arial"/>
          <w:sz w:val="16"/>
          <w:szCs w:val="16"/>
          <w:color w:val="auto"/>
        </w:rPr>
      </w:pPr>
      <w:r>
        <w:rPr>
          <w:rFonts w:ascii="Arial" w:cs="Arial" w:eastAsia="Arial" w:hAnsi="Arial"/>
          <w:sz w:val="16"/>
          <w:szCs w:val="16"/>
          <w:b w:val="1"/>
          <w:bCs w:val="1"/>
          <w:color w:val="auto"/>
        </w:rPr>
        <w:t>Sogerco S.A.</w:t>
      </w:r>
      <w:r>
        <w:rPr>
          <w:rFonts w:ascii="Arial" w:cs="Arial" w:eastAsia="Arial" w:hAnsi="Arial"/>
          <w:sz w:val="16"/>
          <w:szCs w:val="16"/>
          <w:color w:val="auto"/>
        </w:rPr>
        <w:t>, a private trust company</w:t>
      </w:r>
    </w:p>
    <w:p>
      <w:pPr>
        <w:spacing w:after="0" w:line="61" w:lineRule="exact"/>
        <w:rPr>
          <w:sz w:val="20"/>
          <w:szCs w:val="20"/>
          <w:color w:val="auto"/>
        </w:rPr>
      </w:pPr>
    </w:p>
    <w:p>
      <w:pPr>
        <w:ind w:left="264" w:hanging="156"/>
        <w:spacing w:after="0"/>
        <w:tabs>
          <w:tab w:leader="none" w:pos="264" w:val="left"/>
        </w:tabs>
        <w:numPr>
          <w:ilvl w:val="0"/>
          <w:numId w:val="57"/>
        </w:numPr>
        <w:rPr>
          <w:rFonts w:ascii="Arial" w:cs="Arial" w:eastAsia="Arial" w:hAnsi="Arial"/>
          <w:sz w:val="16"/>
          <w:szCs w:val="16"/>
          <w:color w:val="62259D"/>
        </w:rPr>
      </w:pPr>
      <w:r>
        <w:rPr>
          <w:rFonts w:ascii="Arial" w:cs="Arial" w:eastAsia="Arial" w:hAnsi="Arial"/>
          <w:sz w:val="16"/>
          <w:szCs w:val="16"/>
          <w:color w:val="auto"/>
        </w:rPr>
        <w:t>Chief Executive Officer (2007 to present)</w:t>
      </w:r>
    </w:p>
    <w:p>
      <w:pPr>
        <w:spacing w:after="0" w:line="57" w:lineRule="exact"/>
        <w:rPr>
          <w:sz w:val="20"/>
          <w:szCs w:val="20"/>
          <w:color w:val="auto"/>
        </w:rPr>
      </w:pPr>
    </w:p>
    <w:p>
      <w:pPr>
        <w:ind w:left="104" w:right="20"/>
        <w:spacing w:after="0" w:line="244" w:lineRule="auto"/>
        <w:rPr>
          <w:sz w:val="20"/>
          <w:szCs w:val="20"/>
          <w:color w:val="auto"/>
        </w:rPr>
      </w:pPr>
      <w:r>
        <w:rPr>
          <w:rFonts w:ascii="Arial" w:cs="Arial" w:eastAsia="Arial" w:hAnsi="Arial"/>
          <w:sz w:val="16"/>
          <w:szCs w:val="16"/>
          <w:b w:val="1"/>
          <w:bCs w:val="1"/>
          <w:color w:val="auto"/>
        </w:rPr>
        <w:t>Bank Leu</w:t>
      </w:r>
      <w:r>
        <w:rPr>
          <w:rFonts w:ascii="Arial" w:cs="Arial" w:eastAsia="Arial" w:hAnsi="Arial"/>
          <w:sz w:val="16"/>
          <w:szCs w:val="16"/>
          <w:color w:val="auto"/>
        </w:rPr>
        <w:t>,</w:t>
      </w:r>
      <w:r>
        <w:rPr>
          <w:rFonts w:ascii="Arial" w:cs="Arial" w:eastAsia="Arial" w:hAnsi="Arial"/>
          <w:sz w:val="16"/>
          <w:szCs w:val="16"/>
          <w:b w:val="1"/>
          <w:bCs w:val="1"/>
          <w:color w:val="auto"/>
        </w:rPr>
        <w:t xml:space="preserve"> Fuji Bank </w:t>
      </w:r>
      <w:r>
        <w:rPr>
          <w:rFonts w:ascii="Arial" w:cs="Arial" w:eastAsia="Arial" w:hAnsi="Arial"/>
          <w:sz w:val="16"/>
          <w:szCs w:val="16"/>
          <w:color w:val="auto"/>
        </w:rPr>
        <w:t>and</w:t>
      </w:r>
      <w:r>
        <w:rPr>
          <w:rFonts w:ascii="Arial" w:cs="Arial" w:eastAsia="Arial" w:hAnsi="Arial"/>
          <w:sz w:val="16"/>
          <w:szCs w:val="16"/>
          <w:b w:val="1"/>
          <w:bCs w:val="1"/>
          <w:color w:val="auto"/>
        </w:rPr>
        <w:t xml:space="preserve"> Cedef S.A.</w:t>
      </w:r>
      <w:r>
        <w:rPr>
          <w:rFonts w:ascii="Arial" w:cs="Arial" w:eastAsia="Arial" w:hAnsi="Arial"/>
          <w:sz w:val="16"/>
          <w:szCs w:val="16"/>
          <w:color w:val="auto"/>
        </w:rPr>
        <w:t>, in</w:t>
      </w:r>
      <w:r>
        <w:rPr>
          <w:rFonts w:ascii="Arial" w:cs="Arial" w:eastAsia="Arial" w:hAnsi="Arial"/>
          <w:sz w:val="16"/>
          <w:szCs w:val="16"/>
          <w:b w:val="1"/>
          <w:bCs w:val="1"/>
          <w:color w:val="auto"/>
        </w:rPr>
        <w:t xml:space="preserve"> </w:t>
      </w:r>
      <w:r>
        <w:rPr>
          <w:rFonts w:ascii="Arial" w:cs="Arial" w:eastAsia="Arial" w:hAnsi="Arial"/>
          <w:sz w:val="16"/>
          <w:szCs w:val="16"/>
          <w:color w:val="auto"/>
        </w:rPr>
        <w:t>Switzerland</w:t>
      </w:r>
    </w:p>
    <w:p>
      <w:pPr>
        <w:spacing w:after="0" w:line="46" w:lineRule="exact"/>
        <w:rPr>
          <w:sz w:val="20"/>
          <w:szCs w:val="20"/>
          <w:color w:val="auto"/>
        </w:rPr>
      </w:pPr>
    </w:p>
    <w:p>
      <w:pPr>
        <w:ind w:left="264" w:right="400" w:hanging="156"/>
        <w:spacing w:after="0" w:line="259" w:lineRule="auto"/>
        <w:tabs>
          <w:tab w:leader="none" w:pos="264" w:val="left"/>
        </w:tabs>
        <w:numPr>
          <w:ilvl w:val="0"/>
          <w:numId w:val="58"/>
        </w:numPr>
        <w:rPr>
          <w:rFonts w:ascii="Arial" w:cs="Arial" w:eastAsia="Arial" w:hAnsi="Arial"/>
          <w:sz w:val="16"/>
          <w:szCs w:val="16"/>
          <w:color w:val="62259D"/>
        </w:rPr>
      </w:pPr>
      <w:r>
        <w:rPr>
          <w:rFonts w:ascii="Arial" w:cs="Arial" w:eastAsia="Arial" w:hAnsi="Arial"/>
          <w:sz w:val="16"/>
          <w:szCs w:val="16"/>
          <w:color w:val="auto"/>
        </w:rPr>
        <w:t>Trader, specializing in currency and interest trading (1985 to 1996)</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1540"/>
        <w:spacing w:after="0"/>
        <w:rPr>
          <w:sz w:val="20"/>
          <w:szCs w:val="20"/>
          <w:color w:val="auto"/>
        </w:rPr>
      </w:pPr>
      <w:r>
        <w:rPr>
          <w:rFonts w:ascii="Arial" w:cs="Arial" w:eastAsia="Arial" w:hAnsi="Arial"/>
          <w:sz w:val="15"/>
          <w:szCs w:val="15"/>
          <w:b w:val="1"/>
          <w:bCs w:val="1"/>
          <w:color w:val="FEFEFE"/>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-156845</wp:posOffset>
            </wp:positionV>
            <wp:extent cx="4320540" cy="4883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20540" cy="48831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880" w:type="dxa"/>
            <w:vAlign w:val="bottom"/>
          </w:tcPr>
          <w:p>
            <w:pPr>
              <w:ind w:left="220"/>
              <w:spacing w:after="0"/>
              <w:rPr>
                <w:sz w:val="20"/>
                <w:szCs w:val="20"/>
                <w:color w:val="auto"/>
              </w:rPr>
            </w:pPr>
            <w:r>
              <w:rPr>
                <w:rFonts w:ascii="Arial" w:cs="Arial" w:eastAsia="Arial" w:hAnsi="Arial"/>
                <w:sz w:val="15"/>
                <w:szCs w:val="15"/>
                <w:b w:val="1"/>
                <w:bCs w:val="1"/>
                <w:color w:val="FEFEFE"/>
              </w:rPr>
              <w:t>​</w:t>
            </w:r>
          </w:p>
        </w:tc>
        <w:tc>
          <w:tcPr>
            <w:tcW w:w="1560" w:type="dxa"/>
            <w:vAlign w:val="bottom"/>
          </w:tcPr>
          <w:p>
            <w:pPr>
              <w:ind w:left="280"/>
              <w:spacing w:after="0"/>
              <w:rPr>
                <w:sz w:val="20"/>
                <w:szCs w:val="20"/>
                <w:color w:val="auto"/>
              </w:rPr>
            </w:pPr>
            <w:r>
              <w:rPr>
                <w:rFonts w:ascii="Arial" w:cs="Arial" w:eastAsia="Arial" w:hAnsi="Arial"/>
                <w:sz w:val="15"/>
                <w:szCs w:val="15"/>
                <w:b w:val="1"/>
                <w:bCs w:val="1"/>
                <w:color w:val="FEFEFE"/>
              </w:rPr>
              <w:t>Director since​</w:t>
            </w:r>
          </w:p>
        </w:tc>
      </w:tr>
      <w:tr>
        <w:trPr>
          <w:trHeight w:val="210"/>
        </w:trPr>
        <w:tc>
          <w:tcPr>
            <w:tcW w:w="1880" w:type="dxa"/>
            <w:vAlign w:val="bottom"/>
          </w:tcPr>
          <w:p>
            <w:pPr>
              <w:spacing w:after="0"/>
              <w:rPr>
                <w:sz w:val="18"/>
                <w:szCs w:val="18"/>
                <w:color w:val="auto"/>
              </w:rPr>
            </w:pPr>
          </w:p>
        </w:tc>
        <w:tc>
          <w:tcPr>
            <w:tcW w:w="1560" w:type="dxa"/>
            <w:vAlign w:val="bottom"/>
          </w:tcPr>
          <w:p>
            <w:pPr>
              <w:ind w:left="600"/>
              <w:spacing w:after="0"/>
              <w:rPr>
                <w:sz w:val="20"/>
                <w:szCs w:val="20"/>
                <w:color w:val="auto"/>
              </w:rPr>
            </w:pPr>
            <w:r>
              <w:rPr>
                <w:rFonts w:ascii="Arial" w:cs="Arial" w:eastAsia="Arial" w:hAnsi="Arial"/>
                <w:sz w:val="15"/>
                <w:szCs w:val="15"/>
                <w:b w:val="1"/>
                <w:bCs w:val="1"/>
                <w:color w:val="FEFEFE"/>
              </w:rPr>
              <w:t>June 2020</w:t>
            </w:r>
          </w:p>
        </w:tc>
      </w:tr>
      <w:tr>
        <w:trPr>
          <w:trHeight w:val="407"/>
        </w:trPr>
        <w:tc>
          <w:tcPr>
            <w:tcW w:w="1880" w:type="dxa"/>
            <w:vAlign w:val="bottom"/>
          </w:tcPr>
          <w:p>
            <w:pPr>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62259D"/>
              </w:rPr>
              <w:t>BOARD SERVICE</w:t>
            </w:r>
          </w:p>
        </w:tc>
        <w:tc>
          <w:tcPr>
            <w:tcW w:w="1560" w:type="dxa"/>
            <w:vAlign w:val="bottom"/>
          </w:tcPr>
          <w:p>
            <w:pPr>
              <w:ind w:left="1520"/>
              <w:spacing w:after="0"/>
              <w:rPr>
                <w:sz w:val="20"/>
                <w:szCs w:val="20"/>
                <w:color w:val="auto"/>
              </w:rPr>
            </w:pPr>
            <w:r>
              <w:rPr>
                <w:rFonts w:ascii="Arial" w:cs="Arial" w:eastAsia="Arial" w:hAnsi="Arial"/>
                <w:sz w:val="16"/>
                <w:szCs w:val="16"/>
                <w:color w:val="auto"/>
              </w:rPr>
              <w:t>​</w:t>
            </w:r>
          </w:p>
        </w:tc>
      </w:tr>
    </w:tbl>
    <w:p>
      <w:pPr>
        <w:spacing w:after="0" w:line="28" w:lineRule="exact"/>
        <w:rPr>
          <w:sz w:val="20"/>
          <w:szCs w:val="20"/>
          <w:color w:val="auto"/>
        </w:rPr>
      </w:pPr>
    </w:p>
    <w:p>
      <w:pPr>
        <w:ind w:left="360" w:right="299" w:hanging="154"/>
        <w:spacing w:after="0" w:line="259" w:lineRule="auto"/>
        <w:tabs>
          <w:tab w:leader="none" w:pos="360" w:val="left"/>
        </w:tabs>
        <w:numPr>
          <w:ilvl w:val="0"/>
          <w:numId w:val="59"/>
        </w:numPr>
        <w:rPr>
          <w:rFonts w:ascii="Arial" w:cs="Arial" w:eastAsia="Arial" w:hAnsi="Arial"/>
          <w:sz w:val="16"/>
          <w:szCs w:val="16"/>
          <w:color w:val="62259D"/>
        </w:rPr>
      </w:pPr>
      <w:r>
        <w:rPr>
          <w:rFonts w:ascii="Arial" w:cs="Arial" w:eastAsia="Arial" w:hAnsi="Arial"/>
          <w:sz w:val="16"/>
          <w:szCs w:val="16"/>
          <w:color w:val="auto"/>
        </w:rPr>
        <w:t>currently serves as a director for several privately held companies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2259D"/>
        </w:rPr>
        <w:t>SKILLS AND EXPERTISE</w:t>
      </w:r>
    </w:p>
    <w:p>
      <w:pPr>
        <w:spacing w:after="0" w:line="34" w:lineRule="exact"/>
        <w:rPr>
          <w:sz w:val="20"/>
          <w:szCs w:val="20"/>
          <w:color w:val="auto"/>
        </w:rPr>
      </w:pPr>
    </w:p>
    <w:p>
      <w:pPr>
        <w:ind w:left="200" w:right="379"/>
        <w:spacing w:after="0" w:line="238" w:lineRule="auto"/>
        <w:rPr>
          <w:sz w:val="20"/>
          <w:szCs w:val="20"/>
          <w:color w:val="auto"/>
        </w:rPr>
      </w:pPr>
      <w:r>
        <w:rPr>
          <w:rFonts w:ascii="Arial" w:cs="Arial" w:eastAsia="Arial" w:hAnsi="Arial"/>
          <w:sz w:val="16"/>
          <w:szCs w:val="16"/>
          <w:color w:val="auto"/>
        </w:rPr>
        <w:t>We believe Ms. Tamone is qualified to serve on the Board due to her experience</w:t>
      </w:r>
    </w:p>
    <w:p>
      <w:pPr>
        <w:ind w:left="200" w:right="759"/>
        <w:spacing w:after="0" w:line="231" w:lineRule="auto"/>
        <w:rPr>
          <w:sz w:val="20"/>
          <w:szCs w:val="20"/>
          <w:color w:val="auto"/>
        </w:rPr>
      </w:pPr>
      <w:r>
        <w:rPr>
          <w:rFonts w:ascii="Arial" w:cs="Arial" w:eastAsia="Arial" w:hAnsi="Arial"/>
          <w:sz w:val="16"/>
          <w:szCs w:val="16"/>
          <w:color w:val="auto"/>
        </w:rPr>
        <w:t>as a Chief Executive Officer and her financial expertise.</w:t>
      </w:r>
    </w:p>
    <w:p>
      <w:pPr>
        <w:spacing w:after="0" w:line="1073" w:lineRule="exact"/>
        <w:rPr>
          <w:sz w:val="20"/>
          <w:szCs w:val="20"/>
          <w:color w:val="auto"/>
        </w:rPr>
      </w:pPr>
    </w:p>
    <w:p>
      <w:pPr>
        <w:sectPr>
          <w:pgSz w:w="11900" w:h="16838" w:orient="portrait"/>
          <w:cols w:equalWidth="0" w:num="3">
            <w:col w:w="2800" w:space="176"/>
            <w:col w:w="3244" w:space="60"/>
            <w:col w:w="3599"/>
          </w:cols>
          <w:pgMar w:left="580" w:top="97" w:right="1440" w:bottom="1440" w:gutter="0" w:footer="0" w:header="0"/>
          <w:type w:val="continuous"/>
        </w:sectPr>
      </w:pPr>
    </w:p>
    <w:p>
      <w:pPr>
        <w:spacing w:after="0" w:line="283" w:lineRule="exact"/>
        <w:rPr>
          <w:sz w:val="20"/>
          <w:szCs w:val="20"/>
          <w:color w:val="auto"/>
        </w:rPr>
      </w:pPr>
    </w:p>
    <w:p>
      <w:pPr>
        <w:ind w:left="9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-4445</wp:posOffset>
            </wp:positionV>
            <wp:extent cx="56235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14</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Corporate Governance</w:t>
      </w:r>
    </w:p>
    <w:p>
      <w:pPr>
        <w:spacing w:after="0" w:line="158" w:lineRule="exact"/>
        <w:rPr>
          <w:sz w:val="20"/>
          <w:szCs w:val="20"/>
          <w:color w:val="auto"/>
        </w:rPr>
      </w:pPr>
    </w:p>
    <w:p>
      <w:pPr>
        <w:ind w:left="920" w:right="139"/>
        <w:spacing w:after="0" w:line="244" w:lineRule="auto"/>
        <w:rPr>
          <w:sz w:val="20"/>
          <w:szCs w:val="20"/>
          <w:color w:val="auto"/>
        </w:rPr>
      </w:pPr>
      <w:r>
        <w:rPr>
          <w:rFonts w:ascii="Arial" w:cs="Arial" w:eastAsia="Arial" w:hAnsi="Arial"/>
          <w:sz w:val="18"/>
          <w:szCs w:val="18"/>
          <w:color w:val="auto"/>
        </w:rPr>
        <w:t>We are committed to strong corporate governance practices, which include building long-term value for our stockholders and assuring the success of the Company for our stockholders and stakeholders, including our employees, customers, suppliers and the communities in which we operate. To achieve these goals, our Board is charged with monitoring the performance of the Company and our officers as well as its programs and procedures to ensure compliance with laws and our overall success. Governance is an ongoing focus at Ribbon, starting with the Board and extending to management and all employees. In addition, we solicit feedback from stockholders on governance and executive compensation practices in order to improve our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100330</wp:posOffset>
            </wp:positionV>
            <wp:extent cx="5623560" cy="274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23560" cy="27432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tbl>
      <w:tblPr>
        <w:tblLayout w:type="fixed"/>
        <w:tblInd w:w="920" w:type="dxa"/>
        <w:tblCellMar>
          <w:top w:w="0" w:type="dxa"/>
          <w:left w:w="0" w:type="dxa"/>
          <w:bottom w:w="0" w:type="dxa"/>
          <w:right w:w="0" w:type="dxa"/>
        </w:tblCellMar>
      </w:tblPr>
      <w:tr>
        <w:trPr>
          <w:trHeight w:val="217"/>
        </w:trPr>
        <w:tc>
          <w:tcPr>
            <w:tcW w:w="260" w:type="dxa"/>
            <w:vAlign w:val="bottom"/>
          </w:tcPr>
          <w:p>
            <w:pPr>
              <w:ind w:left="60"/>
              <w:spacing w:after="0"/>
              <w:rPr>
                <w:sz w:val="20"/>
                <w:szCs w:val="20"/>
                <w:color w:val="auto"/>
              </w:rPr>
            </w:pPr>
            <w:r>
              <w:rPr>
                <w:rFonts w:ascii="Arial" w:cs="Arial" w:eastAsia="Arial" w:hAnsi="Arial"/>
                <w:sz w:val="16"/>
                <w:szCs w:val="16"/>
                <w:b w:val="1"/>
                <w:bCs w:val="1"/>
                <w:color w:val="FEFEFE"/>
              </w:rPr>
              <w:t>​</w:t>
            </w:r>
          </w:p>
        </w:tc>
        <w:tc>
          <w:tcPr>
            <w:tcW w:w="8400" w:type="dxa"/>
            <w:vAlign w:val="bottom"/>
            <w:gridSpan w:val="4"/>
          </w:tcPr>
          <w:p>
            <w:pPr>
              <w:ind w:left="2920"/>
              <w:spacing w:after="0"/>
              <w:rPr>
                <w:sz w:val="20"/>
                <w:szCs w:val="20"/>
                <w:color w:val="auto"/>
              </w:rPr>
            </w:pPr>
            <w:r>
              <w:rPr>
                <w:rFonts w:ascii="Arial" w:cs="Arial" w:eastAsia="Arial" w:hAnsi="Arial"/>
                <w:sz w:val="16"/>
                <w:szCs w:val="16"/>
                <w:b w:val="1"/>
                <w:bCs w:val="1"/>
                <w:color w:val="FEFEFE"/>
              </w:rPr>
              <w:t>Strong Governance Practices</w:t>
            </w:r>
          </w:p>
        </w:tc>
        <w:tc>
          <w:tcPr>
            <w:tcW w:w="0" w:type="dxa"/>
            <w:vAlign w:val="bottom"/>
          </w:tcPr>
          <w:p>
            <w:pPr>
              <w:spacing w:after="0"/>
              <w:rPr>
                <w:sz w:val="1"/>
                <w:szCs w:val="1"/>
                <w:color w:val="auto"/>
              </w:rPr>
            </w:pPr>
          </w:p>
        </w:tc>
      </w:tr>
      <w:tr>
        <w:trPr>
          <w:trHeight w:val="202"/>
        </w:trPr>
        <w:tc>
          <w:tcPr>
            <w:tcW w:w="26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3940" w:type="dxa"/>
            <w:vAlign w:val="bottom"/>
            <w:shd w:val="clear" w:color="auto" w:fill="F2F2F2"/>
          </w:tcPr>
          <w:p>
            <w:pPr>
              <w:ind w:left="160"/>
              <w:spacing w:after="0"/>
              <w:rPr>
                <w:sz w:val="20"/>
                <w:szCs w:val="20"/>
                <w:color w:val="auto"/>
              </w:rPr>
            </w:pPr>
            <w:r>
              <w:rPr>
                <w:rFonts w:ascii="Arial" w:cs="Arial" w:eastAsia="Arial" w:hAnsi="Arial"/>
                <w:sz w:val="16"/>
                <w:szCs w:val="16"/>
                <w:color w:val="auto"/>
              </w:rPr>
              <w:t>Annual election of all directors</w:t>
            </w:r>
          </w:p>
        </w:tc>
        <w:tc>
          <w:tcPr>
            <w:tcW w:w="240" w:type="dxa"/>
            <w:vAlign w:val="bottom"/>
            <w:tcBorders>
              <w:right w:val="single" w:sz="8" w:color="FEFEFE"/>
            </w:tcBorders>
            <w:shd w:val="clear" w:color="auto" w:fill="F2F2F2"/>
          </w:tcPr>
          <w:p>
            <w:pPr>
              <w:ind w:lef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3980" w:type="dxa"/>
            <w:vAlign w:val="bottom"/>
          </w:tcPr>
          <w:p>
            <w:pPr>
              <w:ind w:left="180"/>
              <w:spacing w:after="0"/>
              <w:rPr>
                <w:sz w:val="20"/>
                <w:szCs w:val="20"/>
                <w:color w:val="auto"/>
              </w:rPr>
            </w:pPr>
            <w:r>
              <w:rPr>
                <w:rFonts w:ascii="Arial" w:cs="Arial" w:eastAsia="Arial" w:hAnsi="Arial"/>
                <w:sz w:val="16"/>
                <w:szCs w:val="16"/>
                <w:color w:val="auto"/>
              </w:rPr>
              <w:t>Annual advisory approval of executive</w:t>
            </w:r>
          </w:p>
        </w:tc>
        <w:tc>
          <w:tcPr>
            <w:tcW w:w="0" w:type="dxa"/>
            <w:vAlign w:val="bottom"/>
          </w:tcPr>
          <w:p>
            <w:pPr>
              <w:spacing w:after="0"/>
              <w:rPr>
                <w:sz w:val="1"/>
                <w:szCs w:val="1"/>
                <w:color w:val="auto"/>
              </w:rPr>
            </w:pPr>
          </w:p>
        </w:tc>
      </w:tr>
      <w:tr>
        <w:trPr>
          <w:trHeight w:val="215"/>
        </w:trPr>
        <w:tc>
          <w:tcPr>
            <w:tcW w:w="260" w:type="dxa"/>
            <w:vAlign w:val="bottom"/>
            <w:shd w:val="clear" w:color="auto" w:fill="F2F2F2"/>
          </w:tcPr>
          <w:p>
            <w:pPr>
              <w:spacing w:after="0"/>
              <w:rPr>
                <w:sz w:val="18"/>
                <w:szCs w:val="18"/>
                <w:color w:val="auto"/>
              </w:rPr>
            </w:pPr>
          </w:p>
        </w:tc>
        <w:tc>
          <w:tcPr>
            <w:tcW w:w="3940" w:type="dxa"/>
            <w:vAlign w:val="bottom"/>
            <w:vMerge w:val="restart"/>
            <w:shd w:val="clear" w:color="auto" w:fill="F2F2F2"/>
          </w:tcPr>
          <w:p>
            <w:pPr>
              <w:ind w:left="160"/>
              <w:spacing w:after="0"/>
              <w:rPr>
                <w:sz w:val="20"/>
                <w:szCs w:val="20"/>
                <w:color w:val="auto"/>
              </w:rPr>
            </w:pPr>
            <w:r>
              <w:rPr>
                <w:rFonts w:ascii="Arial" w:cs="Arial" w:eastAsia="Arial" w:hAnsi="Arial"/>
                <w:sz w:val="16"/>
                <w:szCs w:val="16"/>
                <w:color w:val="auto"/>
              </w:rPr>
              <w:t>Majority voting for director elections</w:t>
            </w:r>
          </w:p>
        </w:tc>
        <w:tc>
          <w:tcPr>
            <w:tcW w:w="240" w:type="dxa"/>
            <w:vAlign w:val="bottom"/>
            <w:tcBorders>
              <w:right w:val="single" w:sz="8" w:color="FEFEFE"/>
            </w:tcBorders>
            <w:shd w:val="clear" w:color="auto" w:fill="F2F2F2"/>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54"/>
        </w:trPr>
        <w:tc>
          <w:tcPr>
            <w:tcW w:w="260" w:type="dxa"/>
            <w:vAlign w:val="bottom"/>
            <w:shd w:val="clear" w:color="auto" w:fill="F2F2F2"/>
          </w:tcPr>
          <w:p>
            <w:pPr>
              <w:spacing w:after="0"/>
              <w:rPr>
                <w:sz w:val="4"/>
                <w:szCs w:val="4"/>
                <w:color w:val="auto"/>
              </w:rPr>
            </w:pPr>
          </w:p>
        </w:tc>
        <w:tc>
          <w:tcPr>
            <w:tcW w:w="3940" w:type="dxa"/>
            <w:vAlign w:val="bottom"/>
            <w:vMerge w:val="continue"/>
            <w:shd w:val="clear" w:color="auto" w:fill="F2F2F2"/>
          </w:tcPr>
          <w:p>
            <w:pPr>
              <w:spacing w:after="0"/>
              <w:rPr>
                <w:sz w:val="4"/>
                <w:szCs w:val="4"/>
                <w:color w:val="auto"/>
              </w:rPr>
            </w:pPr>
          </w:p>
        </w:tc>
        <w:tc>
          <w:tcPr>
            <w:tcW w:w="240" w:type="dxa"/>
            <w:vAlign w:val="bottom"/>
            <w:tcBorders>
              <w:right w:val="single" w:sz="8" w:color="FEFEFE"/>
            </w:tcBorders>
            <w:shd w:val="clear" w:color="auto" w:fill="F2F2F2"/>
          </w:tcPr>
          <w:p>
            <w:pPr>
              <w:spacing w:after="0"/>
              <w:rPr>
                <w:sz w:val="4"/>
                <w:szCs w:val="4"/>
                <w:color w:val="auto"/>
              </w:rPr>
            </w:pPr>
          </w:p>
        </w:tc>
        <w:tc>
          <w:tcPr>
            <w:tcW w:w="240" w:type="dxa"/>
            <w:vAlign w:val="bottom"/>
          </w:tcPr>
          <w:p>
            <w:pPr>
              <w:spacing w:after="0"/>
              <w:rPr>
                <w:sz w:val="4"/>
                <w:szCs w:val="4"/>
                <w:color w:val="auto"/>
              </w:rPr>
            </w:pPr>
          </w:p>
        </w:tc>
        <w:tc>
          <w:tcPr>
            <w:tcW w:w="3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60" w:type="dxa"/>
            <w:vAlign w:val="bottom"/>
            <w:shd w:val="clear" w:color="auto" w:fill="F2F2F2"/>
          </w:tcPr>
          <w:p>
            <w:pPr>
              <w:spacing w:after="0"/>
              <w:rPr>
                <w:sz w:val="21"/>
                <w:szCs w:val="21"/>
                <w:color w:val="auto"/>
              </w:rPr>
            </w:pPr>
          </w:p>
        </w:tc>
        <w:tc>
          <w:tcPr>
            <w:tcW w:w="3940" w:type="dxa"/>
            <w:vAlign w:val="bottom"/>
            <w:shd w:val="clear" w:color="auto" w:fill="F2F2F2"/>
          </w:tcPr>
          <w:p>
            <w:pPr>
              <w:ind w:left="160"/>
              <w:spacing w:after="0"/>
              <w:rPr>
                <w:sz w:val="20"/>
                <w:szCs w:val="20"/>
                <w:color w:val="auto"/>
              </w:rPr>
            </w:pPr>
            <w:r>
              <w:rPr>
                <w:rFonts w:ascii="Arial" w:cs="Arial" w:eastAsia="Arial" w:hAnsi="Arial"/>
                <w:sz w:val="16"/>
                <w:szCs w:val="16"/>
                <w:color w:val="auto"/>
              </w:rPr>
              <w:t>Separate Chairman and CEO</w:t>
            </w:r>
          </w:p>
        </w:tc>
        <w:tc>
          <w:tcPr>
            <w:tcW w:w="240" w:type="dxa"/>
            <w:vAlign w:val="bottom"/>
            <w:tcBorders>
              <w:right w:val="single" w:sz="8" w:color="FEFEFE"/>
            </w:tcBorders>
            <w:shd w:val="clear" w:color="auto" w:fill="F2F2F2"/>
          </w:tcPr>
          <w:p>
            <w:pPr>
              <w:spacing w:after="0"/>
              <w:rPr>
                <w:sz w:val="21"/>
                <w:szCs w:val="21"/>
                <w:color w:val="auto"/>
              </w:rPr>
            </w:pPr>
          </w:p>
        </w:tc>
        <w:tc>
          <w:tcPr>
            <w:tcW w:w="240" w:type="dxa"/>
            <w:vAlign w:val="bottom"/>
          </w:tcPr>
          <w:p>
            <w:pPr>
              <w:spacing w:after="0"/>
              <w:rPr>
                <w:sz w:val="21"/>
                <w:szCs w:val="21"/>
                <w:color w:val="auto"/>
              </w:rPr>
            </w:pPr>
          </w:p>
        </w:tc>
        <w:tc>
          <w:tcPr>
            <w:tcW w:w="3980" w:type="dxa"/>
            <w:vAlign w:val="bottom"/>
          </w:tcPr>
          <w:p>
            <w:pPr>
              <w:ind w:left="180"/>
              <w:spacing w:after="0"/>
              <w:rPr>
                <w:sz w:val="20"/>
                <w:szCs w:val="20"/>
                <w:color w:val="auto"/>
              </w:rPr>
            </w:pPr>
            <w:r>
              <w:rPr>
                <w:rFonts w:ascii="Arial" w:cs="Arial" w:eastAsia="Arial" w:hAnsi="Arial"/>
                <w:sz w:val="16"/>
                <w:szCs w:val="16"/>
                <w:color w:val="auto"/>
              </w:rPr>
              <w:t>Disclosure Committee for financial reporting</w:t>
            </w:r>
          </w:p>
        </w:tc>
        <w:tc>
          <w:tcPr>
            <w:tcW w:w="0" w:type="dxa"/>
            <w:vAlign w:val="bottom"/>
          </w:tcPr>
          <w:p>
            <w:pPr>
              <w:spacing w:after="0"/>
              <w:rPr>
                <w:sz w:val="1"/>
                <w:szCs w:val="1"/>
                <w:color w:val="auto"/>
              </w:rPr>
            </w:pPr>
          </w:p>
        </w:tc>
      </w:tr>
      <w:tr>
        <w:trPr>
          <w:trHeight w:val="191"/>
        </w:trPr>
        <w:tc>
          <w:tcPr>
            <w:tcW w:w="260" w:type="dxa"/>
            <w:vAlign w:val="bottom"/>
            <w:shd w:val="clear" w:color="auto" w:fill="F2F2F2"/>
          </w:tcPr>
          <w:p>
            <w:pPr>
              <w:spacing w:after="0"/>
              <w:rPr>
                <w:sz w:val="16"/>
                <w:szCs w:val="16"/>
                <w:color w:val="auto"/>
              </w:rPr>
            </w:pPr>
          </w:p>
        </w:tc>
        <w:tc>
          <w:tcPr>
            <w:tcW w:w="3940" w:type="dxa"/>
            <w:vAlign w:val="bottom"/>
            <w:shd w:val="clear" w:color="auto" w:fill="F2F2F2"/>
          </w:tcPr>
          <w:p>
            <w:pPr>
              <w:ind w:left="160"/>
              <w:spacing w:after="0"/>
              <w:rPr>
                <w:sz w:val="20"/>
                <w:szCs w:val="20"/>
                <w:color w:val="auto"/>
              </w:rPr>
            </w:pPr>
            <w:r>
              <w:rPr>
                <w:rFonts w:ascii="Arial" w:cs="Arial" w:eastAsia="Arial" w:hAnsi="Arial"/>
                <w:sz w:val="16"/>
                <w:szCs w:val="16"/>
                <w:color w:val="auto"/>
              </w:rPr>
              <w:t>Appointment of lead independent director</w:t>
            </w:r>
          </w:p>
        </w:tc>
        <w:tc>
          <w:tcPr>
            <w:tcW w:w="240" w:type="dxa"/>
            <w:vAlign w:val="bottom"/>
            <w:tcBorders>
              <w:right w:val="single" w:sz="8" w:color="FEFEFE"/>
            </w:tcBorders>
            <w:shd w:val="clear" w:color="auto" w:fill="F2F2F2"/>
          </w:tcPr>
          <w:p>
            <w:pPr>
              <w:spacing w:after="0"/>
              <w:rPr>
                <w:sz w:val="16"/>
                <w:szCs w:val="16"/>
                <w:color w:val="auto"/>
              </w:rPr>
            </w:pPr>
          </w:p>
        </w:tc>
        <w:tc>
          <w:tcPr>
            <w:tcW w:w="240" w:type="dxa"/>
            <w:vAlign w:val="bottom"/>
          </w:tcPr>
          <w:p>
            <w:pPr>
              <w:spacing w:after="0"/>
              <w:rPr>
                <w:sz w:val="16"/>
                <w:szCs w:val="16"/>
                <w:color w:val="auto"/>
              </w:rPr>
            </w:pPr>
          </w:p>
        </w:tc>
        <w:tc>
          <w:tcPr>
            <w:tcW w:w="3980" w:type="dxa"/>
            <w:vAlign w:val="bottom"/>
          </w:tcPr>
          <w:p>
            <w:pPr>
              <w:ind w:left="180"/>
              <w:spacing w:after="0"/>
              <w:rPr>
                <w:sz w:val="20"/>
                <w:szCs w:val="20"/>
                <w:color w:val="auto"/>
              </w:rPr>
            </w:pPr>
            <w:r>
              <w:rPr>
                <w:rFonts w:ascii="Arial" w:cs="Arial" w:eastAsia="Arial" w:hAnsi="Arial"/>
                <w:sz w:val="16"/>
                <w:szCs w:val="16"/>
                <w:color w:val="auto"/>
              </w:rPr>
              <w:t>Review and approval policy for related party</w:t>
            </w:r>
          </w:p>
        </w:tc>
        <w:tc>
          <w:tcPr>
            <w:tcW w:w="0" w:type="dxa"/>
            <w:vAlign w:val="bottom"/>
          </w:tcPr>
          <w:p>
            <w:pPr>
              <w:spacing w:after="0"/>
              <w:rPr>
                <w:sz w:val="1"/>
                <w:szCs w:val="1"/>
                <w:color w:val="auto"/>
              </w:rPr>
            </w:pPr>
          </w:p>
        </w:tc>
      </w:tr>
      <w:tr>
        <w:trPr>
          <w:trHeight w:val="215"/>
        </w:trPr>
        <w:tc>
          <w:tcPr>
            <w:tcW w:w="260" w:type="dxa"/>
            <w:vAlign w:val="bottom"/>
            <w:shd w:val="clear" w:color="auto" w:fill="F2F2F2"/>
          </w:tcPr>
          <w:p>
            <w:pPr>
              <w:spacing w:after="0"/>
              <w:rPr>
                <w:sz w:val="18"/>
                <w:szCs w:val="18"/>
                <w:color w:val="auto"/>
              </w:rPr>
            </w:pPr>
          </w:p>
        </w:tc>
        <w:tc>
          <w:tcPr>
            <w:tcW w:w="3940" w:type="dxa"/>
            <w:vAlign w:val="bottom"/>
            <w:vMerge w:val="restart"/>
            <w:shd w:val="clear" w:color="auto" w:fill="F2F2F2"/>
          </w:tcPr>
          <w:p>
            <w:pPr>
              <w:ind w:left="160"/>
              <w:spacing w:after="0"/>
              <w:rPr>
                <w:sz w:val="20"/>
                <w:szCs w:val="20"/>
                <w:color w:val="auto"/>
              </w:rPr>
            </w:pPr>
            <w:r>
              <w:rPr>
                <w:rFonts w:ascii="Arial" w:cs="Arial" w:eastAsia="Arial" w:hAnsi="Arial"/>
                <w:sz w:val="16"/>
                <w:szCs w:val="16"/>
                <w:color w:val="auto"/>
              </w:rPr>
              <w:t>Substantial majority of independent directors</w:t>
            </w:r>
          </w:p>
        </w:tc>
        <w:tc>
          <w:tcPr>
            <w:tcW w:w="240" w:type="dxa"/>
            <w:vAlign w:val="bottom"/>
            <w:tcBorders>
              <w:right w:val="single" w:sz="8" w:color="FEFEFE"/>
            </w:tcBorders>
            <w:shd w:val="clear" w:color="auto" w:fill="F2F2F2"/>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Arial" w:cs="Arial" w:eastAsia="Arial" w:hAnsi="Arial"/>
                <w:sz w:val="16"/>
                <w:szCs w:val="16"/>
                <w:color w:val="auto"/>
              </w:rPr>
              <w:t>transactions</w:t>
            </w:r>
          </w:p>
        </w:tc>
        <w:tc>
          <w:tcPr>
            <w:tcW w:w="0" w:type="dxa"/>
            <w:vAlign w:val="bottom"/>
          </w:tcPr>
          <w:p>
            <w:pPr>
              <w:spacing w:after="0"/>
              <w:rPr>
                <w:sz w:val="1"/>
                <w:szCs w:val="1"/>
                <w:color w:val="auto"/>
              </w:rPr>
            </w:pPr>
          </w:p>
        </w:tc>
      </w:tr>
      <w:tr>
        <w:trPr>
          <w:trHeight w:val="80"/>
        </w:trPr>
        <w:tc>
          <w:tcPr>
            <w:tcW w:w="260" w:type="dxa"/>
            <w:vAlign w:val="bottom"/>
            <w:shd w:val="clear" w:color="auto" w:fill="F2F2F2"/>
          </w:tcPr>
          <w:p>
            <w:pPr>
              <w:spacing w:after="0"/>
              <w:rPr>
                <w:sz w:val="6"/>
                <w:szCs w:val="6"/>
                <w:color w:val="auto"/>
              </w:rPr>
            </w:pPr>
          </w:p>
        </w:tc>
        <w:tc>
          <w:tcPr>
            <w:tcW w:w="3940" w:type="dxa"/>
            <w:vAlign w:val="bottom"/>
            <w:vMerge w:val="continue"/>
            <w:shd w:val="clear" w:color="auto" w:fill="F2F2F2"/>
          </w:tcPr>
          <w:p>
            <w:pPr>
              <w:spacing w:after="0"/>
              <w:rPr>
                <w:sz w:val="6"/>
                <w:szCs w:val="6"/>
                <w:color w:val="auto"/>
              </w:rPr>
            </w:pPr>
          </w:p>
        </w:tc>
        <w:tc>
          <w:tcPr>
            <w:tcW w:w="240" w:type="dxa"/>
            <w:vAlign w:val="bottom"/>
            <w:tcBorders>
              <w:right w:val="single" w:sz="8" w:color="FEFEFE"/>
            </w:tcBorders>
            <w:shd w:val="clear" w:color="auto" w:fill="F2F2F2"/>
          </w:tcPr>
          <w:p>
            <w:pPr>
              <w:spacing w:after="0"/>
              <w:rPr>
                <w:sz w:val="6"/>
                <w:szCs w:val="6"/>
                <w:color w:val="auto"/>
              </w:rPr>
            </w:pPr>
          </w:p>
        </w:tc>
        <w:tc>
          <w:tcPr>
            <w:tcW w:w="240" w:type="dxa"/>
            <w:vAlign w:val="bottom"/>
          </w:tcPr>
          <w:p>
            <w:pPr>
              <w:spacing w:after="0"/>
              <w:rPr>
                <w:sz w:val="6"/>
                <w:szCs w:val="6"/>
                <w:color w:val="auto"/>
              </w:rPr>
            </w:pPr>
          </w:p>
        </w:tc>
        <w:tc>
          <w:tcPr>
            <w:tcW w:w="3980" w:type="dxa"/>
            <w:vAlign w:val="bottom"/>
            <w:vMerge w:val="restart"/>
          </w:tcPr>
          <w:p>
            <w:pPr>
              <w:ind w:left="180"/>
              <w:spacing w:after="0"/>
              <w:rPr>
                <w:sz w:val="20"/>
                <w:szCs w:val="20"/>
                <w:color w:val="auto"/>
              </w:rPr>
            </w:pPr>
            <w:r>
              <w:rPr>
                <w:rFonts w:ascii="Arial" w:cs="Arial" w:eastAsia="Arial" w:hAnsi="Arial"/>
                <w:sz w:val="16"/>
                <w:szCs w:val="16"/>
                <w:color w:val="auto"/>
              </w:rPr>
              <w:t>Share ownership guidelines for our CEO, certain</w:t>
            </w:r>
          </w:p>
        </w:tc>
        <w:tc>
          <w:tcPr>
            <w:tcW w:w="0" w:type="dxa"/>
            <w:vAlign w:val="bottom"/>
          </w:tcPr>
          <w:p>
            <w:pPr>
              <w:spacing w:after="0"/>
              <w:rPr>
                <w:sz w:val="1"/>
                <w:szCs w:val="1"/>
                <w:color w:val="auto"/>
              </w:rPr>
            </w:pPr>
          </w:p>
        </w:tc>
      </w:tr>
      <w:tr>
        <w:trPr>
          <w:trHeight w:val="163"/>
        </w:trPr>
        <w:tc>
          <w:tcPr>
            <w:tcW w:w="260" w:type="dxa"/>
            <w:vAlign w:val="bottom"/>
            <w:shd w:val="clear" w:color="auto" w:fill="F2F2F2"/>
          </w:tcPr>
          <w:p>
            <w:pPr>
              <w:spacing w:after="0"/>
              <w:rPr>
                <w:sz w:val="14"/>
                <w:szCs w:val="14"/>
                <w:color w:val="auto"/>
              </w:rPr>
            </w:pPr>
          </w:p>
        </w:tc>
        <w:tc>
          <w:tcPr>
            <w:tcW w:w="3940" w:type="dxa"/>
            <w:vAlign w:val="bottom"/>
            <w:vMerge w:val="restart"/>
            <w:shd w:val="clear" w:color="auto" w:fill="F2F2F2"/>
          </w:tcPr>
          <w:p>
            <w:pPr>
              <w:ind w:left="160"/>
              <w:spacing w:after="0"/>
              <w:rPr>
                <w:sz w:val="20"/>
                <w:szCs w:val="20"/>
                <w:color w:val="auto"/>
              </w:rPr>
            </w:pPr>
            <w:r>
              <w:rPr>
                <w:rFonts w:ascii="Arial" w:cs="Arial" w:eastAsia="Arial" w:hAnsi="Arial"/>
                <w:sz w:val="16"/>
                <w:szCs w:val="16"/>
                <w:color w:val="auto"/>
              </w:rPr>
              <w:t>Independent directors meet without management</w:t>
            </w:r>
          </w:p>
        </w:tc>
        <w:tc>
          <w:tcPr>
            <w:tcW w:w="240" w:type="dxa"/>
            <w:vAlign w:val="bottom"/>
            <w:tcBorders>
              <w:right w:val="single" w:sz="8" w:color="FEFEFE"/>
            </w:tcBorders>
            <w:shd w:val="clear" w:color="auto" w:fill="F2F2F2"/>
          </w:tcPr>
          <w:p>
            <w:pPr>
              <w:spacing w:after="0"/>
              <w:rPr>
                <w:sz w:val="14"/>
                <w:szCs w:val="14"/>
                <w:color w:val="auto"/>
              </w:rPr>
            </w:pPr>
          </w:p>
        </w:tc>
        <w:tc>
          <w:tcPr>
            <w:tcW w:w="240" w:type="dxa"/>
            <w:vAlign w:val="bottom"/>
          </w:tcPr>
          <w:p>
            <w:pPr>
              <w:spacing w:after="0"/>
              <w:rPr>
                <w:sz w:val="14"/>
                <w:szCs w:val="14"/>
                <w:color w:val="auto"/>
              </w:rPr>
            </w:pPr>
          </w:p>
        </w:tc>
        <w:tc>
          <w:tcPr>
            <w:tcW w:w="3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60" w:type="dxa"/>
            <w:vAlign w:val="bottom"/>
            <w:shd w:val="clear" w:color="auto" w:fill="F2F2F2"/>
          </w:tcPr>
          <w:p>
            <w:pPr>
              <w:spacing w:after="0"/>
              <w:rPr>
                <w:sz w:val="6"/>
                <w:szCs w:val="6"/>
                <w:color w:val="auto"/>
              </w:rPr>
            </w:pPr>
          </w:p>
        </w:tc>
        <w:tc>
          <w:tcPr>
            <w:tcW w:w="3940" w:type="dxa"/>
            <w:vAlign w:val="bottom"/>
            <w:vMerge w:val="continue"/>
            <w:shd w:val="clear" w:color="auto" w:fill="F2F2F2"/>
          </w:tcPr>
          <w:p>
            <w:pPr>
              <w:spacing w:after="0"/>
              <w:rPr>
                <w:sz w:val="6"/>
                <w:szCs w:val="6"/>
                <w:color w:val="auto"/>
              </w:rPr>
            </w:pPr>
          </w:p>
        </w:tc>
        <w:tc>
          <w:tcPr>
            <w:tcW w:w="240" w:type="dxa"/>
            <w:vAlign w:val="bottom"/>
            <w:tcBorders>
              <w:right w:val="single" w:sz="8" w:color="FEFEFE"/>
            </w:tcBorders>
            <w:shd w:val="clear" w:color="auto" w:fill="F2F2F2"/>
          </w:tcPr>
          <w:p>
            <w:pPr>
              <w:spacing w:after="0"/>
              <w:rPr>
                <w:sz w:val="6"/>
                <w:szCs w:val="6"/>
                <w:color w:val="auto"/>
              </w:rPr>
            </w:pPr>
          </w:p>
        </w:tc>
        <w:tc>
          <w:tcPr>
            <w:tcW w:w="240" w:type="dxa"/>
            <w:vAlign w:val="bottom"/>
          </w:tcPr>
          <w:p>
            <w:pPr>
              <w:spacing w:after="0"/>
              <w:rPr>
                <w:sz w:val="6"/>
                <w:szCs w:val="6"/>
                <w:color w:val="auto"/>
              </w:rPr>
            </w:pPr>
          </w:p>
        </w:tc>
        <w:tc>
          <w:tcPr>
            <w:tcW w:w="3980" w:type="dxa"/>
            <w:vAlign w:val="bottom"/>
            <w:vMerge w:val="restart"/>
          </w:tcPr>
          <w:p>
            <w:pPr>
              <w:ind w:left="180"/>
              <w:spacing w:after="0"/>
              <w:rPr>
                <w:sz w:val="20"/>
                <w:szCs w:val="20"/>
                <w:color w:val="auto"/>
              </w:rPr>
            </w:pPr>
            <w:r>
              <w:rPr>
                <w:rFonts w:ascii="Arial" w:cs="Arial" w:eastAsia="Arial" w:hAnsi="Arial"/>
                <w:sz w:val="16"/>
                <w:szCs w:val="16"/>
                <w:color w:val="auto"/>
              </w:rPr>
              <w:t>officers and our non-employee directors</w:t>
            </w:r>
          </w:p>
        </w:tc>
        <w:tc>
          <w:tcPr>
            <w:tcW w:w="0" w:type="dxa"/>
            <w:vAlign w:val="bottom"/>
          </w:tcPr>
          <w:p>
            <w:pPr>
              <w:spacing w:after="0"/>
              <w:rPr>
                <w:sz w:val="1"/>
                <w:szCs w:val="1"/>
                <w:color w:val="auto"/>
              </w:rPr>
            </w:pPr>
          </w:p>
        </w:tc>
      </w:tr>
      <w:tr>
        <w:trPr>
          <w:trHeight w:val="135"/>
        </w:trPr>
        <w:tc>
          <w:tcPr>
            <w:tcW w:w="260" w:type="dxa"/>
            <w:vAlign w:val="bottom"/>
            <w:shd w:val="clear" w:color="auto" w:fill="F2F2F2"/>
          </w:tcPr>
          <w:p>
            <w:pPr>
              <w:spacing w:after="0"/>
              <w:rPr>
                <w:sz w:val="11"/>
                <w:szCs w:val="11"/>
                <w:color w:val="auto"/>
              </w:rPr>
            </w:pPr>
          </w:p>
        </w:tc>
        <w:tc>
          <w:tcPr>
            <w:tcW w:w="3940" w:type="dxa"/>
            <w:vAlign w:val="bottom"/>
            <w:vMerge w:val="restart"/>
            <w:shd w:val="clear" w:color="auto" w:fill="F2F2F2"/>
          </w:tcPr>
          <w:p>
            <w:pPr>
              <w:ind w:left="160"/>
              <w:spacing w:after="0"/>
              <w:rPr>
                <w:sz w:val="20"/>
                <w:szCs w:val="20"/>
                <w:color w:val="auto"/>
              </w:rPr>
            </w:pPr>
            <w:r>
              <w:rPr>
                <w:rFonts w:ascii="Arial" w:cs="Arial" w:eastAsia="Arial" w:hAnsi="Arial"/>
                <w:sz w:val="16"/>
                <w:szCs w:val="16"/>
                <w:color w:val="auto"/>
              </w:rPr>
              <w:t>Board with wide range of experience and skills</w:t>
            </w:r>
          </w:p>
        </w:tc>
        <w:tc>
          <w:tcPr>
            <w:tcW w:w="240" w:type="dxa"/>
            <w:vAlign w:val="bottom"/>
            <w:tcBorders>
              <w:right w:val="single" w:sz="8" w:color="FEFEFE"/>
            </w:tcBorders>
            <w:shd w:val="clear" w:color="auto" w:fill="F2F2F2"/>
          </w:tcPr>
          <w:p>
            <w:pPr>
              <w:spacing w:after="0"/>
              <w:rPr>
                <w:sz w:val="11"/>
                <w:szCs w:val="11"/>
                <w:color w:val="auto"/>
              </w:rPr>
            </w:pPr>
          </w:p>
        </w:tc>
        <w:tc>
          <w:tcPr>
            <w:tcW w:w="240" w:type="dxa"/>
            <w:vAlign w:val="bottom"/>
          </w:tcPr>
          <w:p>
            <w:pPr>
              <w:spacing w:after="0"/>
              <w:rPr>
                <w:sz w:val="11"/>
                <w:szCs w:val="11"/>
                <w:color w:val="auto"/>
              </w:rPr>
            </w:pPr>
          </w:p>
        </w:tc>
        <w:tc>
          <w:tcPr>
            <w:tcW w:w="3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shd w:val="clear" w:color="auto" w:fill="F2F2F2"/>
          </w:tcPr>
          <w:p>
            <w:pPr>
              <w:spacing w:after="0"/>
              <w:rPr>
                <w:sz w:val="11"/>
                <w:szCs w:val="11"/>
                <w:color w:val="auto"/>
              </w:rPr>
            </w:pPr>
          </w:p>
        </w:tc>
        <w:tc>
          <w:tcPr>
            <w:tcW w:w="3940" w:type="dxa"/>
            <w:vAlign w:val="bottom"/>
            <w:vMerge w:val="continue"/>
            <w:shd w:val="clear" w:color="auto" w:fill="F2F2F2"/>
          </w:tcPr>
          <w:p>
            <w:pPr>
              <w:spacing w:after="0"/>
              <w:rPr>
                <w:sz w:val="11"/>
                <w:szCs w:val="11"/>
                <w:color w:val="auto"/>
              </w:rPr>
            </w:pPr>
          </w:p>
        </w:tc>
        <w:tc>
          <w:tcPr>
            <w:tcW w:w="240" w:type="dxa"/>
            <w:vAlign w:val="bottom"/>
            <w:tcBorders>
              <w:right w:val="single" w:sz="8" w:color="FEFEFE"/>
            </w:tcBorders>
            <w:shd w:val="clear" w:color="auto" w:fill="F2F2F2"/>
          </w:tcPr>
          <w:p>
            <w:pPr>
              <w:spacing w:after="0"/>
              <w:rPr>
                <w:sz w:val="11"/>
                <w:szCs w:val="11"/>
                <w:color w:val="auto"/>
              </w:rPr>
            </w:pPr>
          </w:p>
        </w:tc>
        <w:tc>
          <w:tcPr>
            <w:tcW w:w="240" w:type="dxa"/>
            <w:vAlign w:val="bottom"/>
          </w:tcPr>
          <w:p>
            <w:pPr>
              <w:spacing w:after="0"/>
              <w:rPr>
                <w:sz w:val="11"/>
                <w:szCs w:val="11"/>
                <w:color w:val="auto"/>
              </w:rPr>
            </w:pPr>
          </w:p>
        </w:tc>
        <w:tc>
          <w:tcPr>
            <w:tcW w:w="3980" w:type="dxa"/>
            <w:vAlign w:val="bottom"/>
            <w:vMerge w:val="restart"/>
          </w:tcPr>
          <w:p>
            <w:pPr>
              <w:ind w:left="180"/>
              <w:spacing w:after="0"/>
              <w:rPr>
                <w:sz w:val="20"/>
                <w:szCs w:val="20"/>
                <w:color w:val="auto"/>
              </w:rPr>
            </w:pPr>
            <w:r>
              <w:rPr>
                <w:rFonts w:ascii="Arial" w:cs="Arial" w:eastAsia="Arial" w:hAnsi="Arial"/>
                <w:sz w:val="16"/>
                <w:szCs w:val="16"/>
                <w:color w:val="auto"/>
              </w:rPr>
              <w:t>Clawback policy for recovering incentive-based</w:t>
            </w:r>
          </w:p>
        </w:tc>
        <w:tc>
          <w:tcPr>
            <w:tcW w:w="0" w:type="dxa"/>
            <w:vAlign w:val="bottom"/>
          </w:tcPr>
          <w:p>
            <w:pPr>
              <w:spacing w:after="0"/>
              <w:rPr>
                <w:sz w:val="1"/>
                <w:szCs w:val="1"/>
                <w:color w:val="auto"/>
              </w:rPr>
            </w:pPr>
          </w:p>
        </w:tc>
      </w:tr>
      <w:tr>
        <w:trPr>
          <w:trHeight w:val="109"/>
        </w:trPr>
        <w:tc>
          <w:tcPr>
            <w:tcW w:w="260" w:type="dxa"/>
            <w:vAlign w:val="bottom"/>
            <w:shd w:val="clear" w:color="auto" w:fill="F2F2F2"/>
          </w:tcPr>
          <w:p>
            <w:pPr>
              <w:spacing w:after="0"/>
              <w:rPr>
                <w:sz w:val="9"/>
                <w:szCs w:val="9"/>
                <w:color w:val="auto"/>
              </w:rPr>
            </w:pPr>
          </w:p>
        </w:tc>
        <w:tc>
          <w:tcPr>
            <w:tcW w:w="3940" w:type="dxa"/>
            <w:vAlign w:val="bottom"/>
            <w:vMerge w:val="restart"/>
            <w:shd w:val="clear" w:color="auto" w:fill="F2F2F2"/>
          </w:tcPr>
          <w:p>
            <w:pPr>
              <w:ind w:left="160"/>
              <w:spacing w:after="0"/>
              <w:rPr>
                <w:sz w:val="20"/>
                <w:szCs w:val="20"/>
                <w:color w:val="auto"/>
              </w:rPr>
            </w:pPr>
            <w:r>
              <w:rPr>
                <w:rFonts w:ascii="Arial" w:cs="Arial" w:eastAsia="Arial" w:hAnsi="Arial"/>
                <w:sz w:val="16"/>
                <w:szCs w:val="16"/>
                <w:color w:val="auto"/>
              </w:rPr>
              <w:t>Annual equity grant to non-employee directors</w:t>
            </w:r>
          </w:p>
        </w:tc>
        <w:tc>
          <w:tcPr>
            <w:tcW w:w="240" w:type="dxa"/>
            <w:vAlign w:val="bottom"/>
            <w:tcBorders>
              <w:right w:val="single" w:sz="8" w:color="FEFEFE"/>
            </w:tcBorders>
            <w:shd w:val="clear" w:color="auto" w:fill="F2F2F2"/>
          </w:tcPr>
          <w:p>
            <w:pPr>
              <w:spacing w:after="0"/>
              <w:rPr>
                <w:sz w:val="9"/>
                <w:szCs w:val="9"/>
                <w:color w:val="auto"/>
              </w:rPr>
            </w:pPr>
          </w:p>
        </w:tc>
        <w:tc>
          <w:tcPr>
            <w:tcW w:w="240" w:type="dxa"/>
            <w:vAlign w:val="bottom"/>
          </w:tcPr>
          <w:p>
            <w:pPr>
              <w:spacing w:after="0"/>
              <w:rPr>
                <w:sz w:val="9"/>
                <w:szCs w:val="9"/>
                <w:color w:val="auto"/>
              </w:rPr>
            </w:pPr>
          </w:p>
        </w:tc>
        <w:tc>
          <w:tcPr>
            <w:tcW w:w="3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60" w:type="dxa"/>
            <w:vAlign w:val="bottom"/>
            <w:shd w:val="clear" w:color="auto" w:fill="F2F2F2"/>
          </w:tcPr>
          <w:p>
            <w:pPr>
              <w:spacing w:after="0"/>
              <w:rPr>
                <w:sz w:val="11"/>
                <w:szCs w:val="11"/>
                <w:color w:val="auto"/>
              </w:rPr>
            </w:pPr>
          </w:p>
        </w:tc>
        <w:tc>
          <w:tcPr>
            <w:tcW w:w="3940" w:type="dxa"/>
            <w:vAlign w:val="bottom"/>
            <w:vMerge w:val="continue"/>
            <w:shd w:val="clear" w:color="auto" w:fill="F2F2F2"/>
          </w:tcPr>
          <w:p>
            <w:pPr>
              <w:spacing w:after="0"/>
              <w:rPr>
                <w:sz w:val="11"/>
                <w:szCs w:val="11"/>
                <w:color w:val="auto"/>
              </w:rPr>
            </w:pPr>
          </w:p>
        </w:tc>
        <w:tc>
          <w:tcPr>
            <w:tcW w:w="240" w:type="dxa"/>
            <w:vAlign w:val="bottom"/>
            <w:tcBorders>
              <w:right w:val="single" w:sz="8" w:color="FEFEFE"/>
            </w:tcBorders>
            <w:shd w:val="clear" w:color="auto" w:fill="F2F2F2"/>
          </w:tcPr>
          <w:p>
            <w:pPr>
              <w:spacing w:after="0"/>
              <w:rPr>
                <w:sz w:val="11"/>
                <w:szCs w:val="11"/>
                <w:color w:val="auto"/>
              </w:rPr>
            </w:pPr>
          </w:p>
        </w:tc>
        <w:tc>
          <w:tcPr>
            <w:tcW w:w="240" w:type="dxa"/>
            <w:vAlign w:val="bottom"/>
          </w:tcPr>
          <w:p>
            <w:pPr>
              <w:spacing w:after="0"/>
              <w:rPr>
                <w:sz w:val="11"/>
                <w:szCs w:val="11"/>
                <w:color w:val="auto"/>
              </w:rPr>
            </w:pPr>
          </w:p>
        </w:tc>
        <w:tc>
          <w:tcPr>
            <w:tcW w:w="3980" w:type="dxa"/>
            <w:vAlign w:val="bottom"/>
            <w:vMerge w:val="restart"/>
          </w:tcPr>
          <w:p>
            <w:pPr>
              <w:ind w:left="180"/>
              <w:spacing w:after="0"/>
              <w:rPr>
                <w:sz w:val="20"/>
                <w:szCs w:val="20"/>
                <w:color w:val="auto"/>
              </w:rPr>
            </w:pPr>
            <w:r>
              <w:rPr>
                <w:rFonts w:ascii="Arial" w:cs="Arial" w:eastAsia="Arial" w:hAnsi="Arial"/>
                <w:sz w:val="16"/>
                <w:szCs w:val="16"/>
                <w:color w:val="auto"/>
              </w:rPr>
              <w:t>compensation following an accounting restatement</w:t>
            </w:r>
          </w:p>
        </w:tc>
        <w:tc>
          <w:tcPr>
            <w:tcW w:w="0" w:type="dxa"/>
            <w:vAlign w:val="bottom"/>
          </w:tcPr>
          <w:p>
            <w:pPr>
              <w:spacing w:after="0"/>
              <w:rPr>
                <w:sz w:val="1"/>
                <w:szCs w:val="1"/>
                <w:color w:val="auto"/>
              </w:rPr>
            </w:pPr>
          </w:p>
        </w:tc>
      </w:tr>
      <w:tr>
        <w:trPr>
          <w:trHeight w:val="81"/>
        </w:trPr>
        <w:tc>
          <w:tcPr>
            <w:tcW w:w="260" w:type="dxa"/>
            <w:vAlign w:val="bottom"/>
            <w:shd w:val="clear" w:color="auto" w:fill="F2F2F2"/>
          </w:tcPr>
          <w:p>
            <w:pPr>
              <w:spacing w:after="0"/>
              <w:rPr>
                <w:sz w:val="7"/>
                <w:szCs w:val="7"/>
                <w:color w:val="auto"/>
              </w:rPr>
            </w:pPr>
          </w:p>
        </w:tc>
        <w:tc>
          <w:tcPr>
            <w:tcW w:w="3940" w:type="dxa"/>
            <w:vAlign w:val="bottom"/>
            <w:vMerge w:val="restart"/>
            <w:shd w:val="clear" w:color="auto" w:fill="F2F2F2"/>
          </w:tcPr>
          <w:p>
            <w:pPr>
              <w:ind w:left="160"/>
              <w:spacing w:after="0"/>
              <w:rPr>
                <w:sz w:val="20"/>
                <w:szCs w:val="20"/>
                <w:color w:val="auto"/>
              </w:rPr>
            </w:pPr>
            <w:r>
              <w:rPr>
                <w:rFonts w:ascii="Arial" w:cs="Arial" w:eastAsia="Arial" w:hAnsi="Arial"/>
                <w:sz w:val="16"/>
                <w:szCs w:val="16"/>
                <w:color w:val="auto"/>
              </w:rPr>
              <w:t>Annual Board and committee self-assessments</w:t>
            </w:r>
          </w:p>
        </w:tc>
        <w:tc>
          <w:tcPr>
            <w:tcW w:w="240" w:type="dxa"/>
            <w:vAlign w:val="bottom"/>
            <w:tcBorders>
              <w:right w:val="single" w:sz="8" w:color="FEFEFE"/>
            </w:tcBorders>
            <w:shd w:val="clear" w:color="auto" w:fill="F2F2F2"/>
          </w:tcPr>
          <w:p>
            <w:pPr>
              <w:spacing w:after="0"/>
              <w:rPr>
                <w:sz w:val="7"/>
                <w:szCs w:val="7"/>
                <w:color w:val="auto"/>
              </w:rPr>
            </w:pPr>
          </w:p>
        </w:tc>
        <w:tc>
          <w:tcPr>
            <w:tcW w:w="240" w:type="dxa"/>
            <w:vAlign w:val="bottom"/>
          </w:tcPr>
          <w:p>
            <w:pPr>
              <w:spacing w:after="0"/>
              <w:rPr>
                <w:sz w:val="7"/>
                <w:szCs w:val="7"/>
                <w:color w:val="auto"/>
              </w:rPr>
            </w:pPr>
          </w:p>
        </w:tc>
        <w:tc>
          <w:tcPr>
            <w:tcW w:w="3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60" w:type="dxa"/>
            <w:vAlign w:val="bottom"/>
            <w:shd w:val="clear" w:color="auto" w:fill="F2F2F2"/>
          </w:tcPr>
          <w:p>
            <w:pPr>
              <w:spacing w:after="0"/>
              <w:rPr>
                <w:sz w:val="14"/>
                <w:szCs w:val="14"/>
                <w:color w:val="auto"/>
              </w:rPr>
            </w:pPr>
          </w:p>
        </w:tc>
        <w:tc>
          <w:tcPr>
            <w:tcW w:w="3940" w:type="dxa"/>
            <w:vAlign w:val="bottom"/>
            <w:vMerge w:val="continue"/>
            <w:shd w:val="clear" w:color="auto" w:fill="F2F2F2"/>
          </w:tcPr>
          <w:p>
            <w:pPr>
              <w:spacing w:after="0"/>
              <w:rPr>
                <w:sz w:val="14"/>
                <w:szCs w:val="14"/>
                <w:color w:val="auto"/>
              </w:rPr>
            </w:pPr>
          </w:p>
        </w:tc>
        <w:tc>
          <w:tcPr>
            <w:tcW w:w="240" w:type="dxa"/>
            <w:vAlign w:val="bottom"/>
            <w:tcBorders>
              <w:right w:val="single" w:sz="8" w:color="FEFEFE"/>
            </w:tcBorders>
            <w:shd w:val="clear" w:color="auto" w:fill="F2F2F2"/>
          </w:tcPr>
          <w:p>
            <w:pPr>
              <w:spacing w:after="0"/>
              <w:rPr>
                <w:sz w:val="14"/>
                <w:szCs w:val="14"/>
                <w:color w:val="auto"/>
              </w:rPr>
            </w:pPr>
          </w:p>
        </w:tc>
        <w:tc>
          <w:tcPr>
            <w:tcW w:w="240" w:type="dxa"/>
            <w:vAlign w:val="bottom"/>
          </w:tcPr>
          <w:p>
            <w:pPr>
              <w:spacing w:after="0"/>
              <w:rPr>
                <w:sz w:val="14"/>
                <w:szCs w:val="14"/>
                <w:color w:val="auto"/>
              </w:rPr>
            </w:pPr>
          </w:p>
        </w:tc>
        <w:tc>
          <w:tcPr>
            <w:tcW w:w="3980" w:type="dxa"/>
            <w:vAlign w:val="bottom"/>
            <w:vMerge w:val="restart"/>
          </w:tcPr>
          <w:p>
            <w:pPr>
              <w:ind w:left="180"/>
              <w:spacing w:after="0"/>
              <w:rPr>
                <w:sz w:val="20"/>
                <w:szCs w:val="20"/>
                <w:color w:val="auto"/>
              </w:rPr>
            </w:pPr>
            <w:r>
              <w:rPr>
                <w:rFonts w:ascii="Arial" w:cs="Arial" w:eastAsia="Arial" w:hAnsi="Arial"/>
                <w:sz w:val="16"/>
                <w:szCs w:val="16"/>
                <w:color w:val="auto"/>
              </w:rPr>
              <w:t>Insider trading policy that prohibits hedging,</w:t>
            </w:r>
          </w:p>
        </w:tc>
        <w:tc>
          <w:tcPr>
            <w:tcW w:w="0" w:type="dxa"/>
            <w:vAlign w:val="bottom"/>
          </w:tcPr>
          <w:p>
            <w:pPr>
              <w:spacing w:after="0"/>
              <w:rPr>
                <w:sz w:val="1"/>
                <w:szCs w:val="1"/>
                <w:color w:val="auto"/>
              </w:rPr>
            </w:pPr>
          </w:p>
        </w:tc>
      </w:tr>
      <w:tr>
        <w:trPr>
          <w:trHeight w:val="82"/>
        </w:trPr>
        <w:tc>
          <w:tcPr>
            <w:tcW w:w="260" w:type="dxa"/>
            <w:vAlign w:val="bottom"/>
            <w:shd w:val="clear" w:color="auto" w:fill="F2F2F2"/>
          </w:tcPr>
          <w:p>
            <w:pPr>
              <w:spacing w:after="0"/>
              <w:rPr>
                <w:sz w:val="7"/>
                <w:szCs w:val="7"/>
                <w:color w:val="auto"/>
              </w:rPr>
            </w:pPr>
          </w:p>
        </w:tc>
        <w:tc>
          <w:tcPr>
            <w:tcW w:w="3940" w:type="dxa"/>
            <w:vAlign w:val="bottom"/>
            <w:shd w:val="clear" w:color="auto" w:fill="F2F2F2"/>
          </w:tcPr>
          <w:p>
            <w:pPr>
              <w:spacing w:after="0"/>
              <w:rPr>
                <w:sz w:val="7"/>
                <w:szCs w:val="7"/>
                <w:color w:val="auto"/>
              </w:rPr>
            </w:pPr>
          </w:p>
        </w:tc>
        <w:tc>
          <w:tcPr>
            <w:tcW w:w="240" w:type="dxa"/>
            <w:vAlign w:val="bottom"/>
            <w:tcBorders>
              <w:right w:val="single" w:sz="8" w:color="FEFEFE"/>
            </w:tcBorders>
            <w:shd w:val="clear" w:color="auto" w:fill="F2F2F2"/>
          </w:tcPr>
          <w:p>
            <w:pPr>
              <w:spacing w:after="0"/>
              <w:rPr>
                <w:sz w:val="7"/>
                <w:szCs w:val="7"/>
                <w:color w:val="auto"/>
              </w:rPr>
            </w:pPr>
          </w:p>
        </w:tc>
        <w:tc>
          <w:tcPr>
            <w:tcW w:w="240" w:type="dxa"/>
            <w:vAlign w:val="bottom"/>
          </w:tcPr>
          <w:p>
            <w:pPr>
              <w:spacing w:after="0"/>
              <w:rPr>
                <w:sz w:val="7"/>
                <w:szCs w:val="7"/>
                <w:color w:val="auto"/>
              </w:rPr>
            </w:pPr>
          </w:p>
        </w:tc>
        <w:tc>
          <w:tcPr>
            <w:tcW w:w="3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F2F2F2"/>
          </w:tcPr>
          <w:p>
            <w:pPr>
              <w:spacing w:after="0"/>
              <w:rPr>
                <w:sz w:val="16"/>
                <w:szCs w:val="16"/>
                <w:color w:val="auto"/>
              </w:rPr>
            </w:pPr>
          </w:p>
        </w:tc>
        <w:tc>
          <w:tcPr>
            <w:tcW w:w="3940" w:type="dxa"/>
            <w:vAlign w:val="bottom"/>
            <w:shd w:val="clear" w:color="auto" w:fill="F2F2F2"/>
          </w:tcPr>
          <w:p>
            <w:pPr>
              <w:spacing w:after="0"/>
              <w:rPr>
                <w:sz w:val="16"/>
                <w:szCs w:val="16"/>
                <w:color w:val="auto"/>
              </w:rPr>
            </w:pPr>
          </w:p>
        </w:tc>
        <w:tc>
          <w:tcPr>
            <w:tcW w:w="240" w:type="dxa"/>
            <w:vAlign w:val="bottom"/>
            <w:tcBorders>
              <w:right w:val="single" w:sz="8" w:color="FEFEFE"/>
            </w:tcBorders>
            <w:shd w:val="clear" w:color="auto" w:fill="F2F2F2"/>
          </w:tcPr>
          <w:p>
            <w:pPr>
              <w:spacing w:after="0"/>
              <w:rPr>
                <w:sz w:val="16"/>
                <w:szCs w:val="16"/>
                <w:color w:val="auto"/>
              </w:rPr>
            </w:pPr>
          </w:p>
        </w:tc>
        <w:tc>
          <w:tcPr>
            <w:tcW w:w="240" w:type="dxa"/>
            <w:vAlign w:val="bottom"/>
          </w:tcPr>
          <w:p>
            <w:pPr>
              <w:spacing w:after="0"/>
              <w:rPr>
                <w:sz w:val="16"/>
                <w:szCs w:val="16"/>
                <w:color w:val="auto"/>
              </w:rPr>
            </w:pPr>
          </w:p>
        </w:tc>
        <w:tc>
          <w:tcPr>
            <w:tcW w:w="3980" w:type="dxa"/>
            <w:vAlign w:val="bottom"/>
          </w:tcPr>
          <w:p>
            <w:pPr>
              <w:ind w:left="180"/>
              <w:spacing w:after="0"/>
              <w:rPr>
                <w:sz w:val="20"/>
                <w:szCs w:val="20"/>
                <w:color w:val="auto"/>
              </w:rPr>
            </w:pPr>
            <w:r>
              <w:rPr>
                <w:rFonts w:ascii="Arial" w:cs="Arial" w:eastAsia="Arial" w:hAnsi="Arial"/>
                <w:sz w:val="16"/>
                <w:szCs w:val="16"/>
                <w:color w:val="auto"/>
              </w:rPr>
              <w:t>pledging and other similar actions for our executive</w:t>
            </w:r>
          </w:p>
        </w:tc>
        <w:tc>
          <w:tcPr>
            <w:tcW w:w="0" w:type="dxa"/>
            <w:vAlign w:val="bottom"/>
          </w:tcPr>
          <w:p>
            <w:pPr>
              <w:spacing w:after="0"/>
              <w:rPr>
                <w:sz w:val="1"/>
                <w:szCs w:val="1"/>
                <w:color w:val="auto"/>
              </w:rPr>
            </w:pPr>
          </w:p>
        </w:tc>
      </w:tr>
      <w:tr>
        <w:trPr>
          <w:trHeight w:val="215"/>
        </w:trPr>
        <w:tc>
          <w:tcPr>
            <w:tcW w:w="260" w:type="dxa"/>
            <w:vAlign w:val="bottom"/>
            <w:shd w:val="clear" w:color="auto" w:fill="F2F2F2"/>
          </w:tcPr>
          <w:p>
            <w:pPr>
              <w:spacing w:after="0"/>
              <w:rPr>
                <w:sz w:val="18"/>
                <w:szCs w:val="18"/>
                <w:color w:val="auto"/>
              </w:rPr>
            </w:pPr>
          </w:p>
        </w:tc>
        <w:tc>
          <w:tcPr>
            <w:tcW w:w="3940" w:type="dxa"/>
            <w:vAlign w:val="bottom"/>
            <w:shd w:val="clear" w:color="auto" w:fill="F2F2F2"/>
          </w:tcPr>
          <w:p>
            <w:pPr>
              <w:spacing w:after="0"/>
              <w:rPr>
                <w:sz w:val="18"/>
                <w:szCs w:val="18"/>
                <w:color w:val="auto"/>
              </w:rPr>
            </w:pPr>
          </w:p>
        </w:tc>
        <w:tc>
          <w:tcPr>
            <w:tcW w:w="240" w:type="dxa"/>
            <w:vAlign w:val="bottom"/>
            <w:tcBorders>
              <w:right w:val="single" w:sz="8" w:color="FEFEFE"/>
            </w:tcBorders>
            <w:shd w:val="clear" w:color="auto" w:fill="F2F2F2"/>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Arial" w:cs="Arial" w:eastAsia="Arial" w:hAnsi="Arial"/>
                <w:sz w:val="16"/>
                <w:szCs w:val="16"/>
                <w:color w:val="auto"/>
              </w:rPr>
              <w:t>officers and directors</w:t>
            </w:r>
          </w:p>
        </w:tc>
        <w:tc>
          <w:tcPr>
            <w:tcW w:w="0" w:type="dxa"/>
            <w:vAlign w:val="bottom"/>
          </w:tcPr>
          <w:p>
            <w:pPr>
              <w:spacing w:after="0"/>
              <w:rPr>
                <w:sz w:val="1"/>
                <w:szCs w:val="1"/>
                <w:color w:val="auto"/>
              </w:rPr>
            </w:pPr>
          </w:p>
        </w:tc>
      </w:tr>
      <w:tr>
        <w:trPr>
          <w:trHeight w:val="218"/>
        </w:trPr>
        <w:tc>
          <w:tcPr>
            <w:tcW w:w="260" w:type="dxa"/>
            <w:vAlign w:val="bottom"/>
            <w:shd w:val="clear" w:color="auto" w:fill="F2F2F2"/>
          </w:tcPr>
          <w:p>
            <w:pPr>
              <w:spacing w:after="0"/>
              <w:rPr>
                <w:sz w:val="18"/>
                <w:szCs w:val="18"/>
                <w:color w:val="auto"/>
              </w:rPr>
            </w:pPr>
          </w:p>
        </w:tc>
        <w:tc>
          <w:tcPr>
            <w:tcW w:w="3940" w:type="dxa"/>
            <w:vAlign w:val="bottom"/>
            <w:shd w:val="clear" w:color="auto" w:fill="F2F2F2"/>
          </w:tcPr>
          <w:p>
            <w:pPr>
              <w:spacing w:after="0"/>
              <w:rPr>
                <w:sz w:val="18"/>
                <w:szCs w:val="18"/>
                <w:color w:val="auto"/>
              </w:rPr>
            </w:pPr>
          </w:p>
        </w:tc>
        <w:tc>
          <w:tcPr>
            <w:tcW w:w="240" w:type="dxa"/>
            <w:vAlign w:val="bottom"/>
            <w:tcBorders>
              <w:right w:val="single" w:sz="8" w:color="FEFEFE"/>
            </w:tcBorders>
            <w:shd w:val="clear" w:color="auto" w:fill="F2F2F2"/>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-1816735</wp:posOffset>
            </wp:positionV>
            <wp:extent cx="111760" cy="1028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-1662430</wp:posOffset>
            </wp:positionV>
            <wp:extent cx="111760" cy="1028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-1508125</wp:posOffset>
            </wp:positionV>
            <wp:extent cx="111760" cy="1028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-1353820</wp:posOffset>
            </wp:positionV>
            <wp:extent cx="111760" cy="1028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-1199515</wp:posOffset>
            </wp:positionV>
            <wp:extent cx="111760" cy="1028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-1045210</wp:posOffset>
            </wp:positionV>
            <wp:extent cx="111760" cy="1028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-873760</wp:posOffset>
            </wp:positionV>
            <wp:extent cx="111760" cy="1028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-719455</wp:posOffset>
            </wp:positionV>
            <wp:extent cx="111760" cy="102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-565150</wp:posOffset>
            </wp:positionV>
            <wp:extent cx="111760" cy="1028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-1842135</wp:posOffset>
            </wp:positionV>
            <wp:extent cx="2802890" cy="1834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02890" cy="18345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right"/>
        <w:ind w:right="99"/>
        <w:spacing w:after="0"/>
        <w:rPr>
          <w:sz w:val="20"/>
          <w:szCs w:val="20"/>
          <w:color w:val="auto"/>
        </w:rPr>
      </w:pPr>
      <w:r>
        <w:rPr>
          <w:rFonts w:ascii="Arial" w:cs="Arial" w:eastAsia="Arial" w:hAnsi="Arial"/>
          <w:sz w:val="16"/>
          <w:szCs w:val="16"/>
          <w:b w:val="1"/>
          <w:bCs w:val="1"/>
          <w:color w:val="FEFEFE"/>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16" w:lineRule="exact"/>
        <w:rPr>
          <w:sz w:val="20"/>
          <w:szCs w:val="20"/>
          <w:color w:val="auto"/>
        </w:rPr>
      </w:pPr>
    </w:p>
    <w:p>
      <w:pPr>
        <w:sectPr>
          <w:pgSz w:w="11900" w:h="16838" w:orient="portrait"/>
          <w:cols w:equalWidth="0" w:num="2">
            <w:col w:w="9580" w:space="100"/>
            <w:col w:w="199"/>
          </w:cols>
          <w:pgMar w:left="580" w:top="97" w:right="1440" w:bottom="1440" w:gutter="0" w:footer="0" w:header="0"/>
          <w:type w:val="continuous"/>
        </w:sectPr>
      </w:pPr>
    </w:p>
    <w:p>
      <w:pPr>
        <w:spacing w:after="0" w:line="73"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Oversight of Risk Management</w:t>
      </w:r>
    </w:p>
    <w:p>
      <w:pPr>
        <w:spacing w:after="0" w:line="158" w:lineRule="exact"/>
        <w:rPr>
          <w:sz w:val="20"/>
          <w:szCs w:val="20"/>
          <w:color w:val="auto"/>
        </w:rPr>
      </w:pPr>
    </w:p>
    <w:p>
      <w:pPr>
        <w:ind w:left="920" w:right="239"/>
        <w:spacing w:after="0" w:line="246" w:lineRule="auto"/>
        <w:rPr>
          <w:sz w:val="20"/>
          <w:szCs w:val="20"/>
          <w:color w:val="auto"/>
        </w:rPr>
      </w:pPr>
      <w:r>
        <w:rPr>
          <w:rFonts w:ascii="Arial" w:cs="Arial" w:eastAsia="Arial" w:hAnsi="Arial"/>
          <w:sz w:val="18"/>
          <w:szCs w:val="18"/>
          <w:color w:val="auto"/>
        </w:rPr>
        <w:t>At Ribbon, we believe that innovation and leadership are impossible without taking risks. We also recognize that imprudent acceptance of risk or the failure to appropriately identify and mitigate risks could be destructive to stockholder value. The Board is responsible for assessing the Company’s approach to risk management and overseeing management’s execution of its responsibilities for identifying and managing risk. The Board exercises its responsibilities through discussions in Board meetings and also through its committees, each of which examines various components of enterprise risk as part of its responsibilities.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322"/>
        </w:trPr>
        <w:tc>
          <w:tcPr>
            <w:tcW w:w="5440" w:type="dxa"/>
            <w:vAlign w:val="bottom"/>
            <w:shd w:val="clear" w:color="auto" w:fill="62259D"/>
          </w:tcPr>
          <w:p>
            <w:pPr>
              <w:spacing w:after="0"/>
              <w:rPr>
                <w:sz w:val="20"/>
                <w:szCs w:val="20"/>
                <w:color w:val="auto"/>
              </w:rPr>
            </w:pPr>
            <w:r>
              <w:rPr>
                <w:rFonts w:ascii="Arial" w:cs="Arial" w:eastAsia="Arial" w:hAnsi="Arial"/>
                <w:sz w:val="28"/>
                <w:szCs w:val="28"/>
                <w:b w:val="1"/>
                <w:bCs w:val="1"/>
                <w:color w:val="FEFEFE"/>
                <w:vertAlign w:val="subscript"/>
              </w:rPr>
              <w:t>​</w:t>
            </w:r>
            <w:r>
              <w:rPr>
                <w:rFonts w:ascii="Arial" w:cs="Arial" w:eastAsia="Arial" w:hAnsi="Arial"/>
                <w:sz w:val="14"/>
                <w:szCs w:val="14"/>
                <w:b w:val="1"/>
                <w:bCs w:val="1"/>
                <w:color w:val="FEFEFE"/>
              </w:rPr>
              <w:t xml:space="preserve"> THE FULL BOARD</w:t>
            </w:r>
          </w:p>
        </w:tc>
        <w:tc>
          <w:tcPr>
            <w:tcW w:w="2980" w:type="dxa"/>
            <w:vAlign w:val="bottom"/>
            <w:shd w:val="clear" w:color="auto" w:fill="62259D"/>
          </w:tcPr>
          <w:p>
            <w:pPr>
              <w:ind w:left="2880"/>
              <w:spacing w:after="0"/>
              <w:rPr>
                <w:sz w:val="20"/>
                <w:szCs w:val="20"/>
                <w:color w:val="auto"/>
              </w:rPr>
            </w:pPr>
            <w:r>
              <w:rPr>
                <w:rFonts w:ascii="Arial" w:cs="Arial" w:eastAsia="Arial" w:hAnsi="Arial"/>
                <w:sz w:val="14"/>
                <w:szCs w:val="14"/>
                <w:b w:val="1"/>
                <w:bCs w:val="1"/>
                <w:color w:val="FEFEFE"/>
              </w:rPr>
              <w:t>​</w:t>
            </w:r>
          </w:p>
        </w:tc>
      </w:tr>
      <w:tr>
        <w:trPr>
          <w:trHeight w:val="210"/>
        </w:trPr>
        <w:tc>
          <w:tcPr>
            <w:tcW w:w="5440" w:type="dxa"/>
            <w:vAlign w:val="bottom"/>
          </w:tcPr>
          <w:p>
            <w:pPr>
              <w:spacing w:after="0"/>
              <w:rPr>
                <w:sz w:val="20"/>
                <w:szCs w:val="20"/>
                <w:color w:val="auto"/>
              </w:rPr>
            </w:pPr>
            <w:r>
              <w:rPr>
                <w:rFonts w:ascii="Arial" w:cs="Arial" w:eastAsia="Arial" w:hAnsi="Arial"/>
                <w:sz w:val="15"/>
                <w:szCs w:val="15"/>
                <w:color w:val="auto"/>
              </w:rPr>
              <w:t>​ generally, oversees and evaluates:</w:t>
            </w:r>
          </w:p>
        </w:tc>
        <w:tc>
          <w:tcPr>
            <w:tcW w:w="2980" w:type="dxa"/>
            <w:vAlign w:val="bottom"/>
          </w:tcPr>
          <w:p>
            <w:pPr>
              <w:ind w:left="288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-132715</wp:posOffset>
            </wp:positionV>
            <wp:extent cx="5349240" cy="3086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49240" cy="308610"/>
                    </a:xfrm>
                    <a:prstGeom prst="rect">
                      <a:avLst/>
                    </a:prstGeom>
                    <a:noFill/>
                  </pic:spPr>
                </pic:pic>
              </a:graphicData>
            </a:graphic>
          </wp:anchor>
        </w:drawing>
      </w:r>
    </w:p>
    <w:p>
      <w:pPr>
        <w:spacing w:after="0" w:line="23" w:lineRule="exact"/>
        <w:rPr>
          <w:sz w:val="20"/>
          <w:szCs w:val="20"/>
          <w:color w:val="auto"/>
        </w:rPr>
      </w:pPr>
    </w:p>
    <w:p>
      <w:pPr>
        <w:ind w:left="1400" w:hanging="152"/>
        <w:spacing w:after="0"/>
        <w:tabs>
          <w:tab w:leader="none" w:pos="1400" w:val="left"/>
        </w:tabs>
        <w:numPr>
          <w:ilvl w:val="0"/>
          <w:numId w:val="60"/>
        </w:numPr>
        <w:rPr>
          <w:rFonts w:ascii="Arial" w:cs="Arial" w:eastAsia="Arial" w:hAnsi="Arial"/>
          <w:sz w:val="15"/>
          <w:szCs w:val="15"/>
          <w:color w:val="62259D"/>
        </w:rPr>
      </w:pPr>
      <w:r>
        <w:rPr>
          <w:rFonts w:ascii="Arial" w:cs="Arial" w:eastAsia="Arial" w:hAnsi="Arial"/>
          <w:sz w:val="15"/>
          <w:szCs w:val="15"/>
          <w:color w:val="auto"/>
        </w:rPr>
        <w:t>strategic risks and the risks related to management delegation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55880</wp:posOffset>
            </wp:positionV>
            <wp:extent cx="5597525" cy="6686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97525" cy="6686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369"/>
        </w:trPr>
        <w:tc>
          <w:tcPr>
            <w:tcW w:w="80" w:type="dxa"/>
            <w:vAlign w:val="bottom"/>
            <w:shd w:val="clear" w:color="auto" w:fill="E7417A"/>
          </w:tcPr>
          <w:p>
            <w:pPr>
              <w:spacing w:after="0"/>
              <w:rPr>
                <w:sz w:val="20"/>
                <w:szCs w:val="20"/>
                <w:color w:val="auto"/>
              </w:rPr>
            </w:pPr>
            <w:r>
              <w:rPr>
                <w:rFonts w:ascii="Arial" w:cs="Arial" w:eastAsia="Arial" w:hAnsi="Arial"/>
                <w:sz w:val="14"/>
                <w:szCs w:val="14"/>
                <w:b w:val="1"/>
                <w:bCs w:val="1"/>
                <w:color w:val="FEFEFE"/>
              </w:rPr>
              <w:t>​</w:t>
            </w:r>
          </w:p>
        </w:tc>
        <w:tc>
          <w:tcPr>
            <w:tcW w:w="1680" w:type="dxa"/>
            <w:vAlign w:val="bottom"/>
            <w:shd w:val="clear" w:color="auto" w:fill="E7417A"/>
          </w:tcPr>
          <w:p>
            <w:pPr>
              <w:ind w:left="360"/>
              <w:spacing w:after="0"/>
              <w:rPr>
                <w:sz w:val="20"/>
                <w:szCs w:val="20"/>
                <w:color w:val="auto"/>
              </w:rPr>
            </w:pPr>
            <w:r>
              <w:rPr>
                <w:rFonts w:ascii="Arial" w:cs="Arial" w:eastAsia="Arial" w:hAnsi="Arial"/>
                <w:sz w:val="14"/>
                <w:szCs w:val="14"/>
                <w:b w:val="1"/>
                <w:bCs w:val="1"/>
                <w:color w:val="FEFEFE"/>
              </w:rPr>
              <w:t>THE AUDIT</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FEFEFE"/>
              </w:rPr>
              <w:t>​ ​</w:t>
            </w:r>
          </w:p>
        </w:tc>
        <w:tc>
          <w:tcPr>
            <w:tcW w:w="1840" w:type="dxa"/>
            <w:vAlign w:val="bottom"/>
            <w:shd w:val="clear" w:color="auto" w:fill="E7417A"/>
          </w:tcPr>
          <w:p>
            <w:pPr>
              <w:ind w:left="100"/>
              <w:spacing w:after="0"/>
              <w:rPr>
                <w:sz w:val="20"/>
                <w:szCs w:val="20"/>
                <w:color w:val="auto"/>
              </w:rPr>
            </w:pPr>
            <w:r>
              <w:rPr>
                <w:rFonts w:ascii="Arial" w:cs="Arial" w:eastAsia="Arial" w:hAnsi="Arial"/>
                <w:sz w:val="14"/>
                <w:szCs w:val="14"/>
                <w:b w:val="1"/>
                <w:bCs w:val="1"/>
                <w:color w:val="FEFEFE"/>
              </w:rPr>
              <w:t>THE COMPENSATION</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FEFEFE"/>
              </w:rPr>
              <w:t>​ ​</w:t>
            </w:r>
          </w:p>
        </w:tc>
        <w:tc>
          <w:tcPr>
            <w:tcW w:w="0" w:type="dxa"/>
            <w:vAlign w:val="bottom"/>
          </w:tcPr>
          <w:p>
            <w:pPr>
              <w:spacing w:after="0"/>
              <w:rPr>
                <w:sz w:val="1"/>
                <w:szCs w:val="1"/>
                <w:color w:val="auto"/>
              </w:rPr>
            </w:pPr>
          </w:p>
        </w:tc>
      </w:tr>
      <w:tr>
        <w:trPr>
          <w:trHeight w:val="196"/>
        </w:trPr>
        <w:tc>
          <w:tcPr>
            <w:tcW w:w="80" w:type="dxa"/>
            <w:vAlign w:val="bottom"/>
            <w:shd w:val="clear" w:color="auto" w:fill="E7417A"/>
          </w:tcPr>
          <w:p>
            <w:pPr>
              <w:spacing w:after="0"/>
              <w:rPr>
                <w:sz w:val="17"/>
                <w:szCs w:val="17"/>
                <w:color w:val="auto"/>
              </w:rPr>
            </w:pPr>
          </w:p>
        </w:tc>
        <w:tc>
          <w:tcPr>
            <w:tcW w:w="1680" w:type="dxa"/>
            <w:vAlign w:val="bottom"/>
            <w:shd w:val="clear" w:color="auto" w:fill="E7417A"/>
          </w:tcPr>
          <w:p>
            <w:pPr>
              <w:ind w:left="340"/>
              <w:spacing w:after="0"/>
              <w:rPr>
                <w:sz w:val="20"/>
                <w:szCs w:val="20"/>
                <w:color w:val="auto"/>
              </w:rPr>
            </w:pPr>
            <w:r>
              <w:rPr>
                <w:rFonts w:ascii="Arial" w:cs="Arial" w:eastAsia="Arial" w:hAnsi="Arial"/>
                <w:sz w:val="14"/>
                <w:szCs w:val="14"/>
                <w:b w:val="1"/>
                <w:bCs w:val="1"/>
                <w:color w:val="FEFEFE"/>
              </w:rPr>
              <w:t>COMMITTEE</w:t>
            </w:r>
          </w:p>
        </w:tc>
        <w:tc>
          <w:tcPr>
            <w:tcW w:w="200" w:type="dxa"/>
            <w:vAlign w:val="bottom"/>
          </w:tcPr>
          <w:p>
            <w:pPr>
              <w:spacing w:after="0"/>
              <w:rPr>
                <w:sz w:val="17"/>
                <w:szCs w:val="17"/>
                <w:color w:val="auto"/>
              </w:rPr>
            </w:pPr>
          </w:p>
        </w:tc>
        <w:tc>
          <w:tcPr>
            <w:tcW w:w="1840" w:type="dxa"/>
            <w:vAlign w:val="bottom"/>
            <w:shd w:val="clear" w:color="auto" w:fill="E7417A"/>
          </w:tcPr>
          <w:p>
            <w:pPr>
              <w:ind w:left="460"/>
              <w:spacing w:after="0"/>
              <w:rPr>
                <w:sz w:val="20"/>
                <w:szCs w:val="20"/>
                <w:color w:val="auto"/>
              </w:rPr>
            </w:pPr>
            <w:r>
              <w:rPr>
                <w:rFonts w:ascii="Arial" w:cs="Arial" w:eastAsia="Arial" w:hAnsi="Arial"/>
                <w:sz w:val="14"/>
                <w:szCs w:val="14"/>
                <w:b w:val="1"/>
                <w:bCs w:val="1"/>
                <w:color w:val="FEFEFE"/>
              </w:rPr>
              <w:t>COMMITTEE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760" w:type="dxa"/>
            <w:vAlign w:val="bottom"/>
            <w:gridSpan w:val="2"/>
            <w:shd w:val="clear" w:color="auto" w:fill="E7417A"/>
          </w:tcPr>
          <w:p>
            <w:pPr>
              <w:spacing w:after="0"/>
              <w:rPr>
                <w:sz w:val="16"/>
                <w:szCs w:val="16"/>
                <w:color w:val="auto"/>
              </w:rPr>
            </w:pPr>
          </w:p>
        </w:tc>
        <w:tc>
          <w:tcPr>
            <w:tcW w:w="200" w:type="dxa"/>
            <w:vAlign w:val="bottom"/>
            <w:vMerge w:val="restart"/>
          </w:tcPr>
          <w:p>
            <w:pPr>
              <w:spacing w:after="0"/>
              <w:rPr>
                <w:sz w:val="20"/>
                <w:szCs w:val="20"/>
                <w:color w:val="auto"/>
              </w:rPr>
            </w:pPr>
            <w:r>
              <w:rPr>
                <w:rFonts w:ascii="Arial" w:cs="Arial" w:eastAsia="Arial" w:hAnsi="Arial"/>
                <w:sz w:val="15"/>
                <w:szCs w:val="15"/>
                <w:color w:val="auto"/>
              </w:rPr>
              <w:t>​ ​</w:t>
            </w:r>
          </w:p>
        </w:tc>
        <w:tc>
          <w:tcPr>
            <w:tcW w:w="1840" w:type="dxa"/>
            <w:vAlign w:val="bottom"/>
            <w:shd w:val="clear" w:color="auto" w:fill="E7417A"/>
          </w:tcPr>
          <w:p>
            <w:pPr>
              <w:spacing w:after="0"/>
              <w:rPr>
                <w:sz w:val="16"/>
                <w:szCs w:val="16"/>
                <w:color w:val="auto"/>
              </w:rPr>
            </w:pPr>
          </w:p>
        </w:tc>
        <w:tc>
          <w:tcPr>
            <w:tcW w:w="200" w:type="dxa"/>
            <w:vAlign w:val="bottom"/>
            <w:vMerge w:val="restart"/>
          </w:tcPr>
          <w:p>
            <w:pPr>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99"/>
        </w:trPr>
        <w:tc>
          <w:tcPr>
            <w:tcW w:w="1760" w:type="dxa"/>
            <w:vAlign w:val="bottom"/>
            <w:gridSpan w:val="2"/>
            <w:shd w:val="clear" w:color="auto" w:fill="F2F2F2"/>
          </w:tcPr>
          <w:p>
            <w:pPr>
              <w:spacing w:after="0" w:line="199"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oversees and</w:t>
            </w:r>
          </w:p>
        </w:tc>
        <w:tc>
          <w:tcPr>
            <w:tcW w:w="200" w:type="dxa"/>
            <w:vAlign w:val="bottom"/>
            <w:vMerge w:val="continue"/>
          </w:tcPr>
          <w:p>
            <w:pPr>
              <w:spacing w:after="0"/>
              <w:rPr>
                <w:sz w:val="17"/>
                <w:szCs w:val="17"/>
                <w:color w:val="auto"/>
              </w:rPr>
            </w:pPr>
          </w:p>
        </w:tc>
        <w:tc>
          <w:tcPr>
            <w:tcW w:w="1840" w:type="dxa"/>
            <w:vAlign w:val="bottom"/>
            <w:shd w:val="clear" w:color="auto" w:fill="F2F2F2"/>
          </w:tcPr>
          <w:p>
            <w:pPr>
              <w:ind w:left="120"/>
              <w:spacing w:after="0"/>
              <w:rPr>
                <w:sz w:val="20"/>
                <w:szCs w:val="20"/>
                <w:color w:val="auto"/>
              </w:rPr>
            </w:pPr>
            <w:r>
              <w:rPr>
                <w:rFonts w:ascii="Arial" w:cs="Arial" w:eastAsia="Arial" w:hAnsi="Arial"/>
                <w:sz w:val="15"/>
                <w:szCs w:val="15"/>
                <w:color w:val="auto"/>
              </w:rPr>
              <w:t>oversees and</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0" w:type="dxa"/>
            <w:vAlign w:val="bottom"/>
            <w:shd w:val="clear" w:color="auto" w:fill="F2F2F2"/>
          </w:tcPr>
          <w:p>
            <w:pPr>
              <w:spacing w:after="0"/>
              <w:rPr>
                <w:sz w:val="17"/>
                <w:szCs w:val="17"/>
                <w:color w:val="auto"/>
              </w:rPr>
            </w:pPr>
          </w:p>
        </w:tc>
        <w:tc>
          <w:tcPr>
            <w:tcW w:w="1680" w:type="dxa"/>
            <w:vAlign w:val="bottom"/>
            <w:shd w:val="clear" w:color="auto" w:fill="F2F2F2"/>
          </w:tcPr>
          <w:p>
            <w:pPr>
              <w:ind w:left="20"/>
              <w:spacing w:after="0"/>
              <w:rPr>
                <w:sz w:val="20"/>
                <w:szCs w:val="20"/>
                <w:color w:val="auto"/>
              </w:rPr>
            </w:pPr>
            <w:r>
              <w:rPr>
                <w:rFonts w:ascii="Arial" w:cs="Arial" w:eastAsia="Arial" w:hAnsi="Arial"/>
                <w:sz w:val="15"/>
                <w:szCs w:val="15"/>
                <w:color w:val="auto"/>
              </w:rPr>
              <w:t>evaluates:</w:t>
            </w:r>
          </w:p>
        </w:tc>
        <w:tc>
          <w:tcPr>
            <w:tcW w:w="200" w:type="dxa"/>
            <w:vAlign w:val="bottom"/>
          </w:tcPr>
          <w:p>
            <w:pPr>
              <w:spacing w:after="0"/>
              <w:rPr>
                <w:sz w:val="17"/>
                <w:szCs w:val="17"/>
                <w:color w:val="auto"/>
              </w:rPr>
            </w:pPr>
          </w:p>
        </w:tc>
        <w:tc>
          <w:tcPr>
            <w:tcW w:w="1840" w:type="dxa"/>
            <w:vAlign w:val="bottom"/>
            <w:shd w:val="clear" w:color="auto" w:fill="F2F2F2"/>
          </w:tcPr>
          <w:p>
            <w:pPr>
              <w:ind w:left="120"/>
              <w:spacing w:after="0"/>
              <w:rPr>
                <w:sz w:val="20"/>
                <w:szCs w:val="20"/>
                <w:color w:val="auto"/>
              </w:rPr>
            </w:pPr>
            <w:r>
              <w:rPr>
                <w:rFonts w:ascii="Arial" w:cs="Arial" w:eastAsia="Arial" w:hAnsi="Arial"/>
                <w:sz w:val="15"/>
                <w:szCs w:val="15"/>
                <w:color w:val="auto"/>
              </w:rPr>
              <w:t>evaluates:</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80" w:type="dxa"/>
            <w:vAlign w:val="bottom"/>
            <w:shd w:val="clear" w:color="auto" w:fill="F2F2F2"/>
          </w:tcPr>
          <w:p>
            <w:pPr>
              <w:spacing w:after="0"/>
              <w:rPr>
                <w:sz w:val="22"/>
                <w:szCs w:val="22"/>
                <w:color w:val="auto"/>
              </w:rPr>
            </w:pPr>
          </w:p>
        </w:tc>
        <w:tc>
          <w:tcPr>
            <w:tcW w:w="1680" w:type="dxa"/>
            <w:vAlign w:val="bottom"/>
            <w:shd w:val="clear" w:color="auto" w:fill="F2F2F2"/>
          </w:tcPr>
          <w:p>
            <w:pPr>
              <w:ind w:left="20"/>
              <w:spacing w:after="0"/>
              <w:rPr>
                <w:sz w:val="20"/>
                <w:szCs w:val="20"/>
                <w:color w:val="auto"/>
              </w:rPr>
            </w:pPr>
            <w:r>
              <w:rPr>
                <w:rFonts w:ascii="Arial" w:cs="Arial" w:eastAsia="Arial" w:hAnsi="Arial"/>
                <w:sz w:val="15"/>
                <w:szCs w:val="15"/>
                <w:color w:val="62259D"/>
              </w:rPr>
              <w:t xml:space="preserve">■ </w:t>
            </w:r>
            <w:r>
              <w:rPr>
                <w:rFonts w:ascii="Arial" w:cs="Arial" w:eastAsia="Arial" w:hAnsi="Arial"/>
                <w:sz w:val="15"/>
                <w:szCs w:val="15"/>
                <w:color w:val="000000"/>
              </w:rPr>
              <w:t>financial, internal</w:t>
            </w:r>
          </w:p>
        </w:tc>
        <w:tc>
          <w:tcPr>
            <w:tcW w:w="200" w:type="dxa"/>
            <w:vAlign w:val="bottom"/>
          </w:tcPr>
          <w:p>
            <w:pPr>
              <w:spacing w:after="0"/>
              <w:rPr>
                <w:sz w:val="22"/>
                <w:szCs w:val="22"/>
                <w:color w:val="auto"/>
              </w:rPr>
            </w:pPr>
          </w:p>
        </w:tc>
        <w:tc>
          <w:tcPr>
            <w:tcW w:w="1840" w:type="dxa"/>
            <w:vAlign w:val="bottom"/>
            <w:shd w:val="clear" w:color="auto" w:fill="F2F2F2"/>
          </w:tcPr>
          <w:p>
            <w:pPr>
              <w:ind w:left="120"/>
              <w:spacing w:after="0"/>
              <w:rPr>
                <w:sz w:val="20"/>
                <w:szCs w:val="20"/>
                <w:color w:val="auto"/>
              </w:rPr>
            </w:pPr>
            <w:r>
              <w:rPr>
                <w:rFonts w:ascii="Arial" w:cs="Arial" w:eastAsia="Arial" w:hAnsi="Arial"/>
                <w:sz w:val="15"/>
                <w:szCs w:val="15"/>
                <w:color w:val="62259D"/>
              </w:rPr>
              <w:t xml:space="preserve">■ </w:t>
            </w:r>
            <w:r>
              <w:rPr>
                <w:rFonts w:ascii="Arial" w:cs="Arial" w:eastAsia="Arial" w:hAnsi="Arial"/>
                <w:sz w:val="15"/>
                <w:szCs w:val="15"/>
                <w:color w:val="000000"/>
              </w:rPr>
              <w:t>risks related to our</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F2F2F2"/>
          </w:tcPr>
          <w:p>
            <w:pPr>
              <w:spacing w:after="0"/>
              <w:rPr>
                <w:sz w:val="15"/>
                <w:szCs w:val="15"/>
                <w:color w:val="auto"/>
              </w:rPr>
            </w:pPr>
          </w:p>
        </w:tc>
        <w:tc>
          <w:tcPr>
            <w:tcW w:w="1680" w:type="dxa"/>
            <w:vAlign w:val="bottom"/>
            <w:shd w:val="clear" w:color="auto" w:fill="F2F2F2"/>
          </w:tcPr>
          <w:p>
            <w:pPr>
              <w:ind w:left="180"/>
              <w:spacing w:after="0"/>
              <w:rPr>
                <w:sz w:val="20"/>
                <w:szCs w:val="20"/>
                <w:color w:val="auto"/>
              </w:rPr>
            </w:pPr>
            <w:r>
              <w:rPr>
                <w:rFonts w:ascii="Arial" w:cs="Arial" w:eastAsia="Arial" w:hAnsi="Arial"/>
                <w:sz w:val="15"/>
                <w:szCs w:val="15"/>
                <w:color w:val="auto"/>
              </w:rPr>
              <w:t>control, enterprise</w:t>
            </w:r>
          </w:p>
        </w:tc>
        <w:tc>
          <w:tcPr>
            <w:tcW w:w="200" w:type="dxa"/>
            <w:vAlign w:val="bottom"/>
          </w:tcPr>
          <w:p>
            <w:pPr>
              <w:spacing w:after="0"/>
              <w:rPr>
                <w:sz w:val="15"/>
                <w:szCs w:val="15"/>
                <w:color w:val="auto"/>
              </w:rPr>
            </w:pPr>
          </w:p>
        </w:tc>
        <w:tc>
          <w:tcPr>
            <w:tcW w:w="1840" w:type="dxa"/>
            <w:vAlign w:val="bottom"/>
            <w:shd w:val="clear" w:color="auto" w:fill="F2F2F2"/>
          </w:tcPr>
          <w:p>
            <w:pPr>
              <w:ind w:left="280"/>
              <w:spacing w:after="0"/>
              <w:rPr>
                <w:sz w:val="20"/>
                <w:szCs w:val="20"/>
                <w:color w:val="auto"/>
              </w:rPr>
            </w:pPr>
            <w:r>
              <w:rPr>
                <w:rFonts w:ascii="Arial" w:cs="Arial" w:eastAsia="Arial" w:hAnsi="Arial"/>
                <w:sz w:val="15"/>
                <w:szCs w:val="15"/>
                <w:color w:val="auto"/>
              </w:rPr>
              <w:t>compensation</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F2F2F2"/>
          </w:tcPr>
          <w:p>
            <w:pPr>
              <w:spacing w:after="0"/>
              <w:rPr>
                <w:sz w:val="15"/>
                <w:szCs w:val="15"/>
                <w:color w:val="auto"/>
              </w:rPr>
            </w:pPr>
          </w:p>
        </w:tc>
        <w:tc>
          <w:tcPr>
            <w:tcW w:w="1680" w:type="dxa"/>
            <w:vAlign w:val="bottom"/>
            <w:shd w:val="clear" w:color="auto" w:fill="F2F2F2"/>
          </w:tcPr>
          <w:p>
            <w:pPr>
              <w:ind w:left="180"/>
              <w:spacing w:after="0"/>
              <w:rPr>
                <w:sz w:val="20"/>
                <w:szCs w:val="20"/>
                <w:color w:val="auto"/>
              </w:rPr>
            </w:pPr>
            <w:r>
              <w:rPr>
                <w:rFonts w:ascii="Arial" w:cs="Arial" w:eastAsia="Arial" w:hAnsi="Arial"/>
                <w:sz w:val="15"/>
                <w:szCs w:val="15"/>
                <w:color w:val="auto"/>
              </w:rPr>
              <w:t>and cyber security</w:t>
            </w:r>
          </w:p>
        </w:tc>
        <w:tc>
          <w:tcPr>
            <w:tcW w:w="200" w:type="dxa"/>
            <w:vAlign w:val="bottom"/>
          </w:tcPr>
          <w:p>
            <w:pPr>
              <w:spacing w:after="0"/>
              <w:rPr>
                <w:sz w:val="15"/>
                <w:szCs w:val="15"/>
                <w:color w:val="auto"/>
              </w:rPr>
            </w:pPr>
          </w:p>
        </w:tc>
        <w:tc>
          <w:tcPr>
            <w:tcW w:w="1840" w:type="dxa"/>
            <w:vAlign w:val="bottom"/>
            <w:shd w:val="clear" w:color="auto" w:fill="F2F2F2"/>
          </w:tcPr>
          <w:p>
            <w:pPr>
              <w:ind w:left="280"/>
              <w:spacing w:after="0"/>
              <w:rPr>
                <w:sz w:val="20"/>
                <w:szCs w:val="20"/>
                <w:color w:val="auto"/>
              </w:rPr>
            </w:pPr>
            <w:r>
              <w:rPr>
                <w:rFonts w:ascii="Arial" w:cs="Arial" w:eastAsia="Arial" w:hAnsi="Arial"/>
                <w:sz w:val="15"/>
                <w:szCs w:val="15"/>
                <w:color w:val="auto"/>
              </w:rPr>
              <w:t>policies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0" w:type="dxa"/>
            <w:vAlign w:val="bottom"/>
            <w:shd w:val="clear" w:color="auto" w:fill="F2F2F2"/>
          </w:tcPr>
          <w:p>
            <w:pPr>
              <w:spacing w:after="0"/>
              <w:rPr>
                <w:sz w:val="19"/>
                <w:szCs w:val="19"/>
                <w:color w:val="auto"/>
              </w:rPr>
            </w:pPr>
          </w:p>
        </w:tc>
        <w:tc>
          <w:tcPr>
            <w:tcW w:w="1680" w:type="dxa"/>
            <w:vAlign w:val="bottom"/>
            <w:shd w:val="clear" w:color="auto" w:fill="F2F2F2"/>
          </w:tcPr>
          <w:p>
            <w:pPr>
              <w:ind w:left="180"/>
              <w:spacing w:after="0"/>
              <w:rPr>
                <w:sz w:val="20"/>
                <w:szCs w:val="20"/>
                <w:color w:val="auto"/>
              </w:rPr>
            </w:pPr>
            <w:r>
              <w:rPr>
                <w:rFonts w:ascii="Arial" w:cs="Arial" w:eastAsia="Arial" w:hAnsi="Arial"/>
                <w:sz w:val="15"/>
                <w:szCs w:val="15"/>
                <w:color w:val="auto"/>
              </w:rPr>
              <w:t>risks</w:t>
            </w:r>
          </w:p>
        </w:tc>
        <w:tc>
          <w:tcPr>
            <w:tcW w:w="200" w:type="dxa"/>
            <w:vAlign w:val="bottom"/>
          </w:tcPr>
          <w:p>
            <w:pPr>
              <w:spacing w:after="0"/>
              <w:rPr>
                <w:sz w:val="19"/>
                <w:szCs w:val="19"/>
                <w:color w:val="auto"/>
              </w:rPr>
            </w:pPr>
          </w:p>
        </w:tc>
        <w:tc>
          <w:tcPr>
            <w:tcW w:w="1840" w:type="dxa"/>
            <w:vAlign w:val="bottom"/>
            <w:shd w:val="clear" w:color="auto" w:fill="F2F2F2"/>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ind w:right="38"/>
        <w:spacing w:after="0"/>
        <w:rPr>
          <w:sz w:val="20"/>
          <w:szCs w:val="20"/>
          <w:color w:val="auto"/>
        </w:rPr>
      </w:pPr>
      <w:r>
        <w:rPr>
          <w:rFonts w:ascii="Arial" w:cs="Arial" w:eastAsia="Arial" w:hAnsi="Arial"/>
          <w:sz w:val="14"/>
          <w:szCs w:val="14"/>
          <w:b w:val="1"/>
          <w:bCs w:val="1"/>
          <w:color w:val="FEFEFE"/>
        </w:rPr>
        <w:t>THE NOMINATING,</w:t>
      </w:r>
    </w:p>
    <w:p>
      <w:pPr>
        <w:spacing w:after="0" w:line="15" w:lineRule="exact"/>
        <w:rPr>
          <w:sz w:val="20"/>
          <w:szCs w:val="20"/>
          <w:color w:val="auto"/>
        </w:rPr>
      </w:pPr>
    </w:p>
    <w:p>
      <w:pPr>
        <w:jc w:val="center"/>
        <w:ind w:right="38"/>
        <w:spacing w:after="0"/>
        <w:rPr>
          <w:sz w:val="20"/>
          <w:szCs w:val="20"/>
          <w:color w:val="auto"/>
        </w:rPr>
      </w:pPr>
      <w:r>
        <w:rPr>
          <w:rFonts w:ascii="Arial" w:cs="Arial" w:eastAsia="Arial" w:hAnsi="Arial"/>
          <w:sz w:val="14"/>
          <w:szCs w:val="14"/>
          <w:b w:val="1"/>
          <w:bCs w:val="1"/>
          <w:color w:val="FEFEFE"/>
        </w:rPr>
        <w:t>SUSTAINABILITY AND</w:t>
      </w:r>
    </w:p>
    <w:p>
      <w:pPr>
        <w:spacing w:after="0" w:line="15" w:lineRule="exact"/>
        <w:rPr>
          <w:sz w:val="20"/>
          <w:szCs w:val="20"/>
          <w:color w:val="auto"/>
        </w:rPr>
      </w:pPr>
    </w:p>
    <w:p>
      <w:pPr>
        <w:jc w:val="center"/>
        <w:ind w:right="38"/>
        <w:spacing w:after="0"/>
        <w:rPr>
          <w:sz w:val="20"/>
          <w:szCs w:val="20"/>
          <w:color w:val="auto"/>
        </w:rPr>
      </w:pPr>
      <w:r>
        <w:rPr>
          <w:rFonts w:ascii="Arial" w:cs="Arial" w:eastAsia="Arial" w:hAnsi="Arial"/>
          <w:sz w:val="14"/>
          <w:szCs w:val="14"/>
          <w:b w:val="1"/>
          <w:bCs w:val="1"/>
          <w:color w:val="FEFEFE"/>
        </w:rPr>
        <w:t>CORPORATE</w:t>
      </w:r>
    </w:p>
    <w:p>
      <w:pPr>
        <w:spacing w:after="0" w:line="1" w:lineRule="exact"/>
        <w:rPr>
          <w:sz w:val="20"/>
          <w:szCs w:val="20"/>
          <w:color w:val="auto"/>
        </w:rPr>
      </w:pPr>
    </w:p>
    <w:p>
      <w:pPr>
        <w:jc w:val="center"/>
        <w:ind w:left="-1"/>
        <w:spacing w:after="0"/>
        <w:rPr>
          <w:sz w:val="20"/>
          <w:szCs w:val="20"/>
          <w:color w:val="auto"/>
        </w:rPr>
      </w:pPr>
      <w:r>
        <w:rPr>
          <w:rFonts w:ascii="Arial" w:cs="Arial" w:eastAsia="Arial" w:hAnsi="Arial"/>
          <w:sz w:val="14"/>
          <w:szCs w:val="14"/>
          <w:b w:val="1"/>
          <w:bCs w:val="1"/>
          <w:color w:val="FEFEFE"/>
        </w:rPr>
        <w:t>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23495</wp:posOffset>
            </wp:positionV>
            <wp:extent cx="1508760" cy="7797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08760" cy="779780"/>
                    </a:xfrm>
                    <a:prstGeom prst="rect">
                      <a:avLst/>
                    </a:prstGeom>
                    <a:noFill/>
                  </pic:spPr>
                </pic:pic>
              </a:graphicData>
            </a:graphic>
          </wp:anchor>
        </w:drawing>
      </w:r>
    </w:p>
    <w:p>
      <w:pPr>
        <w:spacing w:after="0" w:line="26" w:lineRule="exact"/>
        <w:rPr>
          <w:sz w:val="20"/>
          <w:szCs w:val="20"/>
          <w:color w:val="auto"/>
        </w:rPr>
      </w:pPr>
    </w:p>
    <w:p>
      <w:pPr>
        <w:ind w:left="2"/>
        <w:spacing w:after="0"/>
        <w:rPr>
          <w:sz w:val="20"/>
          <w:szCs w:val="20"/>
          <w:color w:val="auto"/>
        </w:rPr>
      </w:pPr>
      <w:r>
        <w:rPr>
          <w:rFonts w:ascii="Arial" w:cs="Arial" w:eastAsia="Arial" w:hAnsi="Arial"/>
          <w:sz w:val="15"/>
          <w:szCs w:val="15"/>
          <w:color w:val="auto"/>
        </w:rPr>
        <w:t>oversees and evaluates:</w:t>
      </w:r>
    </w:p>
    <w:p>
      <w:pPr>
        <w:spacing w:after="0" w:line="84" w:lineRule="exact"/>
        <w:rPr>
          <w:sz w:val="20"/>
          <w:szCs w:val="20"/>
          <w:color w:val="auto"/>
        </w:rPr>
      </w:pPr>
    </w:p>
    <w:p>
      <w:pPr>
        <w:ind w:left="162" w:hanging="162"/>
        <w:spacing w:after="0" w:line="301" w:lineRule="auto"/>
        <w:tabs>
          <w:tab w:leader="none" w:pos="162" w:val="left"/>
        </w:tabs>
        <w:numPr>
          <w:ilvl w:val="0"/>
          <w:numId w:val="61"/>
        </w:numPr>
        <w:rPr>
          <w:rFonts w:ascii="Arial" w:cs="Arial" w:eastAsia="Arial" w:hAnsi="Arial"/>
          <w:sz w:val="15"/>
          <w:szCs w:val="15"/>
          <w:color w:val="62259D"/>
        </w:rPr>
      </w:pPr>
      <w:r>
        <w:rPr>
          <w:rFonts w:ascii="Arial" w:cs="Arial" w:eastAsia="Arial" w:hAnsi="Arial"/>
          <w:sz w:val="15"/>
          <w:szCs w:val="15"/>
          <w:color w:val="auto"/>
        </w:rPr>
        <w:t>risks related to sustainability and governance</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0" w:type="dxa"/>
            <w:vAlign w:val="bottom"/>
          </w:tcPr>
          <w:p>
            <w:pPr>
              <w:spacing w:after="0"/>
              <w:rPr>
                <w:sz w:val="23"/>
                <w:szCs w:val="23"/>
                <w:color w:val="auto"/>
              </w:rPr>
            </w:pPr>
          </w:p>
        </w:tc>
        <w:tc>
          <w:tcPr>
            <w:tcW w:w="1820" w:type="dxa"/>
            <w:vAlign w:val="bottom"/>
            <w:shd w:val="clear" w:color="auto" w:fill="E7417A"/>
          </w:tcPr>
          <w:p>
            <w:pPr>
              <w:jc w:val="center"/>
              <w:spacing w:after="0"/>
              <w:rPr>
                <w:sz w:val="20"/>
                <w:szCs w:val="20"/>
                <w:color w:val="auto"/>
              </w:rPr>
            </w:pPr>
            <w:r>
              <w:rPr>
                <w:rFonts w:ascii="Arial" w:cs="Arial" w:eastAsia="Arial" w:hAnsi="Arial"/>
                <w:sz w:val="14"/>
                <w:szCs w:val="14"/>
                <w:b w:val="1"/>
                <w:bCs w:val="1"/>
                <w:color w:val="FEFEFE"/>
              </w:rPr>
              <w:t>THE TECHNOLOGY</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20" w:type="dxa"/>
            <w:vAlign w:val="bottom"/>
          </w:tcPr>
          <w:p>
            <w:pPr>
              <w:ind w:left="60"/>
              <w:spacing w:after="0"/>
              <w:rPr>
                <w:sz w:val="20"/>
                <w:szCs w:val="20"/>
                <w:color w:val="auto"/>
              </w:rPr>
            </w:pPr>
            <w:r>
              <w:rPr>
                <w:rFonts w:ascii="Arial" w:cs="Arial" w:eastAsia="Arial" w:hAnsi="Arial"/>
                <w:sz w:val="14"/>
                <w:szCs w:val="14"/>
                <w:b w:val="1"/>
                <w:bCs w:val="1"/>
                <w:color w:val="FEFEFE"/>
              </w:rPr>
              <w:t>​ ​</w:t>
            </w:r>
          </w:p>
        </w:tc>
        <w:tc>
          <w:tcPr>
            <w:tcW w:w="1820" w:type="dxa"/>
            <w:vAlign w:val="bottom"/>
            <w:shd w:val="clear" w:color="auto" w:fill="E7417A"/>
          </w:tcPr>
          <w:p>
            <w:pPr>
              <w:jc w:val="center"/>
              <w:spacing w:after="0"/>
              <w:rPr>
                <w:sz w:val="20"/>
                <w:szCs w:val="20"/>
                <w:color w:val="auto"/>
              </w:rPr>
            </w:pPr>
            <w:r>
              <w:rPr>
                <w:rFonts w:ascii="Arial" w:cs="Arial" w:eastAsia="Arial" w:hAnsi="Arial"/>
                <w:sz w:val="14"/>
                <w:szCs w:val="14"/>
                <w:b w:val="1"/>
                <w:bCs w:val="1"/>
                <w:color w:val="FEFEFE"/>
              </w:rPr>
              <w:t>AND INNOVATION</w:t>
            </w: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820" w:type="dxa"/>
            <w:vAlign w:val="bottom"/>
            <w:shd w:val="clear" w:color="auto" w:fill="E7417A"/>
          </w:tcPr>
          <w:p>
            <w:pPr>
              <w:jc w:val="center"/>
              <w:spacing w:after="0"/>
              <w:rPr>
                <w:sz w:val="20"/>
                <w:szCs w:val="20"/>
                <w:color w:val="auto"/>
              </w:rPr>
            </w:pPr>
            <w:r>
              <w:rPr>
                <w:rFonts w:ascii="Arial" w:cs="Arial" w:eastAsia="Arial" w:hAnsi="Arial"/>
                <w:sz w:val="14"/>
                <w:szCs w:val="14"/>
                <w:b w:val="1"/>
                <w:bCs w:val="1"/>
                <w:color w:val="FEFEFE"/>
              </w:rPr>
              <w:t>COMMITTEE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20" w:type="dxa"/>
            <w:vAlign w:val="bottom"/>
            <w:vMerge w:val="restart"/>
          </w:tcPr>
          <w:p>
            <w:pPr>
              <w:spacing w:after="0"/>
              <w:rPr>
                <w:sz w:val="20"/>
                <w:szCs w:val="20"/>
                <w:color w:val="auto"/>
              </w:rPr>
            </w:pPr>
            <w:r>
              <w:rPr>
                <w:rFonts w:ascii="Arial" w:cs="Arial" w:eastAsia="Arial" w:hAnsi="Arial"/>
                <w:sz w:val="15"/>
                <w:szCs w:val="15"/>
                <w:color w:val="auto"/>
              </w:rPr>
              <w:t>​ ​</w:t>
            </w:r>
          </w:p>
        </w:tc>
        <w:tc>
          <w:tcPr>
            <w:tcW w:w="1820" w:type="dxa"/>
            <w:vAlign w:val="bottom"/>
            <w:shd w:val="clear" w:color="auto" w:fill="E7417A"/>
          </w:tcPr>
          <w:p>
            <w:pPr>
              <w:spacing w:after="0"/>
              <w:rPr>
                <w:sz w:val="9"/>
                <w:szCs w:val="9"/>
                <w:color w:val="auto"/>
              </w:rPr>
            </w:pP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220" w:type="dxa"/>
            <w:vAlign w:val="bottom"/>
            <w:vMerge w:val="continue"/>
          </w:tcPr>
          <w:p>
            <w:pPr>
              <w:spacing w:after="0"/>
              <w:rPr>
                <w:sz w:val="17"/>
                <w:szCs w:val="17"/>
                <w:color w:val="auto"/>
              </w:rPr>
            </w:pPr>
          </w:p>
        </w:tc>
        <w:tc>
          <w:tcPr>
            <w:tcW w:w="1820" w:type="dxa"/>
            <w:vAlign w:val="bottom"/>
            <w:shd w:val="clear" w:color="auto" w:fill="F2F2F2"/>
          </w:tcPr>
          <w:p>
            <w:pPr>
              <w:ind w:left="100"/>
              <w:spacing w:after="0"/>
              <w:rPr>
                <w:sz w:val="20"/>
                <w:szCs w:val="20"/>
                <w:color w:val="auto"/>
              </w:rPr>
            </w:pPr>
            <w:r>
              <w:rPr>
                <w:rFonts w:ascii="Arial" w:cs="Arial" w:eastAsia="Arial" w:hAnsi="Arial"/>
                <w:sz w:val="15"/>
                <w:szCs w:val="15"/>
                <w:color w:val="auto"/>
              </w:rPr>
              <w:t>oversees and</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0" w:type="dxa"/>
            <w:vAlign w:val="bottom"/>
          </w:tcPr>
          <w:p>
            <w:pPr>
              <w:spacing w:after="0"/>
              <w:rPr>
                <w:sz w:val="17"/>
                <w:szCs w:val="17"/>
                <w:color w:val="auto"/>
              </w:rPr>
            </w:pPr>
          </w:p>
        </w:tc>
        <w:tc>
          <w:tcPr>
            <w:tcW w:w="1820" w:type="dxa"/>
            <w:vAlign w:val="bottom"/>
            <w:shd w:val="clear" w:color="auto" w:fill="F2F2F2"/>
          </w:tcPr>
          <w:p>
            <w:pPr>
              <w:ind w:left="100"/>
              <w:spacing w:after="0"/>
              <w:rPr>
                <w:sz w:val="20"/>
                <w:szCs w:val="20"/>
                <w:color w:val="auto"/>
              </w:rPr>
            </w:pPr>
            <w:r>
              <w:rPr>
                <w:rFonts w:ascii="Arial" w:cs="Arial" w:eastAsia="Arial" w:hAnsi="Arial"/>
                <w:sz w:val="15"/>
                <w:szCs w:val="15"/>
                <w:color w:val="auto"/>
              </w:rPr>
              <w:t>evaluates: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20" w:type="dxa"/>
            <w:vAlign w:val="bottom"/>
          </w:tcPr>
          <w:p>
            <w:pPr>
              <w:spacing w:after="0"/>
              <w:rPr>
                <w:sz w:val="22"/>
                <w:szCs w:val="22"/>
                <w:color w:val="auto"/>
              </w:rPr>
            </w:pPr>
          </w:p>
        </w:tc>
        <w:tc>
          <w:tcPr>
            <w:tcW w:w="1820" w:type="dxa"/>
            <w:vAlign w:val="bottom"/>
            <w:shd w:val="clear" w:color="auto" w:fill="F2F2F2"/>
          </w:tcPr>
          <w:p>
            <w:pPr>
              <w:ind w:left="100"/>
              <w:spacing w:after="0"/>
              <w:rPr>
                <w:sz w:val="20"/>
                <w:szCs w:val="20"/>
                <w:color w:val="auto"/>
              </w:rPr>
            </w:pPr>
            <w:r>
              <w:rPr>
                <w:rFonts w:ascii="Arial" w:cs="Arial" w:eastAsia="Arial" w:hAnsi="Arial"/>
                <w:sz w:val="15"/>
                <w:szCs w:val="15"/>
                <w:color w:val="62259D"/>
              </w:rPr>
              <w:t xml:space="preserve">■ </w:t>
            </w:r>
            <w:r>
              <w:rPr>
                <w:rFonts w:ascii="Arial" w:cs="Arial" w:eastAsia="Arial" w:hAnsi="Arial"/>
                <w:sz w:val="15"/>
                <w:szCs w:val="15"/>
                <w:color w:val="000000"/>
              </w:rPr>
              <w:t>risks related to</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1820" w:type="dxa"/>
            <w:vAlign w:val="bottom"/>
            <w:shd w:val="clear" w:color="auto" w:fill="F2F2F2"/>
          </w:tcPr>
          <w:p>
            <w:pPr>
              <w:ind w:left="260"/>
              <w:spacing w:after="0"/>
              <w:rPr>
                <w:sz w:val="20"/>
                <w:szCs w:val="20"/>
                <w:color w:val="auto"/>
              </w:rPr>
            </w:pPr>
            <w:r>
              <w:rPr>
                <w:rFonts w:ascii="Arial" w:cs="Arial" w:eastAsia="Arial" w:hAnsi="Arial"/>
                <w:sz w:val="15"/>
                <w:szCs w:val="15"/>
                <w:color w:val="auto"/>
              </w:rPr>
              <w:t>significant R&amp;D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20" w:type="dxa"/>
            <w:vAlign w:val="bottom"/>
          </w:tcPr>
          <w:p>
            <w:pPr>
              <w:spacing w:after="0"/>
              <w:rPr>
                <w:sz w:val="17"/>
                <w:szCs w:val="17"/>
                <w:color w:val="auto"/>
              </w:rPr>
            </w:pPr>
          </w:p>
        </w:tc>
        <w:tc>
          <w:tcPr>
            <w:tcW w:w="1820" w:type="dxa"/>
            <w:vAlign w:val="bottom"/>
            <w:shd w:val="clear" w:color="auto" w:fill="F2F2F2"/>
          </w:tcPr>
          <w:p>
            <w:pPr>
              <w:ind w:left="260"/>
              <w:spacing w:after="0"/>
              <w:rPr>
                <w:sz w:val="20"/>
                <w:szCs w:val="20"/>
                <w:color w:val="auto"/>
              </w:rPr>
            </w:pPr>
            <w:r>
              <w:rPr>
                <w:rFonts w:ascii="Arial" w:cs="Arial" w:eastAsia="Arial" w:hAnsi="Arial"/>
                <w:sz w:val="15"/>
                <w:szCs w:val="15"/>
                <w:color w:val="auto"/>
              </w:rPr>
              <w:t>decisions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1820" w:type="dxa"/>
            <w:vAlign w:val="bottom"/>
            <w:shd w:val="clear" w:color="auto" w:fill="F2F2F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5140" w:space="118"/>
            <w:col w:w="2142" w:space="120"/>
            <w:col w:w="2359"/>
          </w:cols>
          <w:pgMar w:left="580" w:top="97" w:right="1440"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right="99"/>
        <w:spacing w:after="0" w:line="245" w:lineRule="auto"/>
        <w:rPr>
          <w:sz w:val="20"/>
          <w:szCs w:val="20"/>
          <w:color w:val="auto"/>
        </w:rPr>
      </w:pPr>
      <w:r>
        <w:rPr>
          <w:rFonts w:ascii="Arial" w:cs="Arial" w:eastAsia="Arial" w:hAnsi="Arial"/>
          <w:sz w:val="18"/>
          <w:szCs w:val="18"/>
          <w:color w:val="auto"/>
        </w:rPr>
        <w:t>Each committee assesses identified risks and informs the Board about the risks as needed. Management also regularly reports on each such risk to the relevant committee or the Board. Moreover, an overall review of risk is inherent in the Board’s consideration of our long-term strategies and in the transactions and other matters presented to the Board, including capital expenditures, acquisitions and divestitures, and financial matters. Additional review or reporting on risks is conducted as needed or as requested by the Board or one of its committees. The Board believes that its role in the oversight of the Company’s risks complements our current Board structure, as our structure allows our independent directors, through our four fully independent Board committees, to exercise effective oversight of the actions of management in identifying risks and implementing effective risk management policies and controls.</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Oversight of Cybersecurity Risks</w:t>
      </w:r>
    </w:p>
    <w:p>
      <w:pPr>
        <w:spacing w:after="0" w:line="152" w:lineRule="exact"/>
        <w:rPr>
          <w:sz w:val="20"/>
          <w:szCs w:val="20"/>
          <w:color w:val="auto"/>
        </w:rPr>
      </w:pPr>
    </w:p>
    <w:p>
      <w:pPr>
        <w:jc w:val="both"/>
        <w:ind w:left="920" w:right="179"/>
        <w:spacing w:after="0" w:line="245" w:lineRule="auto"/>
        <w:rPr>
          <w:sz w:val="20"/>
          <w:szCs w:val="20"/>
          <w:color w:val="auto"/>
        </w:rPr>
      </w:pPr>
      <w:r>
        <w:rPr>
          <w:rFonts w:ascii="Arial" w:cs="Arial" w:eastAsia="Arial" w:hAnsi="Arial"/>
          <w:sz w:val="18"/>
          <w:szCs w:val="18"/>
          <w:color w:val="auto"/>
        </w:rPr>
        <w:t>Our Board has delegated oversight of cybersecurity risk to the Audit Committee and the Audit Committee reports on its activities and findings to the full Board. Key cybersecurity topics are presented regularly to the Audit Committee. In addition, if any cybersecurity incident is determined under our incident response policy to pose a risk in excess of an identified threshold (as set forth in the policy), our Chief Legal Officer will promptly notify the Audit Committee regarding the incident. The notification to the Audit Committee will include management’s determination regarding whether or not the incident is material to us.</w:t>
      </w:r>
    </w:p>
    <w:p>
      <w:pPr>
        <w:spacing w:after="0" w:line="158" w:lineRule="exact"/>
        <w:rPr>
          <w:sz w:val="20"/>
          <w:szCs w:val="20"/>
          <w:color w:val="auto"/>
        </w:rPr>
      </w:pPr>
    </w:p>
    <w:p>
      <w:pPr>
        <w:ind w:left="920" w:right="1899"/>
        <w:spacing w:after="0" w:line="274" w:lineRule="auto"/>
        <w:rPr>
          <w:sz w:val="20"/>
          <w:szCs w:val="20"/>
          <w:color w:val="auto"/>
        </w:rPr>
      </w:pPr>
      <w:r>
        <w:rPr>
          <w:rFonts w:ascii="Arial" w:cs="Arial" w:eastAsia="Arial" w:hAnsi="Arial"/>
          <w:sz w:val="36"/>
          <w:szCs w:val="36"/>
          <w:b w:val="1"/>
          <w:bCs w:val="1"/>
          <w:color w:val="E7417A"/>
        </w:rPr>
        <w:t>Board Composition and Stockholders Agreement</w:t>
      </w:r>
    </w:p>
    <w:p>
      <w:pPr>
        <w:spacing w:after="0" w:line="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Board currently consists of eight directors, one of whom is employed by the Company</w:t>
      </w:r>
    </w:p>
    <w:p>
      <w:pPr>
        <w:spacing w:after="0" w:line="14" w:lineRule="exact"/>
        <w:rPr>
          <w:sz w:val="20"/>
          <w:szCs w:val="20"/>
          <w:color w:val="auto"/>
        </w:rPr>
      </w:pPr>
    </w:p>
    <w:p>
      <w:pPr>
        <w:jc w:val="both"/>
        <w:ind w:left="920" w:right="359"/>
        <w:spacing w:after="0" w:line="250" w:lineRule="auto"/>
        <w:rPr>
          <w:sz w:val="20"/>
          <w:szCs w:val="20"/>
          <w:color w:val="auto"/>
        </w:rPr>
      </w:pPr>
      <w:r>
        <w:rPr>
          <w:rFonts w:ascii="Arial" w:cs="Arial" w:eastAsia="Arial" w:hAnsi="Arial"/>
          <w:sz w:val="18"/>
          <w:szCs w:val="18"/>
          <w:color w:val="auto"/>
        </w:rPr>
        <w:t>(Mr. McClelland). As previously noted in this Proxy Statement, the Company is party to the Stockholders Agreement with the JPM Stockholders and Swarth. The Stockholders Agreement provides, among other things, that:</w:t>
      </w:r>
    </w:p>
    <w:p>
      <w:pPr>
        <w:spacing w:after="0" w:line="105" w:lineRule="exact"/>
        <w:rPr>
          <w:sz w:val="20"/>
          <w:szCs w:val="20"/>
          <w:color w:val="auto"/>
        </w:rPr>
      </w:pPr>
    </w:p>
    <w:p>
      <w:pPr>
        <w:ind w:left="1640" w:right="779" w:hanging="356"/>
        <w:spacing w:after="0" w:line="271" w:lineRule="auto"/>
        <w:tabs>
          <w:tab w:leader="none" w:pos="1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Board, including a majority of the independent directors as defined in the Stockholders Agreement, may approve a different number of directors that comprise the Board;</w:t>
      </w:r>
    </w:p>
    <w:p>
      <w:pPr>
        <w:spacing w:after="0" w:line="86" w:lineRule="exact"/>
        <w:rPr>
          <w:rFonts w:ascii="Arial" w:cs="Arial" w:eastAsia="Arial" w:hAnsi="Arial"/>
          <w:sz w:val="18"/>
          <w:szCs w:val="18"/>
          <w:color w:val="auto"/>
        </w:rPr>
      </w:pPr>
    </w:p>
    <w:p>
      <w:pPr>
        <w:ind w:left="1640" w:hanging="356"/>
        <w:spacing w:after="0"/>
        <w:tabs>
          <w:tab w:leader="none" w:pos="1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 respect to the JPM Stockholders:</w:t>
      </w:r>
    </w:p>
    <w:p>
      <w:pPr>
        <w:spacing w:after="0" w:line="144" w:lineRule="exact"/>
        <w:rPr>
          <w:rFonts w:ascii="Arial" w:cs="Arial" w:eastAsia="Arial" w:hAnsi="Arial"/>
          <w:sz w:val="18"/>
          <w:szCs w:val="18"/>
          <w:color w:val="auto"/>
        </w:rPr>
      </w:pPr>
    </w:p>
    <w:p>
      <w:pPr>
        <w:ind w:left="2000" w:right="159" w:hanging="356"/>
        <w:spacing w:after="0" w:line="252" w:lineRule="auto"/>
        <w:tabs>
          <w:tab w:leader="none" w:pos="2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for so long as the JPM Stockholders beneficially own at least 43% of the Company’s common stock beneficially owned by the JPM Stockholders in the aggregate on March 3, 2020, the JPM Stockholders have the right to designate three directors to serve on the Board, at least two of whom must be independent directors as defined in the Stockholders Agreement;</w:t>
      </w:r>
    </w:p>
    <w:p>
      <w:pPr>
        <w:spacing w:after="0" w:line="102" w:lineRule="exact"/>
        <w:rPr>
          <w:rFonts w:ascii="Arial" w:cs="Arial" w:eastAsia="Arial" w:hAnsi="Arial"/>
          <w:sz w:val="18"/>
          <w:szCs w:val="18"/>
          <w:color w:val="auto"/>
        </w:rPr>
      </w:pPr>
    </w:p>
    <w:p>
      <w:pPr>
        <w:ind w:left="2000" w:right="179" w:hanging="356"/>
        <w:spacing w:after="0" w:line="247" w:lineRule="auto"/>
        <w:tabs>
          <w:tab w:leader="none" w:pos="2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from and after the first time that the JPM Stockholders beneficially own less than 43% and at least 29% of the Company’s common stock beneficially owned by the JPM Stockholders in the aggregate on March 3, 2020, the number of directors that the JPM Stockholders have the right to designate will be reduced to two, at least one of whom must be an independent director as defined in the Stockholders Agreement;</w:t>
      </w:r>
    </w:p>
    <w:p>
      <w:pPr>
        <w:spacing w:after="0" w:line="109" w:lineRule="exact"/>
        <w:rPr>
          <w:rFonts w:ascii="Arial" w:cs="Arial" w:eastAsia="Arial" w:hAnsi="Arial"/>
          <w:sz w:val="18"/>
          <w:szCs w:val="18"/>
          <w:color w:val="auto"/>
        </w:rPr>
      </w:pPr>
    </w:p>
    <w:p>
      <w:pPr>
        <w:ind w:left="2000" w:right="179" w:hanging="356"/>
        <w:spacing w:after="0" w:line="251" w:lineRule="auto"/>
        <w:tabs>
          <w:tab w:leader="none" w:pos="2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from and after the first time that the JPM Stockholders beneficially own less than 29% and at least 14% of the Company’s common stock beneficially owned by the JPM Stockholders in the aggregate on March 3, 2020, the number of directors that the JPM Stockholders have the right to designate will be reduced to one, who need not qualify as an independent director as defined in the Stockholders Agreement; and</w:t>
      </w:r>
    </w:p>
    <w:p>
      <w:pPr>
        <w:spacing w:after="0" w:line="105" w:lineRule="exact"/>
        <w:rPr>
          <w:rFonts w:ascii="Arial" w:cs="Arial" w:eastAsia="Arial" w:hAnsi="Arial"/>
          <w:sz w:val="18"/>
          <w:szCs w:val="18"/>
          <w:color w:val="auto"/>
        </w:rPr>
      </w:pPr>
    </w:p>
    <w:p>
      <w:pPr>
        <w:ind w:left="2000" w:right="279" w:hanging="356"/>
        <w:spacing w:after="0" w:line="252" w:lineRule="auto"/>
        <w:tabs>
          <w:tab w:leader="none" w:pos="2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from and after the first time that the JPM Stockholders beneficially own less than 14% of the shares of the Company’s common stock beneficial owned by the JPM Stockholders in the aggregate on March 3, 2020, the JPM Stockholders will have no right to designate any members of the Board; and</w:t>
      </w:r>
    </w:p>
    <w:p>
      <w:pPr>
        <w:spacing w:after="0" w:line="102" w:lineRule="exact"/>
        <w:rPr>
          <w:rFonts w:ascii="Arial" w:cs="Arial" w:eastAsia="Arial" w:hAnsi="Arial"/>
          <w:sz w:val="18"/>
          <w:szCs w:val="18"/>
          <w:color w:val="auto"/>
        </w:rPr>
      </w:pPr>
    </w:p>
    <w:p>
      <w:pPr>
        <w:ind w:left="1640" w:hanging="356"/>
        <w:spacing w:after="0"/>
        <w:tabs>
          <w:tab w:leader="none" w:pos="1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 respect to Swarth:</w:t>
      </w:r>
    </w:p>
    <w:p>
      <w:pPr>
        <w:spacing w:after="0" w:line="144" w:lineRule="exact"/>
        <w:rPr>
          <w:rFonts w:ascii="Arial" w:cs="Arial" w:eastAsia="Arial" w:hAnsi="Arial"/>
          <w:sz w:val="18"/>
          <w:szCs w:val="18"/>
          <w:color w:val="auto"/>
        </w:rPr>
      </w:pPr>
    </w:p>
    <w:p>
      <w:pPr>
        <w:ind w:left="2000" w:hanging="356"/>
        <w:spacing w:after="0"/>
        <w:tabs>
          <w:tab w:leader="none" w:pos="2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for so long as Swarth beneficially owns at least 88% of the shares of the Company’s</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16</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2000" w:right="259"/>
        <w:spacing w:after="0" w:line="261" w:lineRule="auto"/>
        <w:rPr>
          <w:sz w:val="20"/>
          <w:szCs w:val="20"/>
          <w:color w:val="auto"/>
        </w:rPr>
      </w:pPr>
      <w:r>
        <w:rPr>
          <w:rFonts w:ascii="Arial" w:cs="Arial" w:eastAsia="Arial" w:hAnsi="Arial"/>
          <w:sz w:val="18"/>
          <w:szCs w:val="18"/>
          <w:color w:val="auto"/>
        </w:rPr>
        <w:t>common stock beneficially owned by Swarth in the aggregate on March 3, 2020, Swarth has the right to designate three directors to serve on the Board, of which at least two must be independent directors as defined in the Stockholders Agreement;</w:t>
      </w:r>
    </w:p>
    <w:p>
      <w:pPr>
        <w:spacing w:after="0" w:line="94" w:lineRule="exact"/>
        <w:rPr>
          <w:sz w:val="20"/>
          <w:szCs w:val="20"/>
          <w:color w:val="auto"/>
        </w:rPr>
      </w:pPr>
    </w:p>
    <w:p>
      <w:pPr>
        <w:ind w:left="2000" w:right="119" w:hanging="356"/>
        <w:spacing w:after="0" w:line="247" w:lineRule="auto"/>
        <w:tabs>
          <w:tab w:leader="none" w:pos="2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from and after the first time that Swarth beneficially owns less than 88% and at least 58% of the shares of the Company’s common stock beneficially owned by Swarth in the aggregate on March 3, 2020, the number of directors that Swarth has the right to nominate will be reduced to two Board members, of which at least one must be an independent director as defined in the Stockholders Agreement;</w:t>
      </w:r>
    </w:p>
    <w:p>
      <w:pPr>
        <w:spacing w:after="0" w:line="109" w:lineRule="exact"/>
        <w:rPr>
          <w:rFonts w:ascii="Arial" w:cs="Arial" w:eastAsia="Arial" w:hAnsi="Arial"/>
          <w:sz w:val="18"/>
          <w:szCs w:val="18"/>
          <w:color w:val="auto"/>
        </w:rPr>
      </w:pPr>
    </w:p>
    <w:p>
      <w:pPr>
        <w:ind w:left="2000" w:right="119" w:hanging="356"/>
        <w:spacing w:after="0" w:line="247" w:lineRule="auto"/>
        <w:tabs>
          <w:tab w:leader="none" w:pos="2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from and after the first time that Swarth beneficially owns less than 58% and at least 29% of the shares of the Company’s common stock beneficially owned by Swarth in the aggregate on March 3, 2020, the number of directors that Swarth has the right to nominate will be reduced to one Board member, who needs not qualify as an independent director as defined in the Stockholders Agreement; and</w:t>
      </w:r>
    </w:p>
    <w:p>
      <w:pPr>
        <w:spacing w:after="0" w:line="109" w:lineRule="exact"/>
        <w:rPr>
          <w:rFonts w:ascii="Arial" w:cs="Arial" w:eastAsia="Arial" w:hAnsi="Arial"/>
          <w:sz w:val="18"/>
          <w:szCs w:val="18"/>
          <w:color w:val="auto"/>
        </w:rPr>
      </w:pPr>
    </w:p>
    <w:p>
      <w:pPr>
        <w:ind w:left="2000" w:right="279" w:hanging="356"/>
        <w:spacing w:after="0" w:line="261" w:lineRule="auto"/>
        <w:tabs>
          <w:tab w:leader="none" w:pos="2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from and after the first time that Swarth beneficially owns less than 29% of the shares of Company’s common stock beneficially owned by Swarth in the aggregate on March 3, 2020, Swarth will have no right to nominate any members of the Board.</w:t>
      </w:r>
    </w:p>
    <w:p>
      <w:pPr>
        <w:spacing w:after="0" w:line="94" w:lineRule="exact"/>
        <w:rPr>
          <w:sz w:val="20"/>
          <w:szCs w:val="20"/>
          <w:color w:val="auto"/>
        </w:rPr>
      </w:pPr>
    </w:p>
    <w:p>
      <w:pPr>
        <w:ind w:left="920" w:right="259"/>
        <w:spacing w:after="0" w:line="261" w:lineRule="auto"/>
        <w:rPr>
          <w:sz w:val="20"/>
          <w:szCs w:val="20"/>
          <w:color w:val="auto"/>
        </w:rPr>
      </w:pPr>
      <w:r>
        <w:rPr>
          <w:rFonts w:ascii="Arial" w:cs="Arial" w:eastAsia="Arial" w:hAnsi="Arial"/>
          <w:sz w:val="18"/>
          <w:szCs w:val="18"/>
          <w:color w:val="auto"/>
        </w:rPr>
        <w:t>The Stockholders Agreement further provides that the Nominating and Corporate Governance Committee will designate the Company’s then-serving CEO as a director, as well as such additional number of directors as constitutes the full Board so that the Board has no vacancies.</w:t>
      </w:r>
    </w:p>
    <w:p>
      <w:pPr>
        <w:spacing w:after="0" w:line="94" w:lineRule="exact"/>
        <w:rPr>
          <w:sz w:val="20"/>
          <w:szCs w:val="20"/>
          <w:color w:val="auto"/>
        </w:rPr>
      </w:pPr>
    </w:p>
    <w:p>
      <w:pPr>
        <w:ind w:left="920" w:right="279"/>
        <w:spacing w:after="0" w:line="247" w:lineRule="auto"/>
        <w:rPr>
          <w:sz w:val="20"/>
          <w:szCs w:val="20"/>
          <w:color w:val="auto"/>
        </w:rPr>
      </w:pPr>
      <w:r>
        <w:rPr>
          <w:rFonts w:ascii="Arial" w:cs="Arial" w:eastAsia="Arial" w:hAnsi="Arial"/>
          <w:sz w:val="18"/>
          <w:szCs w:val="18"/>
          <w:color w:val="auto"/>
        </w:rPr>
        <w:t>The size of the Board is currently set at eight members and Swarth has temporarily waived its right to designate a third director. If Swarth decides to designate a third director after the 2025 Annual Meeting, it is expected that the Board will take further action to increase the size of the Board to nine members with the additional director position being filled by the third Swarth designee.</w:t>
      </w:r>
    </w:p>
    <w:p>
      <w:pPr>
        <w:spacing w:after="0" w:line="106" w:lineRule="exact"/>
        <w:rPr>
          <w:sz w:val="20"/>
          <w:szCs w:val="20"/>
          <w:color w:val="auto"/>
        </w:rPr>
      </w:pPr>
    </w:p>
    <w:p>
      <w:pPr>
        <w:ind w:left="920" w:right="359"/>
        <w:spacing w:after="0" w:line="261" w:lineRule="auto"/>
        <w:rPr>
          <w:sz w:val="20"/>
          <w:szCs w:val="20"/>
          <w:color w:val="auto"/>
        </w:rPr>
      </w:pPr>
      <w:r>
        <w:rPr>
          <w:rFonts w:ascii="Arial" w:cs="Arial" w:eastAsia="Arial" w:hAnsi="Arial"/>
          <w:sz w:val="18"/>
          <w:szCs w:val="18"/>
          <w:color w:val="auto"/>
        </w:rPr>
        <w:t>In the event any director designated by the JPM Stockholders or Swarth is unable to serve, the JPM Stockholders are and/or Swarth is, as applicable, entitled to designate a replacement director, subject to the conditions set forth in the Stockholders Agreement.</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Director Experience and Tenure</w:t>
      </w:r>
    </w:p>
    <w:p>
      <w:pPr>
        <w:spacing w:after="0" w:line="158" w:lineRule="exact"/>
        <w:rPr>
          <w:sz w:val="20"/>
          <w:szCs w:val="20"/>
          <w:color w:val="auto"/>
        </w:rPr>
      </w:pPr>
    </w:p>
    <w:p>
      <w:pPr>
        <w:ind w:left="920" w:right="179"/>
        <w:spacing w:after="0" w:line="252" w:lineRule="auto"/>
        <w:rPr>
          <w:sz w:val="20"/>
          <w:szCs w:val="20"/>
          <w:color w:val="auto"/>
        </w:rPr>
      </w:pPr>
      <w:r>
        <w:rPr>
          <w:rFonts w:ascii="Arial" w:cs="Arial" w:eastAsia="Arial" w:hAnsi="Arial"/>
          <w:sz w:val="18"/>
          <w:szCs w:val="18"/>
          <w:color w:val="auto"/>
        </w:rPr>
        <w:t>Our directors collectively possess a broad mix of skills, qualifications and proven leadership abilities. The Nominating, Sustainability and Corporate Governance Committee practices a long-term approach to board refreshment. The Nominating, Sustainability and Corporate Governance Committee regularly identifies individuals who would complement and enhance the current directors’ skills and experience.</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It is of great importance to the Company that the Nominating, Sustainability and Corporate</w:t>
      </w:r>
    </w:p>
    <w:p>
      <w:pPr>
        <w:spacing w:after="0" w:line="27" w:lineRule="exact"/>
        <w:rPr>
          <w:sz w:val="20"/>
          <w:szCs w:val="20"/>
          <w:color w:val="auto"/>
        </w:rPr>
      </w:pPr>
    </w:p>
    <w:p>
      <w:pPr>
        <w:ind w:left="920" w:right="119"/>
        <w:spacing w:after="0"/>
        <w:rPr>
          <w:sz w:val="20"/>
          <w:szCs w:val="20"/>
          <w:color w:val="auto"/>
        </w:rPr>
      </w:pPr>
      <w:r>
        <w:rPr>
          <w:rFonts w:ascii="Arial" w:cs="Arial" w:eastAsia="Arial" w:hAnsi="Arial"/>
          <w:sz w:val="18"/>
          <w:szCs w:val="18"/>
          <w:b w:val="1"/>
          <w:bCs w:val="1"/>
          <w:color w:val="auto"/>
        </w:rPr>
        <w:t>Governance Committee recruit directors who help achieve the goal of an experienced, diverse Board that functions effectively as a group</w:t>
      </w:r>
      <w:r>
        <w:rPr>
          <w:rFonts w:ascii="Arial" w:cs="Arial" w:eastAsia="Arial" w:hAnsi="Arial"/>
          <w:sz w:val="18"/>
          <w:szCs w:val="18"/>
          <w:color w:val="auto"/>
        </w:rPr>
        <w:t>. The Nominating, Sustainability and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Committee expects each of the Company’s directors to have proven leadership skills, sound judgment, integrity, and a commitment to the success of the Company. In evaluating director candidates and considering incumbent directors for nomination to the Board, the Nominating, Sustainability and Corporate Governance Committee considers a variety of factors, including independence, financial literacy, personal and professional accomplishments, and experience in light of the needs of the Company. For incumbent directors, the factors also include attendance, past performance on the Board and contributions to the Board and its respective committees.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1" w:lineRule="exact"/>
        <w:rPr>
          <w:sz w:val="20"/>
          <w:szCs w:val="20"/>
          <w:color w:val="auto"/>
        </w:rPr>
      </w:pPr>
    </w:p>
    <w:p>
      <w:pPr>
        <w:ind w:left="4400"/>
        <w:spacing w:after="0"/>
        <w:rPr>
          <w:sz w:val="20"/>
          <w:szCs w:val="20"/>
          <w:color w:val="auto"/>
        </w:rPr>
      </w:pPr>
      <w:r>
        <w:rPr>
          <w:rFonts w:ascii="Arial" w:cs="Arial" w:eastAsia="Arial" w:hAnsi="Arial"/>
          <w:sz w:val="20"/>
          <w:szCs w:val="20"/>
          <w:color w:val="E7417A"/>
        </w:rPr>
        <w:t>BOARD EXPERTISE</w:t>
      </w: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675"/>
        </w:trPr>
        <w:tc>
          <w:tcPr>
            <w:tcW w:w="80" w:type="dxa"/>
            <w:vAlign w:val="bottom"/>
          </w:tcPr>
          <w:p>
            <w:pPr>
              <w:spacing w:after="0"/>
              <w:rPr>
                <w:sz w:val="20"/>
                <w:szCs w:val="20"/>
                <w:color w:val="auto"/>
              </w:rPr>
            </w:pPr>
            <w:r>
              <w:rPr>
                <w:rFonts w:ascii="Arial" w:cs="Arial" w:eastAsia="Arial" w:hAnsi="Arial"/>
                <w:sz w:val="14"/>
                <w:szCs w:val="14"/>
                <w:b w:val="1"/>
                <w:bCs w:val="1"/>
                <w:color w:val="FEFEFE"/>
              </w:rPr>
              <w:t>​</w:t>
            </w:r>
          </w:p>
        </w:tc>
        <w:tc>
          <w:tcPr>
            <w:tcW w:w="1120" w:type="dxa"/>
            <w:vAlign w:val="bottom"/>
          </w:tcPr>
          <w:p>
            <w:pPr>
              <w:ind w:left="440"/>
              <w:spacing w:after="0"/>
              <w:rPr>
                <w:sz w:val="20"/>
                <w:szCs w:val="20"/>
                <w:color w:val="auto"/>
              </w:rPr>
            </w:pPr>
            <w:r>
              <w:rPr>
                <w:rFonts w:ascii="Arial" w:cs="Arial" w:eastAsia="Arial" w:hAnsi="Arial"/>
                <w:sz w:val="14"/>
                <w:szCs w:val="14"/>
                <w:b w:val="1"/>
                <w:bCs w:val="1"/>
                <w:color w:val="FEFEFE"/>
              </w:rPr>
              <w:t>​</w:t>
            </w:r>
          </w:p>
        </w:tc>
        <w:tc>
          <w:tcPr>
            <w:tcW w:w="600" w:type="dxa"/>
            <w:vAlign w:val="bottom"/>
          </w:tcPr>
          <w:p>
            <w:pPr>
              <w:ind w:left="20"/>
              <w:spacing w:after="0"/>
              <w:rPr>
                <w:sz w:val="20"/>
                <w:szCs w:val="20"/>
                <w:color w:val="auto"/>
              </w:rPr>
            </w:pPr>
            <w:r>
              <w:rPr>
                <w:rFonts w:ascii="Arial" w:cs="Arial" w:eastAsia="Arial" w:hAnsi="Arial"/>
                <w:sz w:val="14"/>
                <w:szCs w:val="14"/>
                <w:b w:val="1"/>
                <w:bCs w:val="1"/>
                <w:color w:val="FEFEFE"/>
              </w:rPr>
              <w:t>​</w:t>
            </w:r>
          </w:p>
        </w:tc>
        <w:tc>
          <w:tcPr>
            <w:tcW w:w="220" w:type="dxa"/>
            <w:vAlign w:val="bottom"/>
            <w:gridSpan w:val="2"/>
          </w:tcPr>
          <w:p>
            <w:pPr>
              <w:ind w:left="160"/>
              <w:spacing w:after="0"/>
              <w:rPr>
                <w:sz w:val="20"/>
                <w:szCs w:val="20"/>
                <w:color w:val="auto"/>
              </w:rPr>
            </w:pPr>
            <w:r>
              <w:rPr>
                <w:rFonts w:ascii="Arial" w:cs="Arial" w:eastAsia="Arial" w:hAnsi="Arial"/>
                <w:sz w:val="14"/>
                <w:szCs w:val="14"/>
                <w:b w:val="1"/>
                <w:bCs w:val="1"/>
                <w:color w:val="FEFEFE"/>
              </w:rPr>
              <w:t>​</w:t>
            </w:r>
          </w:p>
        </w:tc>
        <w:tc>
          <w:tcPr>
            <w:tcW w:w="200" w:type="dxa"/>
            <w:vAlign w:val="bottom"/>
            <w:shd w:val="clear" w:color="auto" w:fill="F2F2F2"/>
          </w:tcPr>
          <w:p>
            <w:pPr>
              <w:ind w:left="20"/>
              <w:spacing w:after="0"/>
              <w:rPr>
                <w:sz w:val="20"/>
                <w:szCs w:val="20"/>
                <w:color w:val="auto"/>
              </w:rPr>
            </w:pPr>
            <w:r>
              <w:rPr>
                <w:rFonts w:ascii="Arial" w:cs="Arial" w:eastAsia="Arial" w:hAnsi="Arial"/>
                <w:sz w:val="14"/>
                <w:szCs w:val="14"/>
                <w:b w:val="1"/>
                <w:bCs w:val="1"/>
                <w:color w:val="FEFEFE"/>
              </w:rPr>
              <w:t>​</w:t>
            </w:r>
          </w:p>
        </w:tc>
        <w:tc>
          <w:tcPr>
            <w:tcW w:w="420" w:type="dxa"/>
            <w:vAlign w:val="bottom"/>
            <w:shd w:val="clear" w:color="auto" w:fill="F2F2F2"/>
          </w:tcPr>
          <w:p>
            <w:pPr>
              <w:spacing w:after="0"/>
              <w:rPr>
                <w:sz w:val="24"/>
                <w:szCs w:val="24"/>
                <w:color w:val="auto"/>
              </w:rPr>
            </w:pPr>
          </w:p>
        </w:tc>
        <w:tc>
          <w:tcPr>
            <w:tcW w:w="340" w:type="dxa"/>
            <w:vAlign w:val="bottom"/>
            <w:gridSpan w:val="3"/>
            <w:shd w:val="clear" w:color="auto" w:fill="F2F2F2"/>
          </w:tcPr>
          <w:p>
            <w:pPr>
              <w:ind w:left="40"/>
              <w:spacing w:after="0"/>
              <w:rPr>
                <w:sz w:val="20"/>
                <w:szCs w:val="20"/>
                <w:color w:val="auto"/>
              </w:rPr>
            </w:pPr>
            <w:r>
              <w:rPr>
                <w:rFonts w:ascii="Arial" w:cs="Arial" w:eastAsia="Arial" w:hAnsi="Arial"/>
                <w:sz w:val="14"/>
                <w:szCs w:val="14"/>
                <w:b w:val="1"/>
                <w:bCs w:val="1"/>
                <w:color w:val="FEFEFE"/>
              </w:rPr>
              <w:t>​ ​</w:t>
            </w:r>
          </w:p>
        </w:tc>
        <w:tc>
          <w:tcPr>
            <w:tcW w:w="340" w:type="dxa"/>
            <w:vAlign w:val="bottom"/>
            <w:shd w:val="clear" w:color="auto" w:fill="F2F2F2"/>
          </w:tcPr>
          <w:p>
            <w:pPr>
              <w:spacing w:after="0"/>
              <w:rPr>
                <w:sz w:val="24"/>
                <w:szCs w:val="24"/>
                <w:color w:val="auto"/>
              </w:rPr>
            </w:pPr>
          </w:p>
        </w:tc>
        <w:tc>
          <w:tcPr>
            <w:tcW w:w="240" w:type="dxa"/>
            <w:vAlign w:val="bottom"/>
            <w:gridSpan w:val="2"/>
            <w:shd w:val="clear" w:color="auto" w:fill="F2F2F2"/>
          </w:tcPr>
          <w:p>
            <w:pPr>
              <w:ind w:left="160"/>
              <w:spacing w:after="0"/>
              <w:rPr>
                <w:sz w:val="20"/>
                <w:szCs w:val="20"/>
                <w:color w:val="auto"/>
              </w:rPr>
            </w:pPr>
            <w:r>
              <w:rPr>
                <w:rFonts w:ascii="Arial" w:cs="Arial" w:eastAsia="Arial" w:hAnsi="Arial"/>
                <w:sz w:val="14"/>
                <w:szCs w:val="14"/>
                <w:b w:val="1"/>
                <w:bCs w:val="1"/>
                <w:color w:val="FEFEFE"/>
              </w:rPr>
              <w:t>​</w:t>
            </w:r>
          </w:p>
        </w:tc>
        <w:tc>
          <w:tcPr>
            <w:tcW w:w="380" w:type="dxa"/>
            <w:vAlign w:val="bottom"/>
            <w:shd w:val="clear" w:color="auto" w:fill="F2F2F2"/>
          </w:tcPr>
          <w:p>
            <w:pPr>
              <w:ind w:left="40"/>
              <w:spacing w:after="0"/>
              <w:rPr>
                <w:sz w:val="20"/>
                <w:szCs w:val="20"/>
                <w:color w:val="auto"/>
              </w:rPr>
            </w:pPr>
            <w:r>
              <w:rPr>
                <w:rFonts w:ascii="Arial" w:cs="Arial" w:eastAsia="Arial" w:hAnsi="Arial"/>
                <w:sz w:val="14"/>
                <w:szCs w:val="14"/>
                <w:b w:val="1"/>
                <w:bCs w:val="1"/>
                <w:color w:val="FEFEFE"/>
              </w:rPr>
              <w:t>​</w:t>
            </w:r>
          </w:p>
        </w:tc>
        <w:tc>
          <w:tcPr>
            <w:tcW w:w="520" w:type="dxa"/>
            <w:vAlign w:val="bottom"/>
            <w:gridSpan w:val="3"/>
            <w:shd w:val="clear" w:color="auto" w:fill="F2F2F2"/>
          </w:tcPr>
          <w:p>
            <w:pPr>
              <w:jc w:val="right"/>
              <w:spacing w:after="0"/>
              <w:rPr>
                <w:sz w:val="20"/>
                <w:szCs w:val="20"/>
                <w:color w:val="auto"/>
              </w:rPr>
            </w:pPr>
            <w:r>
              <w:rPr>
                <w:rFonts w:ascii="Arial" w:cs="Arial" w:eastAsia="Arial" w:hAnsi="Arial"/>
                <w:sz w:val="14"/>
                <w:szCs w:val="14"/>
                <w:b w:val="1"/>
                <w:bCs w:val="1"/>
                <w:color w:val="FEFEFE"/>
              </w:rPr>
              <w:t>​ ​</w:t>
            </w:r>
          </w:p>
        </w:tc>
        <w:tc>
          <w:tcPr>
            <w:tcW w:w="460" w:type="dxa"/>
            <w:vAlign w:val="bottom"/>
            <w:shd w:val="clear" w:color="auto" w:fill="F2F2F2"/>
          </w:tcPr>
          <w:p>
            <w:pPr>
              <w:spacing w:after="0"/>
              <w:rPr>
                <w:sz w:val="24"/>
                <w:szCs w:val="24"/>
                <w:color w:val="auto"/>
              </w:rPr>
            </w:pPr>
          </w:p>
        </w:tc>
        <w:tc>
          <w:tcPr>
            <w:tcW w:w="460" w:type="dxa"/>
            <w:vAlign w:val="bottom"/>
            <w:gridSpan w:val="3"/>
            <w:shd w:val="clear" w:color="auto" w:fill="F2F2F2"/>
          </w:tcPr>
          <w:p>
            <w:pPr>
              <w:ind w:left="100"/>
              <w:spacing w:after="0"/>
              <w:rPr>
                <w:sz w:val="20"/>
                <w:szCs w:val="20"/>
                <w:color w:val="auto"/>
              </w:rPr>
            </w:pPr>
            <w:r>
              <w:rPr>
                <w:rFonts w:ascii="Arial" w:cs="Arial" w:eastAsia="Arial" w:hAnsi="Arial"/>
                <w:sz w:val="14"/>
                <w:szCs w:val="14"/>
                <w:b w:val="1"/>
                <w:bCs w:val="1"/>
                <w:color w:val="FEFEFE"/>
              </w:rPr>
              <w:t>​ ​</w:t>
            </w:r>
          </w:p>
        </w:tc>
        <w:tc>
          <w:tcPr>
            <w:tcW w:w="440" w:type="dxa"/>
            <w:vAlign w:val="bottom"/>
            <w:shd w:val="clear" w:color="auto" w:fill="F2F2F2"/>
          </w:tcPr>
          <w:p>
            <w:pPr>
              <w:spacing w:after="0"/>
              <w:rPr>
                <w:sz w:val="24"/>
                <w:szCs w:val="24"/>
                <w:color w:val="auto"/>
              </w:rPr>
            </w:pPr>
          </w:p>
        </w:tc>
        <w:tc>
          <w:tcPr>
            <w:tcW w:w="280" w:type="dxa"/>
            <w:vAlign w:val="bottom"/>
            <w:gridSpan w:val="2"/>
            <w:shd w:val="clear" w:color="auto" w:fill="F2F2F2"/>
          </w:tcPr>
          <w:p>
            <w:pPr>
              <w:ind w:left="220"/>
              <w:spacing w:after="0"/>
              <w:rPr>
                <w:sz w:val="20"/>
                <w:szCs w:val="20"/>
                <w:color w:val="auto"/>
              </w:rPr>
            </w:pPr>
            <w:r>
              <w:rPr>
                <w:rFonts w:ascii="Arial" w:cs="Arial" w:eastAsia="Arial" w:hAnsi="Arial"/>
                <w:sz w:val="14"/>
                <w:szCs w:val="14"/>
                <w:b w:val="1"/>
                <w:bCs w:val="1"/>
                <w:color w:val="FEFEFE"/>
              </w:rPr>
              <w:t>​</w:t>
            </w:r>
          </w:p>
        </w:tc>
        <w:tc>
          <w:tcPr>
            <w:tcW w:w="240" w:type="dxa"/>
            <w:vAlign w:val="bottom"/>
            <w:shd w:val="clear" w:color="auto" w:fill="F2F2F2"/>
          </w:tcPr>
          <w:p>
            <w:pPr>
              <w:ind w:left="40"/>
              <w:spacing w:after="0"/>
              <w:rPr>
                <w:sz w:val="20"/>
                <w:szCs w:val="20"/>
                <w:color w:val="auto"/>
              </w:rPr>
            </w:pPr>
            <w:r>
              <w:rPr>
                <w:rFonts w:ascii="Arial" w:cs="Arial" w:eastAsia="Arial" w:hAnsi="Arial"/>
                <w:sz w:val="14"/>
                <w:szCs w:val="14"/>
                <w:b w:val="1"/>
                <w:bCs w:val="1"/>
                <w:color w:val="FEFEFE"/>
              </w:rPr>
              <w:t>​</w:t>
            </w:r>
          </w:p>
        </w:tc>
        <w:tc>
          <w:tcPr>
            <w:tcW w:w="400" w:type="dxa"/>
            <w:vAlign w:val="bottom"/>
            <w:shd w:val="clear" w:color="auto" w:fill="F2F2F2"/>
          </w:tcPr>
          <w:p>
            <w:pPr>
              <w:spacing w:after="0"/>
              <w:rPr>
                <w:sz w:val="24"/>
                <w:szCs w:val="24"/>
                <w:color w:val="auto"/>
              </w:rPr>
            </w:pPr>
          </w:p>
        </w:tc>
        <w:tc>
          <w:tcPr>
            <w:tcW w:w="360" w:type="dxa"/>
            <w:vAlign w:val="bottom"/>
            <w:gridSpan w:val="3"/>
            <w:shd w:val="clear" w:color="auto" w:fill="F2F2F2"/>
          </w:tcPr>
          <w:p>
            <w:pPr>
              <w:ind w:left="60"/>
              <w:spacing w:after="0"/>
              <w:rPr>
                <w:sz w:val="20"/>
                <w:szCs w:val="20"/>
                <w:color w:val="auto"/>
              </w:rPr>
            </w:pPr>
            <w:r>
              <w:rPr>
                <w:rFonts w:ascii="Arial" w:cs="Arial" w:eastAsia="Arial" w:hAnsi="Arial"/>
                <w:sz w:val="14"/>
                <w:szCs w:val="14"/>
                <w:b w:val="1"/>
                <w:bCs w:val="1"/>
                <w:color w:val="FEFEFE"/>
              </w:rPr>
              <w:t>​ ​</w:t>
            </w:r>
          </w:p>
        </w:tc>
        <w:tc>
          <w:tcPr>
            <w:tcW w:w="420" w:type="dxa"/>
            <w:vAlign w:val="bottom"/>
            <w:shd w:val="clear" w:color="auto" w:fill="F2F2F2"/>
          </w:tcPr>
          <w:p>
            <w:pPr>
              <w:spacing w:after="0"/>
              <w:rPr>
                <w:sz w:val="24"/>
                <w:szCs w:val="24"/>
                <w:color w:val="auto"/>
              </w:rPr>
            </w:pPr>
          </w:p>
        </w:tc>
        <w:tc>
          <w:tcPr>
            <w:tcW w:w="360" w:type="dxa"/>
            <w:vAlign w:val="bottom"/>
            <w:gridSpan w:val="3"/>
            <w:shd w:val="clear" w:color="auto" w:fill="F2F2F2"/>
          </w:tcPr>
          <w:p>
            <w:pPr>
              <w:ind w:left="60"/>
              <w:spacing w:after="0"/>
              <w:rPr>
                <w:sz w:val="20"/>
                <w:szCs w:val="20"/>
                <w:color w:val="auto"/>
              </w:rPr>
            </w:pPr>
            <w:r>
              <w:rPr>
                <w:rFonts w:ascii="Arial" w:cs="Arial" w:eastAsia="Arial" w:hAnsi="Arial"/>
                <w:sz w:val="14"/>
                <w:szCs w:val="14"/>
                <w:b w:val="1"/>
                <w:bCs w:val="1"/>
                <w:color w:val="FEFEFE"/>
              </w:rPr>
              <w:t>​ ​</w:t>
            </w:r>
          </w:p>
        </w:tc>
        <w:tc>
          <w:tcPr>
            <w:tcW w:w="360" w:type="dxa"/>
            <w:vAlign w:val="bottom"/>
            <w:shd w:val="clear" w:color="auto" w:fill="F2F2F2"/>
          </w:tcPr>
          <w:p>
            <w:pPr>
              <w:spacing w:after="0"/>
              <w:rPr>
                <w:sz w:val="24"/>
                <w:szCs w:val="24"/>
                <w:color w:val="auto"/>
              </w:rPr>
            </w:pPr>
          </w:p>
        </w:tc>
        <w:tc>
          <w:tcPr>
            <w:tcW w:w="220" w:type="dxa"/>
            <w:vAlign w:val="bottom"/>
            <w:tcBorders>
              <w:right w:val="single" w:sz="8" w:color="F2F2F2"/>
            </w:tcBorders>
            <w:shd w:val="clear" w:color="auto" w:fill="F2F2F2"/>
          </w:tcPr>
          <w:p>
            <w:pPr>
              <w:ind w:left="140"/>
              <w:spacing w:after="0"/>
              <w:rPr>
                <w:sz w:val="20"/>
                <w:szCs w:val="20"/>
                <w:color w:val="auto"/>
              </w:rPr>
            </w:pPr>
            <w:r>
              <w:rPr>
                <w:rFonts w:ascii="Arial" w:cs="Arial" w:eastAsia="Arial" w:hAnsi="Arial"/>
                <w:sz w:val="14"/>
                <w:szCs w:val="14"/>
                <w:b w:val="1"/>
                <w:bCs w:val="1"/>
                <w:color w:val="FEFEFE"/>
              </w:rPr>
              <w:t>​</w:t>
            </w:r>
          </w:p>
        </w:tc>
        <w:tc>
          <w:tcPr>
            <w:tcW w:w="300" w:type="dxa"/>
            <w:vAlign w:val="bottom"/>
            <w:gridSpan w:val="3"/>
          </w:tcPr>
          <w:p>
            <w:pPr>
              <w:jc w:val="right"/>
              <w:spacing w:after="0"/>
              <w:rPr>
                <w:sz w:val="20"/>
                <w:szCs w:val="20"/>
                <w:color w:val="auto"/>
              </w:rPr>
            </w:pPr>
            <w:r>
              <w:rPr>
                <w:rFonts w:ascii="Arial" w:cs="Arial" w:eastAsia="Arial" w:hAnsi="Arial"/>
                <w:sz w:val="14"/>
                <w:szCs w:val="14"/>
                <w:b w:val="1"/>
                <w:bCs w:val="1"/>
                <w:color w:val="FEFEFE"/>
              </w:rPr>
              <w:t>​  ​</w:t>
            </w:r>
          </w:p>
        </w:tc>
        <w:tc>
          <w:tcPr>
            <w:tcW w:w="100" w:type="dxa"/>
            <w:vAlign w:val="bottom"/>
          </w:tcPr>
          <w:p>
            <w:pPr>
              <w:ind w:left="60"/>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234"/>
        </w:trPr>
        <w:tc>
          <w:tcPr>
            <w:tcW w:w="80" w:type="dxa"/>
            <w:vAlign w:val="bottom"/>
            <w:shd w:val="clear" w:color="auto" w:fill="62259D"/>
          </w:tcPr>
          <w:p>
            <w:pPr>
              <w:spacing w:after="0"/>
              <w:rPr>
                <w:sz w:val="20"/>
                <w:szCs w:val="20"/>
                <w:color w:val="auto"/>
              </w:rPr>
            </w:pPr>
          </w:p>
        </w:tc>
        <w:tc>
          <w:tcPr>
            <w:tcW w:w="1120" w:type="dxa"/>
            <w:vAlign w:val="bottom"/>
            <w:shd w:val="clear" w:color="auto" w:fill="62259D"/>
          </w:tcPr>
          <w:p>
            <w:pPr>
              <w:ind w:left="40"/>
              <w:spacing w:after="0"/>
              <w:rPr>
                <w:sz w:val="20"/>
                <w:szCs w:val="20"/>
                <w:color w:val="auto"/>
              </w:rPr>
            </w:pPr>
            <w:r>
              <w:rPr>
                <w:rFonts w:ascii="Arial" w:cs="Arial" w:eastAsia="Arial" w:hAnsi="Arial"/>
                <w:sz w:val="14"/>
                <w:szCs w:val="14"/>
                <w:b w:val="1"/>
                <w:bCs w:val="1"/>
                <w:color w:val="FEFEFE"/>
              </w:rPr>
              <w:t>Director Skills</w:t>
            </w:r>
          </w:p>
        </w:tc>
        <w:tc>
          <w:tcPr>
            <w:tcW w:w="600" w:type="dxa"/>
            <w:vAlign w:val="bottom"/>
            <w:shd w:val="clear" w:color="auto" w:fill="62259D"/>
          </w:tcPr>
          <w:p>
            <w:pPr>
              <w:spacing w:after="0"/>
              <w:rPr>
                <w:sz w:val="20"/>
                <w:szCs w:val="20"/>
                <w:color w:val="auto"/>
              </w:rPr>
            </w:pPr>
          </w:p>
        </w:tc>
        <w:tc>
          <w:tcPr>
            <w:tcW w:w="180" w:type="dxa"/>
            <w:vAlign w:val="bottom"/>
            <w:shd w:val="clear" w:color="auto" w:fill="62259D"/>
          </w:tcPr>
          <w:p>
            <w:pPr>
              <w:spacing w:after="0"/>
              <w:rPr>
                <w:sz w:val="20"/>
                <w:szCs w:val="20"/>
                <w:color w:val="auto"/>
              </w:rPr>
            </w:pPr>
          </w:p>
        </w:tc>
        <w:tc>
          <w:tcPr>
            <w:tcW w:w="40" w:type="dxa"/>
            <w:vAlign w:val="bottom"/>
            <w:shd w:val="clear" w:color="auto" w:fill="FEFEFE"/>
          </w:tcPr>
          <w:p>
            <w:pPr>
              <w:spacing w:after="0"/>
              <w:rPr>
                <w:sz w:val="20"/>
                <w:szCs w:val="20"/>
                <w:color w:val="auto"/>
              </w:rPr>
            </w:pPr>
          </w:p>
        </w:tc>
        <w:tc>
          <w:tcPr>
            <w:tcW w:w="200" w:type="dxa"/>
            <w:vAlign w:val="bottom"/>
            <w:shd w:val="clear" w:color="auto" w:fill="62259D"/>
          </w:tcPr>
          <w:p>
            <w:pPr>
              <w:spacing w:after="0"/>
              <w:rPr>
                <w:sz w:val="20"/>
                <w:szCs w:val="20"/>
                <w:color w:val="auto"/>
              </w:rPr>
            </w:pPr>
          </w:p>
        </w:tc>
        <w:tc>
          <w:tcPr>
            <w:tcW w:w="420" w:type="dxa"/>
            <w:vAlign w:val="bottom"/>
            <w:shd w:val="clear" w:color="auto" w:fill="62259D"/>
          </w:tcPr>
          <w:p>
            <w:pPr>
              <w:spacing w:after="0"/>
              <w:rPr>
                <w:sz w:val="20"/>
                <w:szCs w:val="20"/>
                <w:color w:val="auto"/>
              </w:rPr>
            </w:pPr>
          </w:p>
        </w:tc>
        <w:tc>
          <w:tcPr>
            <w:tcW w:w="80" w:type="dxa"/>
            <w:vAlign w:val="bottom"/>
            <w:shd w:val="clear" w:color="auto" w:fill="62259D"/>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240" w:type="dxa"/>
            <w:vAlign w:val="bottom"/>
            <w:shd w:val="clear" w:color="auto" w:fill="62259D"/>
          </w:tcPr>
          <w:p>
            <w:pPr>
              <w:spacing w:after="0"/>
              <w:rPr>
                <w:sz w:val="20"/>
                <w:szCs w:val="20"/>
                <w:color w:val="auto"/>
              </w:rPr>
            </w:pPr>
          </w:p>
        </w:tc>
        <w:tc>
          <w:tcPr>
            <w:tcW w:w="340" w:type="dxa"/>
            <w:vAlign w:val="bottom"/>
            <w:shd w:val="clear" w:color="auto" w:fill="62259D"/>
          </w:tcPr>
          <w:p>
            <w:pPr>
              <w:spacing w:after="0"/>
              <w:rPr>
                <w:sz w:val="20"/>
                <w:szCs w:val="20"/>
                <w:color w:val="auto"/>
              </w:rPr>
            </w:pPr>
          </w:p>
        </w:tc>
        <w:tc>
          <w:tcPr>
            <w:tcW w:w="200" w:type="dxa"/>
            <w:vAlign w:val="bottom"/>
            <w:shd w:val="clear" w:color="auto" w:fill="62259D"/>
          </w:tcPr>
          <w:p>
            <w:pPr>
              <w:spacing w:after="0"/>
              <w:rPr>
                <w:sz w:val="20"/>
                <w:szCs w:val="20"/>
                <w:color w:val="auto"/>
              </w:rPr>
            </w:pPr>
          </w:p>
        </w:tc>
        <w:tc>
          <w:tcPr>
            <w:tcW w:w="40" w:type="dxa"/>
            <w:vAlign w:val="bottom"/>
            <w:shd w:val="clear" w:color="auto" w:fill="FEFEFE"/>
          </w:tcPr>
          <w:p>
            <w:pPr>
              <w:spacing w:after="0"/>
              <w:rPr>
                <w:sz w:val="20"/>
                <w:szCs w:val="20"/>
                <w:color w:val="auto"/>
              </w:rPr>
            </w:pPr>
          </w:p>
        </w:tc>
        <w:tc>
          <w:tcPr>
            <w:tcW w:w="380" w:type="dxa"/>
            <w:vAlign w:val="bottom"/>
            <w:shd w:val="clear" w:color="auto" w:fill="62259D"/>
          </w:tcPr>
          <w:p>
            <w:pPr>
              <w:spacing w:after="0"/>
              <w:rPr>
                <w:sz w:val="20"/>
                <w:szCs w:val="20"/>
                <w:color w:val="auto"/>
              </w:rPr>
            </w:pPr>
          </w:p>
        </w:tc>
        <w:tc>
          <w:tcPr>
            <w:tcW w:w="340" w:type="dxa"/>
            <w:vAlign w:val="bottom"/>
            <w:shd w:val="clear" w:color="auto" w:fill="62259D"/>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160" w:type="dxa"/>
            <w:vAlign w:val="bottom"/>
            <w:shd w:val="clear" w:color="auto" w:fill="62259D"/>
          </w:tcPr>
          <w:p>
            <w:pPr>
              <w:spacing w:after="0"/>
              <w:rPr>
                <w:sz w:val="20"/>
                <w:szCs w:val="20"/>
                <w:color w:val="auto"/>
              </w:rPr>
            </w:pPr>
          </w:p>
        </w:tc>
        <w:tc>
          <w:tcPr>
            <w:tcW w:w="460" w:type="dxa"/>
            <w:vAlign w:val="bottom"/>
            <w:shd w:val="clear" w:color="auto" w:fill="62259D"/>
          </w:tcPr>
          <w:p>
            <w:pPr>
              <w:spacing w:after="0"/>
              <w:rPr>
                <w:sz w:val="20"/>
                <w:szCs w:val="20"/>
                <w:color w:val="auto"/>
              </w:rPr>
            </w:pPr>
          </w:p>
        </w:tc>
        <w:tc>
          <w:tcPr>
            <w:tcW w:w="140" w:type="dxa"/>
            <w:vAlign w:val="bottom"/>
            <w:shd w:val="clear" w:color="auto" w:fill="62259D"/>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300" w:type="dxa"/>
            <w:vAlign w:val="bottom"/>
            <w:shd w:val="clear" w:color="auto" w:fill="62259D"/>
          </w:tcPr>
          <w:p>
            <w:pPr>
              <w:spacing w:after="0"/>
              <w:rPr>
                <w:sz w:val="20"/>
                <w:szCs w:val="20"/>
                <w:color w:val="auto"/>
              </w:rPr>
            </w:pPr>
          </w:p>
        </w:tc>
        <w:tc>
          <w:tcPr>
            <w:tcW w:w="440" w:type="dxa"/>
            <w:vAlign w:val="bottom"/>
            <w:shd w:val="clear" w:color="auto" w:fill="62259D"/>
          </w:tcPr>
          <w:p>
            <w:pPr>
              <w:spacing w:after="0"/>
              <w:rPr>
                <w:sz w:val="20"/>
                <w:szCs w:val="20"/>
                <w:color w:val="auto"/>
              </w:rPr>
            </w:pPr>
          </w:p>
        </w:tc>
        <w:tc>
          <w:tcPr>
            <w:tcW w:w="260" w:type="dxa"/>
            <w:vAlign w:val="bottom"/>
            <w:shd w:val="clear" w:color="auto" w:fill="62259D"/>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240" w:type="dxa"/>
            <w:vAlign w:val="bottom"/>
            <w:shd w:val="clear" w:color="auto" w:fill="62259D"/>
          </w:tcPr>
          <w:p>
            <w:pPr>
              <w:spacing w:after="0"/>
              <w:rPr>
                <w:sz w:val="20"/>
                <w:szCs w:val="20"/>
                <w:color w:val="auto"/>
              </w:rPr>
            </w:pPr>
          </w:p>
        </w:tc>
        <w:tc>
          <w:tcPr>
            <w:tcW w:w="400" w:type="dxa"/>
            <w:vAlign w:val="bottom"/>
            <w:shd w:val="clear" w:color="auto" w:fill="62259D"/>
          </w:tcPr>
          <w:p>
            <w:pPr>
              <w:spacing w:after="0"/>
              <w:rPr>
                <w:sz w:val="20"/>
                <w:szCs w:val="20"/>
                <w:color w:val="auto"/>
              </w:rPr>
            </w:pPr>
          </w:p>
        </w:tc>
        <w:tc>
          <w:tcPr>
            <w:tcW w:w="100" w:type="dxa"/>
            <w:vAlign w:val="bottom"/>
            <w:shd w:val="clear" w:color="auto" w:fill="62259D"/>
          </w:tcPr>
          <w:p>
            <w:pPr>
              <w:spacing w:after="0"/>
              <w:rPr>
                <w:sz w:val="20"/>
                <w:szCs w:val="20"/>
                <w:color w:val="auto"/>
              </w:rPr>
            </w:pPr>
          </w:p>
        </w:tc>
        <w:tc>
          <w:tcPr>
            <w:tcW w:w="40" w:type="dxa"/>
            <w:vAlign w:val="bottom"/>
            <w:shd w:val="clear" w:color="auto" w:fill="FEFEFE"/>
          </w:tcPr>
          <w:p>
            <w:pPr>
              <w:spacing w:after="0"/>
              <w:rPr>
                <w:sz w:val="20"/>
                <w:szCs w:val="20"/>
                <w:color w:val="auto"/>
              </w:rPr>
            </w:pPr>
          </w:p>
        </w:tc>
        <w:tc>
          <w:tcPr>
            <w:tcW w:w="220" w:type="dxa"/>
            <w:vAlign w:val="bottom"/>
            <w:shd w:val="clear" w:color="auto" w:fill="62259D"/>
          </w:tcPr>
          <w:p>
            <w:pPr>
              <w:spacing w:after="0"/>
              <w:rPr>
                <w:sz w:val="20"/>
                <w:szCs w:val="20"/>
                <w:color w:val="auto"/>
              </w:rPr>
            </w:pPr>
          </w:p>
        </w:tc>
        <w:tc>
          <w:tcPr>
            <w:tcW w:w="420" w:type="dxa"/>
            <w:vAlign w:val="bottom"/>
            <w:shd w:val="clear" w:color="auto" w:fill="62259D"/>
          </w:tcPr>
          <w:p>
            <w:pPr>
              <w:spacing w:after="0"/>
              <w:rPr>
                <w:sz w:val="20"/>
                <w:szCs w:val="20"/>
                <w:color w:val="auto"/>
              </w:rPr>
            </w:pPr>
          </w:p>
        </w:tc>
        <w:tc>
          <w:tcPr>
            <w:tcW w:w="100" w:type="dxa"/>
            <w:vAlign w:val="bottom"/>
            <w:shd w:val="clear" w:color="auto" w:fill="62259D"/>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240" w:type="dxa"/>
            <w:vAlign w:val="bottom"/>
            <w:shd w:val="clear" w:color="auto" w:fill="62259D"/>
          </w:tcPr>
          <w:p>
            <w:pPr>
              <w:spacing w:after="0"/>
              <w:rPr>
                <w:sz w:val="20"/>
                <w:szCs w:val="20"/>
                <w:color w:val="auto"/>
              </w:rPr>
            </w:pPr>
          </w:p>
        </w:tc>
        <w:tc>
          <w:tcPr>
            <w:tcW w:w="360" w:type="dxa"/>
            <w:vAlign w:val="bottom"/>
            <w:shd w:val="clear" w:color="auto" w:fill="62259D"/>
          </w:tcPr>
          <w:p>
            <w:pPr>
              <w:spacing w:after="0"/>
              <w:rPr>
                <w:sz w:val="20"/>
                <w:szCs w:val="20"/>
                <w:color w:val="auto"/>
              </w:rPr>
            </w:pPr>
          </w:p>
        </w:tc>
        <w:tc>
          <w:tcPr>
            <w:tcW w:w="220" w:type="dxa"/>
            <w:vAlign w:val="bottom"/>
            <w:tcBorders>
              <w:right w:val="single" w:sz="8" w:color="FEFEFE"/>
            </w:tcBorders>
            <w:shd w:val="clear" w:color="auto" w:fill="62259D"/>
          </w:tcPr>
          <w:p>
            <w:pPr>
              <w:spacing w:after="0"/>
              <w:rPr>
                <w:sz w:val="20"/>
                <w:szCs w:val="20"/>
                <w:color w:val="auto"/>
              </w:rPr>
            </w:pPr>
          </w:p>
        </w:tc>
        <w:tc>
          <w:tcPr>
            <w:tcW w:w="80" w:type="dxa"/>
            <w:vAlign w:val="bottom"/>
            <w:shd w:val="clear" w:color="auto" w:fill="62259D"/>
          </w:tcPr>
          <w:p>
            <w:pPr>
              <w:spacing w:after="0"/>
              <w:rPr>
                <w:sz w:val="20"/>
                <w:szCs w:val="20"/>
                <w:color w:val="auto"/>
              </w:rPr>
            </w:pPr>
          </w:p>
        </w:tc>
        <w:tc>
          <w:tcPr>
            <w:tcW w:w="40" w:type="dxa"/>
            <w:vAlign w:val="bottom"/>
            <w:shd w:val="clear" w:color="auto" w:fill="62259D"/>
          </w:tcPr>
          <w:p>
            <w:pPr>
              <w:spacing w:after="0"/>
              <w:rPr>
                <w:sz w:val="20"/>
                <w:szCs w:val="20"/>
                <w:color w:val="auto"/>
              </w:rPr>
            </w:pPr>
          </w:p>
        </w:tc>
        <w:tc>
          <w:tcPr>
            <w:tcW w:w="180" w:type="dxa"/>
            <w:vAlign w:val="bottom"/>
            <w:shd w:val="clear" w:color="auto" w:fill="62259D"/>
          </w:tcPr>
          <w:p>
            <w:pPr>
              <w:spacing w:after="0"/>
              <w:rPr>
                <w:sz w:val="20"/>
                <w:szCs w:val="20"/>
                <w:color w:val="auto"/>
              </w:rPr>
            </w:pPr>
          </w:p>
        </w:tc>
        <w:tc>
          <w:tcPr>
            <w:tcW w:w="100" w:type="dxa"/>
            <w:vAlign w:val="bottom"/>
            <w:shd w:val="clear" w:color="auto" w:fill="62259D"/>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0" w:type="dxa"/>
            <w:vAlign w:val="bottom"/>
            <w:shd w:val="clear" w:color="auto" w:fill="62259D"/>
          </w:tcPr>
          <w:p>
            <w:pPr>
              <w:spacing w:after="0"/>
              <w:rPr>
                <w:sz w:val="17"/>
                <w:szCs w:val="17"/>
                <w:color w:val="auto"/>
              </w:rPr>
            </w:pPr>
          </w:p>
        </w:tc>
        <w:tc>
          <w:tcPr>
            <w:tcW w:w="1720" w:type="dxa"/>
            <w:vAlign w:val="bottom"/>
            <w:gridSpan w:val="2"/>
            <w:shd w:val="clear" w:color="auto" w:fill="62259D"/>
          </w:tcPr>
          <w:p>
            <w:pPr>
              <w:ind w:left="40"/>
              <w:spacing w:after="0"/>
              <w:rPr>
                <w:sz w:val="20"/>
                <w:szCs w:val="20"/>
                <w:color w:val="auto"/>
              </w:rPr>
            </w:pPr>
            <w:r>
              <w:rPr>
                <w:rFonts w:ascii="Arial" w:cs="Arial" w:eastAsia="Arial" w:hAnsi="Arial"/>
                <w:sz w:val="14"/>
                <w:szCs w:val="14"/>
                <w:b w:val="1"/>
                <w:bCs w:val="1"/>
                <w:color w:val="FEFEFE"/>
              </w:rPr>
              <w:t>and Experience</w:t>
            </w:r>
          </w:p>
        </w:tc>
        <w:tc>
          <w:tcPr>
            <w:tcW w:w="180" w:type="dxa"/>
            <w:vAlign w:val="bottom"/>
            <w:shd w:val="clear" w:color="auto" w:fill="62259D"/>
          </w:tcPr>
          <w:p>
            <w:pPr>
              <w:ind w:left="160"/>
              <w:spacing w:after="0"/>
              <w:rPr>
                <w:sz w:val="20"/>
                <w:szCs w:val="20"/>
                <w:color w:val="auto"/>
              </w:rPr>
            </w:pPr>
            <w:r>
              <w:rPr>
                <w:rFonts w:ascii="Arial" w:cs="Arial" w:eastAsia="Arial" w:hAnsi="Arial"/>
                <w:sz w:val="1"/>
                <w:szCs w:val="1"/>
                <w:b w:val="1"/>
                <w:bCs w:val="1"/>
                <w:color w:val="FEFEFE"/>
                <w:w w:val="4294942296"/>
              </w:rPr>
              <w:t>​</w:t>
            </w:r>
          </w:p>
        </w:tc>
        <w:tc>
          <w:tcPr>
            <w:tcW w:w="40" w:type="dxa"/>
            <w:vAlign w:val="bottom"/>
            <w:shd w:val="clear" w:color="auto" w:fill="FEFEFE"/>
          </w:tcPr>
          <w:p>
            <w:pPr>
              <w:spacing w:after="0"/>
              <w:rPr>
                <w:sz w:val="17"/>
                <w:szCs w:val="17"/>
                <w:color w:val="auto"/>
              </w:rPr>
            </w:pPr>
          </w:p>
        </w:tc>
        <w:tc>
          <w:tcPr>
            <w:tcW w:w="620" w:type="dxa"/>
            <w:vAlign w:val="bottom"/>
            <w:gridSpan w:val="2"/>
            <w:shd w:val="clear" w:color="auto" w:fill="62259D"/>
          </w:tcPr>
          <w:p>
            <w:pPr>
              <w:ind w:left="20"/>
              <w:spacing w:after="0"/>
              <w:rPr>
                <w:sz w:val="20"/>
                <w:szCs w:val="20"/>
                <w:color w:val="auto"/>
              </w:rPr>
            </w:pPr>
            <w:r>
              <w:rPr>
                <w:rFonts w:ascii="Arial" w:cs="Arial" w:eastAsia="Arial" w:hAnsi="Arial"/>
                <w:sz w:val="14"/>
                <w:szCs w:val="14"/>
                <w:b w:val="1"/>
                <w:bCs w:val="1"/>
                <w:color w:val="FEFEFE"/>
              </w:rPr>
              <w:t>​ Ewing</w:t>
            </w:r>
          </w:p>
        </w:tc>
        <w:tc>
          <w:tcPr>
            <w:tcW w:w="80" w:type="dxa"/>
            <w:vAlign w:val="bottom"/>
            <w:shd w:val="clear" w:color="auto" w:fill="62259D"/>
          </w:tcPr>
          <w:p>
            <w:pPr>
              <w:ind w:left="40"/>
              <w:spacing w:after="0"/>
              <w:rPr>
                <w:sz w:val="20"/>
                <w:szCs w:val="20"/>
                <w:color w:val="auto"/>
              </w:rPr>
            </w:pPr>
            <w:r>
              <w:rPr>
                <w:rFonts w:ascii="Arial" w:cs="Arial" w:eastAsia="Arial" w:hAnsi="Arial"/>
                <w:sz w:val="14"/>
                <w:szCs w:val="14"/>
                <w:b w:val="1"/>
                <w:bCs w:val="1"/>
                <w:color w:val="FEFEFE"/>
              </w:rPr>
              <w:t>​</w:t>
            </w:r>
          </w:p>
        </w:tc>
        <w:tc>
          <w:tcPr>
            <w:tcW w:w="20" w:type="dxa"/>
            <w:vAlign w:val="bottom"/>
            <w:shd w:val="clear" w:color="auto" w:fill="FEFEFE"/>
          </w:tcPr>
          <w:p>
            <w:pPr>
              <w:spacing w:after="0"/>
              <w:rPr>
                <w:sz w:val="17"/>
                <w:szCs w:val="17"/>
                <w:color w:val="auto"/>
              </w:rPr>
            </w:pPr>
          </w:p>
        </w:tc>
        <w:tc>
          <w:tcPr>
            <w:tcW w:w="780" w:type="dxa"/>
            <w:vAlign w:val="bottom"/>
            <w:gridSpan w:val="3"/>
            <w:shd w:val="clear" w:color="auto" w:fill="62259D"/>
          </w:tcPr>
          <w:p>
            <w:pPr>
              <w:jc w:val="center"/>
              <w:spacing w:after="0"/>
              <w:rPr>
                <w:sz w:val="20"/>
                <w:szCs w:val="20"/>
                <w:color w:val="auto"/>
              </w:rPr>
            </w:pPr>
            <w:r>
              <w:rPr>
                <w:rFonts w:ascii="Arial" w:cs="Arial" w:eastAsia="Arial" w:hAnsi="Arial"/>
                <w:sz w:val="14"/>
                <w:szCs w:val="14"/>
                <w:b w:val="1"/>
                <w:bCs w:val="1"/>
                <w:color w:val="FEFEFE"/>
              </w:rPr>
              <w:t>​Grayson ​</w:t>
            </w:r>
          </w:p>
        </w:tc>
        <w:tc>
          <w:tcPr>
            <w:tcW w:w="40" w:type="dxa"/>
            <w:vAlign w:val="bottom"/>
            <w:shd w:val="clear" w:color="auto" w:fill="FEFEFE"/>
          </w:tcPr>
          <w:p>
            <w:pPr>
              <w:spacing w:after="0"/>
              <w:rPr>
                <w:sz w:val="17"/>
                <w:szCs w:val="17"/>
                <w:color w:val="auto"/>
              </w:rPr>
            </w:pPr>
          </w:p>
        </w:tc>
        <w:tc>
          <w:tcPr>
            <w:tcW w:w="720" w:type="dxa"/>
            <w:vAlign w:val="bottom"/>
            <w:gridSpan w:val="2"/>
            <w:shd w:val="clear" w:color="auto" w:fill="62259D"/>
          </w:tcPr>
          <w:p>
            <w:pPr>
              <w:ind w:left="40"/>
              <w:spacing w:after="0"/>
              <w:rPr>
                <w:sz w:val="20"/>
                <w:szCs w:val="20"/>
                <w:color w:val="auto"/>
              </w:rPr>
            </w:pPr>
            <w:r>
              <w:rPr>
                <w:rFonts w:ascii="Arial" w:cs="Arial" w:eastAsia="Arial" w:hAnsi="Arial"/>
                <w:sz w:val="14"/>
                <w:szCs w:val="14"/>
                <w:b w:val="1"/>
                <w:bCs w:val="1"/>
                <w:color w:val="FEFEFE"/>
              </w:rPr>
              <w:t>​ Infante ​</w:t>
            </w:r>
          </w:p>
        </w:tc>
        <w:tc>
          <w:tcPr>
            <w:tcW w:w="20" w:type="dxa"/>
            <w:vAlign w:val="bottom"/>
            <w:shd w:val="clear" w:color="auto" w:fill="FEFEFE"/>
          </w:tcPr>
          <w:p>
            <w:pPr>
              <w:spacing w:after="0"/>
              <w:rPr>
                <w:sz w:val="17"/>
                <w:szCs w:val="17"/>
                <w:color w:val="auto"/>
              </w:rPr>
            </w:pPr>
          </w:p>
        </w:tc>
        <w:tc>
          <w:tcPr>
            <w:tcW w:w="160" w:type="dxa"/>
            <w:vAlign w:val="bottom"/>
            <w:shd w:val="clear" w:color="auto" w:fill="62259D"/>
          </w:tcPr>
          <w:p>
            <w:pPr>
              <w:jc w:val="right"/>
              <w:spacing w:after="0"/>
              <w:rPr>
                <w:sz w:val="20"/>
                <w:szCs w:val="20"/>
                <w:color w:val="auto"/>
              </w:rPr>
            </w:pPr>
            <w:r>
              <w:rPr>
                <w:rFonts w:ascii="Arial" w:cs="Arial" w:eastAsia="Arial" w:hAnsi="Arial"/>
                <w:sz w:val="14"/>
                <w:szCs w:val="14"/>
                <w:b w:val="1"/>
                <w:bCs w:val="1"/>
                <w:color w:val="FEFEFE"/>
              </w:rPr>
              <w:t>​</w:t>
            </w:r>
          </w:p>
        </w:tc>
        <w:tc>
          <w:tcPr>
            <w:tcW w:w="460" w:type="dxa"/>
            <w:vAlign w:val="bottom"/>
            <w:shd w:val="clear" w:color="auto" w:fill="62259D"/>
          </w:tcPr>
          <w:p>
            <w:pPr>
              <w:ind w:left="60"/>
              <w:spacing w:after="0"/>
              <w:rPr>
                <w:sz w:val="20"/>
                <w:szCs w:val="20"/>
                <w:color w:val="auto"/>
              </w:rPr>
            </w:pPr>
            <w:r>
              <w:rPr>
                <w:rFonts w:ascii="Arial" w:cs="Arial" w:eastAsia="Arial" w:hAnsi="Arial"/>
                <w:sz w:val="14"/>
                <w:szCs w:val="14"/>
                <w:b w:val="1"/>
                <w:bCs w:val="1"/>
                <w:color w:val="FEFEFE"/>
              </w:rPr>
              <w:t>Mair</w:t>
            </w:r>
          </w:p>
        </w:tc>
        <w:tc>
          <w:tcPr>
            <w:tcW w:w="140" w:type="dxa"/>
            <w:vAlign w:val="bottom"/>
            <w:shd w:val="clear" w:color="auto" w:fill="62259D"/>
          </w:tcPr>
          <w:p>
            <w:pPr>
              <w:ind w:left="100"/>
              <w:spacing w:after="0"/>
              <w:rPr>
                <w:sz w:val="20"/>
                <w:szCs w:val="20"/>
                <w:color w:val="auto"/>
              </w:rPr>
            </w:pPr>
            <w:r>
              <w:rPr>
                <w:rFonts w:ascii="Arial" w:cs="Arial" w:eastAsia="Arial" w:hAnsi="Arial"/>
                <w:sz w:val="14"/>
                <w:szCs w:val="14"/>
                <w:b w:val="1"/>
                <w:bCs w:val="1"/>
                <w:color w:val="FEFEFE"/>
              </w:rPr>
              <w:t>​</w:t>
            </w:r>
          </w:p>
        </w:tc>
        <w:tc>
          <w:tcPr>
            <w:tcW w:w="20" w:type="dxa"/>
            <w:vAlign w:val="bottom"/>
            <w:shd w:val="clear" w:color="auto" w:fill="FEFEFE"/>
          </w:tcPr>
          <w:p>
            <w:pPr>
              <w:spacing w:after="0"/>
              <w:rPr>
                <w:sz w:val="17"/>
                <w:szCs w:val="17"/>
                <w:color w:val="auto"/>
              </w:rPr>
            </w:pPr>
          </w:p>
        </w:tc>
        <w:tc>
          <w:tcPr>
            <w:tcW w:w="1000" w:type="dxa"/>
            <w:vAlign w:val="bottom"/>
            <w:gridSpan w:val="3"/>
            <w:shd w:val="clear" w:color="auto" w:fill="62259D"/>
          </w:tcPr>
          <w:p>
            <w:pPr>
              <w:ind w:left="40"/>
              <w:spacing w:after="0"/>
              <w:rPr>
                <w:sz w:val="20"/>
                <w:szCs w:val="20"/>
                <w:color w:val="auto"/>
              </w:rPr>
            </w:pPr>
            <w:r>
              <w:rPr>
                <w:rFonts w:ascii="Arial" w:cs="Arial" w:eastAsia="Arial" w:hAnsi="Arial"/>
                <w:sz w:val="14"/>
                <w:szCs w:val="14"/>
                <w:b w:val="1"/>
                <w:bCs w:val="1"/>
                <w:color w:val="FEFEFE"/>
              </w:rPr>
              <w:t>​McClelland ​</w:t>
            </w:r>
          </w:p>
        </w:tc>
        <w:tc>
          <w:tcPr>
            <w:tcW w:w="20" w:type="dxa"/>
            <w:vAlign w:val="bottom"/>
            <w:shd w:val="clear" w:color="auto" w:fill="FEFEFE"/>
          </w:tcPr>
          <w:p>
            <w:pPr>
              <w:spacing w:after="0"/>
              <w:rPr>
                <w:sz w:val="17"/>
                <w:szCs w:val="17"/>
                <w:color w:val="auto"/>
              </w:rPr>
            </w:pPr>
          </w:p>
        </w:tc>
        <w:tc>
          <w:tcPr>
            <w:tcW w:w="640" w:type="dxa"/>
            <w:vAlign w:val="bottom"/>
            <w:gridSpan w:val="2"/>
            <w:shd w:val="clear" w:color="auto" w:fill="62259D"/>
          </w:tcPr>
          <w:p>
            <w:pPr>
              <w:ind w:left="40"/>
              <w:spacing w:after="0"/>
              <w:rPr>
                <w:sz w:val="20"/>
                <w:szCs w:val="20"/>
                <w:color w:val="auto"/>
              </w:rPr>
            </w:pPr>
            <w:r>
              <w:rPr>
                <w:rFonts w:ascii="Arial" w:cs="Arial" w:eastAsia="Arial" w:hAnsi="Arial"/>
                <w:sz w:val="14"/>
                <w:szCs w:val="14"/>
                <w:b w:val="1"/>
                <w:bCs w:val="1"/>
                <w:color w:val="FEFEFE"/>
              </w:rPr>
              <w:t>​ Shani</w:t>
            </w:r>
          </w:p>
        </w:tc>
        <w:tc>
          <w:tcPr>
            <w:tcW w:w="100" w:type="dxa"/>
            <w:vAlign w:val="bottom"/>
            <w:shd w:val="clear" w:color="auto" w:fill="62259D"/>
          </w:tcPr>
          <w:p>
            <w:pPr>
              <w:ind w:left="60"/>
              <w:spacing w:after="0"/>
              <w:rPr>
                <w:sz w:val="20"/>
                <w:szCs w:val="20"/>
                <w:color w:val="auto"/>
              </w:rPr>
            </w:pPr>
            <w:r>
              <w:rPr>
                <w:rFonts w:ascii="Arial" w:cs="Arial" w:eastAsia="Arial" w:hAnsi="Arial"/>
                <w:sz w:val="14"/>
                <w:szCs w:val="14"/>
                <w:b w:val="1"/>
                <w:bCs w:val="1"/>
                <w:color w:val="FEFEFE"/>
              </w:rPr>
              <w:t>​</w:t>
            </w:r>
          </w:p>
        </w:tc>
        <w:tc>
          <w:tcPr>
            <w:tcW w:w="40" w:type="dxa"/>
            <w:vAlign w:val="bottom"/>
            <w:shd w:val="clear" w:color="auto" w:fill="FEFEFE"/>
          </w:tcPr>
          <w:p>
            <w:pPr>
              <w:spacing w:after="0"/>
              <w:rPr>
                <w:sz w:val="17"/>
                <w:szCs w:val="17"/>
                <w:color w:val="auto"/>
              </w:rPr>
            </w:pPr>
          </w:p>
        </w:tc>
        <w:tc>
          <w:tcPr>
            <w:tcW w:w="640" w:type="dxa"/>
            <w:vAlign w:val="bottom"/>
            <w:gridSpan w:val="2"/>
            <w:shd w:val="clear" w:color="auto" w:fill="62259D"/>
          </w:tcPr>
          <w:p>
            <w:pPr>
              <w:ind w:left="40"/>
              <w:spacing w:after="0"/>
              <w:rPr>
                <w:sz w:val="20"/>
                <w:szCs w:val="20"/>
                <w:color w:val="auto"/>
              </w:rPr>
            </w:pPr>
            <w:r>
              <w:rPr>
                <w:rFonts w:ascii="Arial" w:cs="Arial" w:eastAsia="Arial" w:hAnsi="Arial"/>
                <w:sz w:val="14"/>
                <w:szCs w:val="14"/>
                <w:b w:val="1"/>
                <w:bCs w:val="1"/>
                <w:color w:val="FEFEFE"/>
              </w:rPr>
              <w:t>​ Smith</w:t>
            </w:r>
          </w:p>
        </w:tc>
        <w:tc>
          <w:tcPr>
            <w:tcW w:w="100" w:type="dxa"/>
            <w:vAlign w:val="bottom"/>
            <w:shd w:val="clear" w:color="auto" w:fill="62259D"/>
          </w:tcPr>
          <w:p>
            <w:pPr>
              <w:ind w:left="60"/>
              <w:spacing w:after="0"/>
              <w:rPr>
                <w:sz w:val="20"/>
                <w:szCs w:val="20"/>
                <w:color w:val="auto"/>
              </w:rPr>
            </w:pPr>
            <w:r>
              <w:rPr>
                <w:rFonts w:ascii="Arial" w:cs="Arial" w:eastAsia="Arial" w:hAnsi="Arial"/>
                <w:sz w:val="14"/>
                <w:szCs w:val="14"/>
                <w:b w:val="1"/>
                <w:bCs w:val="1"/>
                <w:color w:val="FEFEFE"/>
              </w:rPr>
              <w:t>​</w:t>
            </w:r>
          </w:p>
        </w:tc>
        <w:tc>
          <w:tcPr>
            <w:tcW w:w="20" w:type="dxa"/>
            <w:vAlign w:val="bottom"/>
            <w:shd w:val="clear" w:color="auto" w:fill="FEFEFE"/>
          </w:tcPr>
          <w:p>
            <w:pPr>
              <w:spacing w:after="0"/>
              <w:rPr>
                <w:sz w:val="17"/>
                <w:szCs w:val="17"/>
                <w:color w:val="auto"/>
              </w:rPr>
            </w:pPr>
          </w:p>
        </w:tc>
        <w:tc>
          <w:tcPr>
            <w:tcW w:w="820" w:type="dxa"/>
            <w:vAlign w:val="bottom"/>
            <w:tcBorders>
              <w:right w:val="single" w:sz="8" w:color="FEFEFE"/>
            </w:tcBorders>
            <w:gridSpan w:val="3"/>
            <w:shd w:val="clear" w:color="auto" w:fill="62259D"/>
          </w:tcPr>
          <w:p>
            <w:pPr>
              <w:ind w:left="40"/>
              <w:spacing w:after="0"/>
              <w:rPr>
                <w:sz w:val="20"/>
                <w:szCs w:val="20"/>
                <w:color w:val="auto"/>
              </w:rPr>
            </w:pPr>
            <w:r>
              <w:rPr>
                <w:rFonts w:ascii="Arial" w:cs="Arial" w:eastAsia="Arial" w:hAnsi="Arial"/>
                <w:sz w:val="14"/>
                <w:szCs w:val="14"/>
                <w:b w:val="1"/>
                <w:bCs w:val="1"/>
                <w:color w:val="FEFEFE"/>
              </w:rPr>
              <w:t>​Tamone ​</w:t>
            </w:r>
          </w:p>
        </w:tc>
        <w:tc>
          <w:tcPr>
            <w:tcW w:w="80" w:type="dxa"/>
            <w:vAlign w:val="bottom"/>
            <w:shd w:val="clear" w:color="auto" w:fill="62259D"/>
          </w:tcPr>
          <w:p>
            <w:pPr>
              <w:ind w:left="40"/>
              <w:spacing w:after="0"/>
              <w:rPr>
                <w:sz w:val="20"/>
                <w:szCs w:val="20"/>
                <w:color w:val="auto"/>
              </w:rPr>
            </w:pPr>
            <w:r>
              <w:rPr>
                <w:rFonts w:ascii="Arial" w:cs="Arial" w:eastAsia="Arial" w:hAnsi="Arial"/>
                <w:sz w:val="14"/>
                <w:szCs w:val="14"/>
                <w:b w:val="1"/>
                <w:bCs w:val="1"/>
                <w:color w:val="FEFEFE"/>
              </w:rPr>
              <w:t>​</w:t>
            </w:r>
          </w:p>
        </w:tc>
        <w:tc>
          <w:tcPr>
            <w:tcW w:w="220" w:type="dxa"/>
            <w:vAlign w:val="bottom"/>
            <w:gridSpan w:val="2"/>
            <w:shd w:val="clear" w:color="auto" w:fill="62259D"/>
          </w:tcPr>
          <w:p>
            <w:pPr>
              <w:jc w:val="right"/>
              <w:ind w:right="8"/>
              <w:spacing w:after="0"/>
              <w:rPr>
                <w:sz w:val="20"/>
                <w:szCs w:val="20"/>
                <w:color w:val="auto"/>
              </w:rPr>
            </w:pPr>
            <w:r>
              <w:rPr>
                <w:rFonts w:ascii="Arial" w:cs="Arial" w:eastAsia="Arial" w:hAnsi="Arial"/>
                <w:sz w:val="14"/>
                <w:szCs w:val="14"/>
                <w:b w:val="1"/>
                <w:bCs w:val="1"/>
                <w:color w:val="FEFEFE"/>
              </w:rPr>
              <w:t>#</w:t>
            </w:r>
          </w:p>
        </w:tc>
        <w:tc>
          <w:tcPr>
            <w:tcW w:w="100" w:type="dxa"/>
            <w:vAlign w:val="bottom"/>
            <w:shd w:val="clear" w:color="auto" w:fill="62259D"/>
          </w:tcPr>
          <w:p>
            <w:pPr>
              <w:ind w:left="60"/>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1120" w:type="dxa"/>
            <w:vAlign w:val="bottom"/>
          </w:tcPr>
          <w:p>
            <w:pPr>
              <w:ind w:left="460"/>
              <w:spacing w:after="0"/>
              <w:rPr>
                <w:sz w:val="20"/>
                <w:szCs w:val="20"/>
                <w:color w:val="auto"/>
              </w:rPr>
            </w:pPr>
            <w:r>
              <w:rPr>
                <w:rFonts w:ascii="Arial" w:cs="Arial" w:eastAsia="Arial" w:hAnsi="Arial"/>
                <w:sz w:val="13"/>
                <w:szCs w:val="13"/>
                <w:color w:val="auto"/>
              </w:rPr>
              <w:t>Audit and</w:t>
            </w:r>
          </w:p>
        </w:tc>
        <w:tc>
          <w:tcPr>
            <w:tcW w:w="600" w:type="dxa"/>
            <w:vAlign w:val="bottom"/>
          </w:tcPr>
          <w:p>
            <w:pPr>
              <w:spacing w:after="0"/>
              <w:rPr>
                <w:sz w:val="19"/>
                <w:szCs w:val="19"/>
                <w:color w:val="auto"/>
              </w:rPr>
            </w:pPr>
          </w:p>
        </w:tc>
        <w:tc>
          <w:tcPr>
            <w:tcW w:w="420" w:type="dxa"/>
            <w:vAlign w:val="bottom"/>
            <w:gridSpan w:val="3"/>
            <w:vMerge w:val="restart"/>
          </w:tcPr>
          <w:p>
            <w:pPr>
              <w:ind w:left="160"/>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19"/>
                <w:szCs w:val="19"/>
                <w:color w:val="auto"/>
              </w:rPr>
            </w:pPr>
          </w:p>
        </w:tc>
        <w:tc>
          <w:tcPr>
            <w:tcW w:w="340" w:type="dxa"/>
            <w:vAlign w:val="bottom"/>
            <w:gridSpan w:val="3"/>
            <w:vMerge w:val="restart"/>
          </w:tcPr>
          <w:p>
            <w:pPr>
              <w:ind w:left="40"/>
              <w:spacing w:after="0"/>
              <w:rPr>
                <w:sz w:val="20"/>
                <w:szCs w:val="20"/>
                <w:color w:val="auto"/>
              </w:rPr>
            </w:pPr>
            <w:r>
              <w:rPr>
                <w:rFonts w:ascii="Arial" w:cs="Arial" w:eastAsia="Arial" w:hAnsi="Arial"/>
                <w:sz w:val="14"/>
                <w:szCs w:val="14"/>
                <w:color w:val="auto"/>
              </w:rPr>
              <w:t>​ ​</w:t>
            </w:r>
          </w:p>
        </w:tc>
        <w:tc>
          <w:tcPr>
            <w:tcW w:w="3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6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9"/>
                <w:szCs w:val="19"/>
                <w:color w:val="auto"/>
              </w:rPr>
            </w:pPr>
          </w:p>
        </w:tc>
        <w:tc>
          <w:tcPr>
            <w:tcW w:w="16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tcPr>
          <w:p>
            <w:pPr>
              <w:ind w:left="22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62259D"/>
          </w:tcPr>
          <w:p>
            <w:pPr>
              <w:ind w:left="40"/>
              <w:spacing w:after="0"/>
              <w:rPr>
                <w:sz w:val="20"/>
                <w:szCs w:val="20"/>
                <w:color w:val="auto"/>
              </w:rPr>
            </w:pPr>
            <w:r>
              <w:rPr>
                <w:rFonts w:ascii="Arial" w:cs="Arial" w:eastAsia="Arial" w:hAnsi="Arial"/>
                <w:sz w:val="14"/>
                <w:szCs w:val="14"/>
                <w:color w:val="auto"/>
              </w:rPr>
              <w:t>​</w:t>
            </w:r>
          </w:p>
        </w:tc>
        <w:tc>
          <w:tcPr>
            <w:tcW w:w="40" w:type="dxa"/>
            <w:vAlign w:val="bottom"/>
            <w:shd w:val="clear" w:color="auto" w:fill="62259D"/>
          </w:tcPr>
          <w:p>
            <w:pPr>
              <w:spacing w:after="0"/>
              <w:rPr>
                <w:sz w:val="19"/>
                <w:szCs w:val="19"/>
                <w:color w:val="auto"/>
              </w:rPr>
            </w:pPr>
          </w:p>
        </w:tc>
        <w:tc>
          <w:tcPr>
            <w:tcW w:w="180" w:type="dxa"/>
            <w:vAlign w:val="bottom"/>
            <w:vMerge w:val="restart"/>
            <w:shd w:val="clear" w:color="auto" w:fill="62259D"/>
          </w:tcPr>
          <w:p>
            <w:pPr>
              <w:jc w:val="right"/>
              <w:ind w:right="8"/>
              <w:spacing w:after="0"/>
              <w:rPr>
                <w:sz w:val="20"/>
                <w:szCs w:val="20"/>
                <w:color w:val="auto"/>
              </w:rPr>
            </w:pPr>
            <w:r>
              <w:rPr>
                <w:rFonts w:ascii="Arial" w:cs="Arial" w:eastAsia="Arial" w:hAnsi="Arial"/>
                <w:sz w:val="14"/>
                <w:szCs w:val="14"/>
                <w:color w:val="FEFEFE"/>
              </w:rPr>
              <w:t>3</w:t>
            </w:r>
          </w:p>
        </w:tc>
        <w:tc>
          <w:tcPr>
            <w:tcW w:w="100" w:type="dxa"/>
            <w:vAlign w:val="bottom"/>
            <w:vMerge w:val="restart"/>
            <w:shd w:val="clear" w:color="auto" w:fill="62259D"/>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0"/>
        </w:trPr>
        <w:tc>
          <w:tcPr>
            <w:tcW w:w="80" w:type="dxa"/>
            <w:vAlign w:val="bottom"/>
          </w:tcPr>
          <w:p>
            <w:pPr>
              <w:spacing w:after="0"/>
              <w:rPr>
                <w:sz w:val="24"/>
                <w:szCs w:val="24"/>
                <w:color w:val="auto"/>
              </w:rPr>
            </w:pPr>
          </w:p>
        </w:tc>
        <w:tc>
          <w:tcPr>
            <w:tcW w:w="1720" w:type="dxa"/>
            <w:vAlign w:val="bottom"/>
            <w:gridSpan w:val="2"/>
          </w:tcPr>
          <w:p>
            <w:pPr>
              <w:ind w:left="440"/>
              <w:spacing w:after="0" w:line="31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3"/>
                <w:szCs w:val="13"/>
                <w:color w:val="auto"/>
              </w:rPr>
              <w:t>financial reporting</w:t>
            </w:r>
          </w:p>
        </w:tc>
        <w:tc>
          <w:tcPr>
            <w:tcW w:w="42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gridSpan w:val="3"/>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gridSpan w:val="2"/>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440" w:type="dxa"/>
            <w:vAlign w:val="bottom"/>
            <w:vMerge w:val="continue"/>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400" w:type="dxa"/>
            <w:vAlign w:val="bottom"/>
            <w:vMerge w:val="continue"/>
          </w:tcPr>
          <w:p>
            <w:pPr>
              <w:spacing w:after="0"/>
              <w:rPr>
                <w:sz w:val="24"/>
                <w:szCs w:val="24"/>
                <w:color w:val="auto"/>
              </w:rPr>
            </w:pPr>
          </w:p>
        </w:tc>
        <w:tc>
          <w:tcPr>
            <w:tcW w:w="140" w:type="dxa"/>
            <w:vAlign w:val="bottom"/>
            <w:gridSpan w:val="2"/>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420" w:type="dxa"/>
            <w:vAlign w:val="bottom"/>
            <w:vMerge w:val="continue"/>
          </w:tcPr>
          <w:p>
            <w:pPr>
              <w:spacing w:after="0"/>
              <w:rPr>
                <w:sz w:val="24"/>
                <w:szCs w:val="24"/>
                <w:color w:val="auto"/>
              </w:rPr>
            </w:pPr>
          </w:p>
        </w:tc>
        <w:tc>
          <w:tcPr>
            <w:tcW w:w="120" w:type="dxa"/>
            <w:vAlign w:val="bottom"/>
            <w:gridSpan w:val="2"/>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80" w:type="dxa"/>
            <w:vAlign w:val="bottom"/>
            <w:vMerge w:val="continue"/>
            <w:shd w:val="clear" w:color="auto" w:fill="62259D"/>
          </w:tcPr>
          <w:p>
            <w:pPr>
              <w:spacing w:after="0"/>
              <w:rPr>
                <w:sz w:val="24"/>
                <w:szCs w:val="24"/>
                <w:color w:val="auto"/>
              </w:rPr>
            </w:pPr>
          </w:p>
        </w:tc>
        <w:tc>
          <w:tcPr>
            <w:tcW w:w="40" w:type="dxa"/>
            <w:vAlign w:val="bottom"/>
            <w:shd w:val="clear" w:color="auto" w:fill="62259D"/>
          </w:tcPr>
          <w:p>
            <w:pPr>
              <w:spacing w:after="0"/>
              <w:rPr>
                <w:sz w:val="24"/>
                <w:szCs w:val="24"/>
                <w:color w:val="auto"/>
              </w:rPr>
            </w:pPr>
          </w:p>
        </w:tc>
        <w:tc>
          <w:tcPr>
            <w:tcW w:w="180" w:type="dxa"/>
            <w:vAlign w:val="bottom"/>
            <w:vMerge w:val="continue"/>
            <w:shd w:val="clear" w:color="auto" w:fill="62259D"/>
          </w:tcPr>
          <w:p>
            <w:pPr>
              <w:spacing w:after="0"/>
              <w:rPr>
                <w:sz w:val="24"/>
                <w:szCs w:val="24"/>
                <w:color w:val="auto"/>
              </w:rPr>
            </w:pPr>
          </w:p>
        </w:tc>
        <w:tc>
          <w:tcPr>
            <w:tcW w:w="100" w:type="dxa"/>
            <w:vAlign w:val="bottom"/>
            <w:vMerge w:val="continue"/>
            <w:shd w:val="clear" w:color="auto" w:fill="62259D"/>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E7417A"/>
          </w:tcPr>
          <w:p>
            <w:pPr>
              <w:spacing w:after="0" w:line="20" w:lineRule="exact"/>
              <w:rPr>
                <w:sz w:val="1"/>
                <w:szCs w:val="1"/>
                <w:color w:val="auto"/>
              </w:rPr>
            </w:pPr>
          </w:p>
        </w:tc>
        <w:tc>
          <w:tcPr>
            <w:tcW w:w="1120" w:type="dxa"/>
            <w:vAlign w:val="bottom"/>
            <w:shd w:val="clear" w:color="auto" w:fill="E7417A"/>
          </w:tcPr>
          <w:p>
            <w:pPr>
              <w:spacing w:after="0" w:line="20" w:lineRule="exact"/>
              <w:rPr>
                <w:sz w:val="1"/>
                <w:szCs w:val="1"/>
                <w:color w:val="auto"/>
              </w:rPr>
            </w:pPr>
          </w:p>
        </w:tc>
        <w:tc>
          <w:tcPr>
            <w:tcW w:w="600" w:type="dxa"/>
            <w:vAlign w:val="bottom"/>
            <w:shd w:val="clear" w:color="auto" w:fill="E7417A"/>
          </w:tcPr>
          <w:p>
            <w:pPr>
              <w:spacing w:after="0" w:line="20" w:lineRule="exact"/>
              <w:rPr>
                <w:sz w:val="1"/>
                <w:szCs w:val="1"/>
                <w:color w:val="auto"/>
              </w:rPr>
            </w:pPr>
          </w:p>
        </w:tc>
        <w:tc>
          <w:tcPr>
            <w:tcW w:w="18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42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E7417A"/>
          </w:tcPr>
          <w:p>
            <w:pPr>
              <w:spacing w:after="0" w:line="20" w:lineRule="exact"/>
              <w:rPr>
                <w:sz w:val="1"/>
                <w:szCs w:val="1"/>
                <w:color w:val="auto"/>
              </w:rPr>
            </w:pPr>
          </w:p>
        </w:tc>
        <w:tc>
          <w:tcPr>
            <w:tcW w:w="460" w:type="dxa"/>
            <w:vAlign w:val="bottom"/>
            <w:shd w:val="clear" w:color="auto" w:fill="E7417A"/>
          </w:tcPr>
          <w:p>
            <w:pPr>
              <w:spacing w:after="0" w:line="20" w:lineRule="exact"/>
              <w:rPr>
                <w:sz w:val="1"/>
                <w:szCs w:val="1"/>
                <w:color w:val="auto"/>
              </w:rPr>
            </w:pPr>
          </w:p>
        </w:tc>
        <w:tc>
          <w:tcPr>
            <w:tcW w:w="1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E7417A"/>
          </w:tcPr>
          <w:p>
            <w:pPr>
              <w:spacing w:after="0" w:line="20" w:lineRule="exact"/>
              <w:rPr>
                <w:sz w:val="1"/>
                <w:szCs w:val="1"/>
                <w:color w:val="auto"/>
              </w:rPr>
            </w:pPr>
          </w:p>
        </w:tc>
        <w:tc>
          <w:tcPr>
            <w:tcW w:w="440" w:type="dxa"/>
            <w:vAlign w:val="bottom"/>
            <w:shd w:val="clear" w:color="auto" w:fill="E7417A"/>
          </w:tcPr>
          <w:p>
            <w:pPr>
              <w:spacing w:after="0" w:line="20" w:lineRule="exact"/>
              <w:rPr>
                <w:sz w:val="1"/>
                <w:szCs w:val="1"/>
                <w:color w:val="auto"/>
              </w:rPr>
            </w:pPr>
          </w:p>
        </w:tc>
        <w:tc>
          <w:tcPr>
            <w:tcW w:w="26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40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42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60" w:type="dxa"/>
            <w:vAlign w:val="bottom"/>
            <w:shd w:val="clear" w:color="auto" w:fill="E7417A"/>
          </w:tcPr>
          <w:p>
            <w:pPr>
              <w:spacing w:after="0" w:line="20" w:lineRule="exact"/>
              <w:rPr>
                <w:sz w:val="1"/>
                <w:szCs w:val="1"/>
                <w:color w:val="auto"/>
              </w:rPr>
            </w:pPr>
          </w:p>
        </w:tc>
        <w:tc>
          <w:tcPr>
            <w:tcW w:w="220" w:type="dxa"/>
            <w:vAlign w:val="bottom"/>
            <w:tcBorders>
              <w:right w:val="single" w:sz="8" w:color="FEFEFE"/>
            </w:tcBorders>
            <w:shd w:val="clear" w:color="auto" w:fill="E7417A"/>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0" w:type="dxa"/>
            <w:vAlign w:val="bottom"/>
          </w:tcPr>
          <w:p>
            <w:pPr>
              <w:spacing w:after="0"/>
              <w:rPr>
                <w:sz w:val="24"/>
                <w:szCs w:val="24"/>
                <w:color w:val="auto"/>
              </w:rPr>
            </w:pPr>
          </w:p>
        </w:tc>
        <w:tc>
          <w:tcPr>
            <w:tcW w:w="1120" w:type="dxa"/>
            <w:vAlign w:val="bottom"/>
          </w:tcPr>
          <w:p>
            <w:pPr>
              <w:ind w:left="440"/>
              <w:spacing w:after="0"/>
              <w:rPr>
                <w:sz w:val="20"/>
                <w:szCs w:val="20"/>
                <w:color w:val="auto"/>
              </w:rPr>
            </w:pPr>
            <w:r>
              <w:rPr>
                <w:rFonts w:ascii="Arial" w:cs="Arial" w:eastAsia="Arial" w:hAnsi="Arial"/>
                <w:sz w:val="10"/>
                <w:szCs w:val="10"/>
                <w:color w:val="auto"/>
                <w:w w:val="73"/>
              </w:rPr>
              <w:t>​</w:t>
            </w:r>
            <w:r>
              <w:rPr>
                <w:rFonts w:ascii="Arial" w:cs="Arial" w:eastAsia="Arial" w:hAnsi="Arial"/>
                <w:sz w:val="15"/>
                <w:szCs w:val="15"/>
                <w:color w:val="auto"/>
                <w:w w:val="73"/>
                <w:vertAlign w:val="subscript"/>
              </w:rPr>
              <w:t>leadership</w:t>
            </w:r>
            <w:r>
              <w:rPr>
                <w:rFonts w:ascii="Arial" w:cs="Arial" w:eastAsia="Arial" w:hAnsi="Arial"/>
                <w:sz w:val="15"/>
                <w:szCs w:val="15"/>
                <w:color w:val="auto"/>
                <w:w w:val="73"/>
                <w:vertAlign w:val="superscript"/>
              </w:rPr>
              <w:t>Executive</w:t>
            </w:r>
          </w:p>
        </w:tc>
        <w:tc>
          <w:tcPr>
            <w:tcW w:w="600" w:type="dxa"/>
            <w:vAlign w:val="bottom"/>
          </w:tcPr>
          <w:p>
            <w:pPr>
              <w:spacing w:after="0"/>
              <w:rPr>
                <w:sz w:val="24"/>
                <w:szCs w:val="24"/>
                <w:color w:val="auto"/>
              </w:rPr>
            </w:pPr>
          </w:p>
        </w:tc>
        <w:tc>
          <w:tcPr>
            <w:tcW w:w="420" w:type="dxa"/>
            <w:vAlign w:val="bottom"/>
            <w:gridSpan w:val="3"/>
          </w:tcPr>
          <w:p>
            <w:pPr>
              <w:ind w:left="160"/>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24"/>
                <w:szCs w:val="24"/>
                <w:color w:val="auto"/>
              </w:rPr>
            </w:pPr>
          </w:p>
        </w:tc>
        <w:tc>
          <w:tcPr>
            <w:tcW w:w="340" w:type="dxa"/>
            <w:vAlign w:val="bottom"/>
            <w:gridSpan w:val="3"/>
          </w:tcPr>
          <w:p>
            <w:pPr>
              <w:ind w:left="4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24"/>
                <w:szCs w:val="24"/>
                <w:color w:val="auto"/>
              </w:rPr>
            </w:pPr>
          </w:p>
        </w:tc>
        <w:tc>
          <w:tcPr>
            <w:tcW w:w="2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380" w:type="dxa"/>
            <w:vAlign w:val="bottom"/>
          </w:tcPr>
          <w:p>
            <w:pPr>
              <w:ind w:left="40"/>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1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00" w:type="dxa"/>
            <w:vAlign w:val="bottom"/>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2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220" w:type="dxa"/>
            <w:vAlign w:val="bottom"/>
          </w:tcPr>
          <w:p>
            <w:pPr>
              <w:ind w:lef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62259D"/>
            </w:tcBorders>
            <w:shd w:val="clear" w:color="auto" w:fill="62259D"/>
          </w:tcPr>
          <w:p>
            <w:pPr>
              <w:ind w:lef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62259D"/>
            </w:tcBorders>
            <w:shd w:val="clear" w:color="auto" w:fill="62259D"/>
          </w:tcPr>
          <w:p>
            <w:pPr>
              <w:spacing w:after="0"/>
              <w:rPr>
                <w:sz w:val="24"/>
                <w:szCs w:val="24"/>
                <w:color w:val="auto"/>
              </w:rPr>
            </w:pPr>
          </w:p>
        </w:tc>
        <w:tc>
          <w:tcPr>
            <w:tcW w:w="180" w:type="dxa"/>
            <w:vAlign w:val="bottom"/>
            <w:tcBorders>
              <w:bottom w:val="single" w:sz="8" w:color="62259D"/>
            </w:tcBorders>
            <w:shd w:val="clear" w:color="auto" w:fill="62259D"/>
          </w:tcPr>
          <w:p>
            <w:pPr>
              <w:jc w:val="right"/>
              <w:ind w:right="8"/>
              <w:spacing w:after="0"/>
              <w:rPr>
                <w:sz w:val="20"/>
                <w:szCs w:val="20"/>
                <w:color w:val="auto"/>
              </w:rPr>
            </w:pPr>
            <w:r>
              <w:rPr>
                <w:rFonts w:ascii="Arial" w:cs="Arial" w:eastAsia="Arial" w:hAnsi="Arial"/>
                <w:sz w:val="14"/>
                <w:szCs w:val="14"/>
                <w:b w:val="1"/>
                <w:bCs w:val="1"/>
                <w:color w:val="FEFEFE"/>
              </w:rPr>
              <w:t>8</w:t>
            </w:r>
          </w:p>
        </w:tc>
        <w:tc>
          <w:tcPr>
            <w:tcW w:w="100" w:type="dxa"/>
            <w:vAlign w:val="bottom"/>
            <w:tcBorders>
              <w:bottom w:val="single" w:sz="8" w:color="62259D"/>
            </w:tcBorders>
            <w:shd w:val="clear" w:color="auto" w:fill="62259D"/>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0" w:type="dxa"/>
            <w:vAlign w:val="bottom"/>
            <w:shd w:val="clear" w:color="auto" w:fill="E7417A"/>
          </w:tcPr>
          <w:p>
            <w:pPr>
              <w:spacing w:after="0" w:line="20" w:lineRule="exact"/>
              <w:rPr>
                <w:sz w:val="1"/>
                <w:szCs w:val="1"/>
                <w:color w:val="auto"/>
              </w:rPr>
            </w:pPr>
          </w:p>
        </w:tc>
        <w:tc>
          <w:tcPr>
            <w:tcW w:w="1720" w:type="dxa"/>
            <w:vAlign w:val="bottom"/>
            <w:gridSpan w:val="2"/>
            <w:shd w:val="clear" w:color="auto" w:fill="E7417A"/>
          </w:tcPr>
          <w:p>
            <w:pPr>
              <w:spacing w:after="0" w:line="20" w:lineRule="exact"/>
              <w:rPr>
                <w:sz w:val="1"/>
                <w:szCs w:val="1"/>
                <w:color w:val="auto"/>
              </w:rPr>
            </w:pPr>
          </w:p>
        </w:tc>
        <w:tc>
          <w:tcPr>
            <w:tcW w:w="18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42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E7417A"/>
          </w:tcPr>
          <w:p>
            <w:pPr>
              <w:spacing w:after="0" w:line="20" w:lineRule="exact"/>
              <w:rPr>
                <w:sz w:val="1"/>
                <w:szCs w:val="1"/>
                <w:color w:val="auto"/>
              </w:rPr>
            </w:pPr>
          </w:p>
        </w:tc>
        <w:tc>
          <w:tcPr>
            <w:tcW w:w="460" w:type="dxa"/>
            <w:vAlign w:val="bottom"/>
            <w:shd w:val="clear" w:color="auto" w:fill="E7417A"/>
          </w:tcPr>
          <w:p>
            <w:pPr>
              <w:spacing w:after="0" w:line="20" w:lineRule="exact"/>
              <w:rPr>
                <w:sz w:val="1"/>
                <w:szCs w:val="1"/>
                <w:color w:val="auto"/>
              </w:rPr>
            </w:pPr>
          </w:p>
        </w:tc>
        <w:tc>
          <w:tcPr>
            <w:tcW w:w="1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E7417A"/>
          </w:tcPr>
          <w:p>
            <w:pPr>
              <w:spacing w:after="0" w:line="20" w:lineRule="exact"/>
              <w:rPr>
                <w:sz w:val="1"/>
                <w:szCs w:val="1"/>
                <w:color w:val="auto"/>
              </w:rPr>
            </w:pPr>
          </w:p>
        </w:tc>
        <w:tc>
          <w:tcPr>
            <w:tcW w:w="440" w:type="dxa"/>
            <w:vAlign w:val="bottom"/>
            <w:shd w:val="clear" w:color="auto" w:fill="E7417A"/>
          </w:tcPr>
          <w:p>
            <w:pPr>
              <w:spacing w:after="0" w:line="20" w:lineRule="exact"/>
              <w:rPr>
                <w:sz w:val="1"/>
                <w:szCs w:val="1"/>
                <w:color w:val="auto"/>
              </w:rPr>
            </w:pPr>
          </w:p>
        </w:tc>
        <w:tc>
          <w:tcPr>
            <w:tcW w:w="26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40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42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60" w:type="dxa"/>
            <w:vAlign w:val="bottom"/>
            <w:shd w:val="clear" w:color="auto" w:fill="E7417A"/>
          </w:tcPr>
          <w:p>
            <w:pPr>
              <w:spacing w:after="0" w:line="20" w:lineRule="exact"/>
              <w:rPr>
                <w:sz w:val="1"/>
                <w:szCs w:val="1"/>
                <w:color w:val="auto"/>
              </w:rPr>
            </w:pPr>
          </w:p>
        </w:tc>
        <w:tc>
          <w:tcPr>
            <w:tcW w:w="220" w:type="dxa"/>
            <w:vAlign w:val="bottom"/>
            <w:tcBorders>
              <w:right w:val="single" w:sz="8" w:color="FEFEFE"/>
            </w:tcBorders>
            <w:shd w:val="clear" w:color="auto" w:fill="E7417A"/>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0" w:type="dxa"/>
            <w:vAlign w:val="bottom"/>
          </w:tcPr>
          <w:p>
            <w:pPr>
              <w:spacing w:after="0"/>
              <w:rPr>
                <w:sz w:val="24"/>
                <w:szCs w:val="24"/>
                <w:color w:val="auto"/>
              </w:rPr>
            </w:pPr>
          </w:p>
        </w:tc>
        <w:tc>
          <w:tcPr>
            <w:tcW w:w="1720" w:type="dxa"/>
            <w:vAlign w:val="bottom"/>
            <w:gridSpan w:val="2"/>
          </w:tcPr>
          <w:p>
            <w:pPr>
              <w:ind w:left="440"/>
              <w:spacing w:after="0"/>
              <w:rPr>
                <w:sz w:val="20"/>
                <w:szCs w:val="20"/>
                <w:color w:val="auto"/>
              </w:rPr>
            </w:pPr>
            <w:r>
              <w:rPr>
                <w:rFonts w:ascii="Arial" w:cs="Arial" w:eastAsia="Arial" w:hAnsi="Arial"/>
                <w:sz w:val="13"/>
                <w:szCs w:val="13"/>
                <w:color w:val="auto"/>
                <w:w w:val="71"/>
              </w:rPr>
              <w:t>​</w:t>
            </w:r>
            <w:r>
              <w:rPr>
                <w:rFonts w:ascii="Arial" w:cs="Arial" w:eastAsia="Arial" w:hAnsi="Arial"/>
                <w:sz w:val="22"/>
                <w:szCs w:val="22"/>
                <w:color w:val="auto"/>
                <w:w w:val="71"/>
                <w:vertAlign w:val="subscript"/>
              </w:rPr>
              <w:t>governance</w:t>
            </w:r>
            <w:r>
              <w:rPr>
                <w:rFonts w:ascii="Arial" w:cs="Arial" w:eastAsia="Arial" w:hAnsi="Arial"/>
                <w:sz w:val="22"/>
                <w:szCs w:val="22"/>
                <w:color w:val="auto"/>
                <w:w w:val="71"/>
                <w:vertAlign w:val="superscript"/>
              </w:rPr>
              <w:t>Sustainability &amp;</w:t>
            </w:r>
          </w:p>
        </w:tc>
        <w:tc>
          <w:tcPr>
            <w:tcW w:w="420" w:type="dxa"/>
            <w:vAlign w:val="bottom"/>
            <w:gridSpan w:val="3"/>
          </w:tcPr>
          <w:p>
            <w:pPr>
              <w:ind w:left="160"/>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24"/>
                <w:szCs w:val="24"/>
                <w:color w:val="auto"/>
              </w:rPr>
            </w:pPr>
          </w:p>
        </w:tc>
        <w:tc>
          <w:tcPr>
            <w:tcW w:w="340" w:type="dxa"/>
            <w:vAlign w:val="bottom"/>
            <w:gridSpan w:val="3"/>
          </w:tcPr>
          <w:p>
            <w:pPr>
              <w:ind w:left="4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24"/>
                <w:szCs w:val="24"/>
                <w:color w:val="auto"/>
              </w:rPr>
            </w:pPr>
          </w:p>
        </w:tc>
        <w:tc>
          <w:tcPr>
            <w:tcW w:w="2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380" w:type="dxa"/>
            <w:vAlign w:val="bottom"/>
          </w:tcPr>
          <w:p>
            <w:pPr>
              <w:ind w:left="40"/>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1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00" w:type="dxa"/>
            <w:vAlign w:val="bottom"/>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ind w:left="200"/>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400" w:type="dxa"/>
            <w:vAlign w:val="bottom"/>
          </w:tcPr>
          <w:p>
            <w:pPr>
              <w:ind w:left="140"/>
              <w:spacing w:after="0"/>
              <w:rPr>
                <w:sz w:val="20"/>
                <w:szCs w:val="20"/>
                <w:color w:val="auto"/>
              </w:rPr>
            </w:pPr>
            <w:r>
              <w:rPr>
                <w:rFonts w:ascii="Arial" w:cs="Arial" w:eastAsia="Arial" w:hAnsi="Arial"/>
                <w:sz w:val="14"/>
                <w:szCs w:val="14"/>
                <w:color w:val="auto"/>
              </w:rPr>
              <w:t>​</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220" w:type="dxa"/>
            <w:vAlign w:val="bottom"/>
          </w:tcPr>
          <w:p>
            <w:pPr>
              <w:ind w:lef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62259D"/>
          </w:tcPr>
          <w:p>
            <w:pPr>
              <w:ind w:left="40"/>
              <w:spacing w:after="0"/>
              <w:rPr>
                <w:sz w:val="20"/>
                <w:szCs w:val="20"/>
                <w:color w:val="auto"/>
              </w:rPr>
            </w:pPr>
            <w:r>
              <w:rPr>
                <w:rFonts w:ascii="Arial" w:cs="Arial" w:eastAsia="Arial" w:hAnsi="Arial"/>
                <w:sz w:val="14"/>
                <w:szCs w:val="14"/>
                <w:color w:val="auto"/>
              </w:rPr>
              <w:t>​</w:t>
            </w:r>
          </w:p>
        </w:tc>
        <w:tc>
          <w:tcPr>
            <w:tcW w:w="40" w:type="dxa"/>
            <w:vAlign w:val="bottom"/>
            <w:shd w:val="clear" w:color="auto" w:fill="62259D"/>
          </w:tcPr>
          <w:p>
            <w:pPr>
              <w:spacing w:after="0"/>
              <w:rPr>
                <w:sz w:val="24"/>
                <w:szCs w:val="24"/>
                <w:color w:val="auto"/>
              </w:rPr>
            </w:pPr>
          </w:p>
        </w:tc>
        <w:tc>
          <w:tcPr>
            <w:tcW w:w="180" w:type="dxa"/>
            <w:vAlign w:val="bottom"/>
            <w:shd w:val="clear" w:color="auto" w:fill="62259D"/>
          </w:tcPr>
          <w:p>
            <w:pPr>
              <w:jc w:val="right"/>
              <w:ind w:right="8"/>
              <w:spacing w:after="0"/>
              <w:rPr>
                <w:sz w:val="20"/>
                <w:szCs w:val="20"/>
                <w:color w:val="auto"/>
              </w:rPr>
            </w:pPr>
            <w:r>
              <w:rPr>
                <w:rFonts w:ascii="Arial" w:cs="Arial" w:eastAsia="Arial" w:hAnsi="Arial"/>
                <w:sz w:val="14"/>
                <w:szCs w:val="14"/>
                <w:b w:val="1"/>
                <w:bCs w:val="1"/>
                <w:color w:val="FEFEFE"/>
              </w:rPr>
              <w:t>6</w:t>
            </w:r>
          </w:p>
        </w:tc>
        <w:tc>
          <w:tcPr>
            <w:tcW w:w="100" w:type="dxa"/>
            <w:vAlign w:val="bottom"/>
            <w:shd w:val="clear" w:color="auto" w:fill="62259D"/>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0"/>
        </w:trPr>
        <w:tc>
          <w:tcPr>
            <w:tcW w:w="80" w:type="dxa"/>
            <w:vAlign w:val="bottom"/>
            <w:tcBorders>
              <w:bottom w:val="single" w:sz="8" w:color="E7417A"/>
            </w:tcBorders>
          </w:tcPr>
          <w:p>
            <w:pPr>
              <w:spacing w:after="0"/>
              <w:rPr>
                <w:sz w:val="8"/>
                <w:szCs w:val="8"/>
                <w:color w:val="auto"/>
              </w:rPr>
            </w:pPr>
          </w:p>
        </w:tc>
        <w:tc>
          <w:tcPr>
            <w:tcW w:w="1720" w:type="dxa"/>
            <w:vAlign w:val="bottom"/>
            <w:tcBorders>
              <w:bottom w:val="single" w:sz="8" w:color="E7417A"/>
            </w:tcBorders>
            <w:gridSpan w:val="2"/>
          </w:tcPr>
          <w:p>
            <w:pPr>
              <w:spacing w:after="0"/>
              <w:rPr>
                <w:sz w:val="8"/>
                <w:szCs w:val="8"/>
                <w:color w:val="auto"/>
              </w:rPr>
            </w:pPr>
          </w:p>
        </w:tc>
        <w:tc>
          <w:tcPr>
            <w:tcW w:w="180" w:type="dxa"/>
            <w:vAlign w:val="bottom"/>
            <w:tcBorders>
              <w:bottom w:val="single" w:sz="8" w:color="E7417A"/>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bottom w:val="single" w:sz="8" w:color="E7417A"/>
            </w:tcBorders>
          </w:tcPr>
          <w:p>
            <w:pPr>
              <w:spacing w:after="0"/>
              <w:rPr>
                <w:sz w:val="8"/>
                <w:szCs w:val="8"/>
                <w:color w:val="auto"/>
              </w:rPr>
            </w:pPr>
          </w:p>
        </w:tc>
        <w:tc>
          <w:tcPr>
            <w:tcW w:w="420" w:type="dxa"/>
            <w:vAlign w:val="bottom"/>
            <w:tcBorders>
              <w:bottom w:val="single" w:sz="8" w:color="E7417A"/>
            </w:tcBorders>
          </w:tcPr>
          <w:p>
            <w:pPr>
              <w:spacing w:after="0"/>
              <w:rPr>
                <w:sz w:val="8"/>
                <w:szCs w:val="8"/>
                <w:color w:val="auto"/>
              </w:rPr>
            </w:pPr>
          </w:p>
        </w:tc>
        <w:tc>
          <w:tcPr>
            <w:tcW w:w="8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E7417A"/>
            </w:tcBorders>
          </w:tcPr>
          <w:p>
            <w:pPr>
              <w:spacing w:after="0"/>
              <w:rPr>
                <w:sz w:val="8"/>
                <w:szCs w:val="8"/>
                <w:color w:val="auto"/>
              </w:rPr>
            </w:pPr>
          </w:p>
        </w:tc>
        <w:tc>
          <w:tcPr>
            <w:tcW w:w="340" w:type="dxa"/>
            <w:vAlign w:val="bottom"/>
            <w:tcBorders>
              <w:bottom w:val="single" w:sz="8" w:color="E7417A"/>
            </w:tcBorders>
          </w:tcPr>
          <w:p>
            <w:pPr>
              <w:spacing w:after="0"/>
              <w:rPr>
                <w:sz w:val="8"/>
                <w:szCs w:val="8"/>
                <w:color w:val="auto"/>
              </w:rPr>
            </w:pPr>
          </w:p>
        </w:tc>
        <w:tc>
          <w:tcPr>
            <w:tcW w:w="200" w:type="dxa"/>
            <w:vAlign w:val="bottom"/>
            <w:tcBorders>
              <w:bottom w:val="single" w:sz="8" w:color="E7417A"/>
            </w:tcBorders>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bottom w:val="single" w:sz="8" w:color="E7417A"/>
            </w:tcBorders>
          </w:tcPr>
          <w:p>
            <w:pPr>
              <w:spacing w:after="0"/>
              <w:rPr>
                <w:sz w:val="8"/>
                <w:szCs w:val="8"/>
                <w:color w:val="auto"/>
              </w:rPr>
            </w:pPr>
          </w:p>
        </w:tc>
        <w:tc>
          <w:tcPr>
            <w:tcW w:w="34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E7417A"/>
            </w:tcBorders>
          </w:tcPr>
          <w:p>
            <w:pPr>
              <w:spacing w:after="0"/>
              <w:rPr>
                <w:sz w:val="8"/>
                <w:szCs w:val="8"/>
                <w:color w:val="auto"/>
              </w:rPr>
            </w:pPr>
          </w:p>
        </w:tc>
        <w:tc>
          <w:tcPr>
            <w:tcW w:w="460" w:type="dxa"/>
            <w:vAlign w:val="bottom"/>
            <w:tcBorders>
              <w:bottom w:val="single" w:sz="8" w:color="E7417A"/>
            </w:tcBorders>
          </w:tcPr>
          <w:p>
            <w:pPr>
              <w:spacing w:after="0"/>
              <w:rPr>
                <w:sz w:val="8"/>
                <w:szCs w:val="8"/>
                <w:color w:val="auto"/>
              </w:rPr>
            </w:pPr>
          </w:p>
        </w:tc>
        <w:tc>
          <w:tcPr>
            <w:tcW w:w="14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E7417A"/>
            </w:tcBorders>
          </w:tcPr>
          <w:p>
            <w:pPr>
              <w:spacing w:after="0"/>
              <w:rPr>
                <w:sz w:val="8"/>
                <w:szCs w:val="8"/>
                <w:color w:val="auto"/>
              </w:rPr>
            </w:pPr>
          </w:p>
        </w:tc>
        <w:tc>
          <w:tcPr>
            <w:tcW w:w="440" w:type="dxa"/>
            <w:vAlign w:val="bottom"/>
            <w:tcBorders>
              <w:bottom w:val="single" w:sz="8" w:color="E7417A"/>
            </w:tcBorders>
          </w:tcPr>
          <w:p>
            <w:pPr>
              <w:spacing w:after="0"/>
              <w:rPr>
                <w:sz w:val="8"/>
                <w:szCs w:val="8"/>
                <w:color w:val="auto"/>
              </w:rPr>
            </w:pPr>
          </w:p>
        </w:tc>
        <w:tc>
          <w:tcPr>
            <w:tcW w:w="26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E7417A"/>
            </w:tcBorders>
          </w:tcPr>
          <w:p>
            <w:pPr>
              <w:spacing w:after="0"/>
              <w:rPr>
                <w:sz w:val="8"/>
                <w:szCs w:val="8"/>
                <w:color w:val="auto"/>
              </w:rPr>
            </w:pPr>
          </w:p>
        </w:tc>
        <w:tc>
          <w:tcPr>
            <w:tcW w:w="400" w:type="dxa"/>
            <w:vAlign w:val="bottom"/>
            <w:tcBorders>
              <w:bottom w:val="single" w:sz="8" w:color="E7417A"/>
            </w:tcBorders>
          </w:tcPr>
          <w:p>
            <w:pPr>
              <w:spacing w:after="0"/>
              <w:rPr>
                <w:sz w:val="8"/>
                <w:szCs w:val="8"/>
                <w:color w:val="auto"/>
              </w:rPr>
            </w:pPr>
          </w:p>
        </w:tc>
        <w:tc>
          <w:tcPr>
            <w:tcW w:w="100" w:type="dxa"/>
            <w:vAlign w:val="bottom"/>
            <w:tcBorders>
              <w:bottom w:val="single" w:sz="8" w:color="E7417A"/>
            </w:tcBorders>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bottom w:val="single" w:sz="8" w:color="E7417A"/>
            </w:tcBorders>
          </w:tcPr>
          <w:p>
            <w:pPr>
              <w:spacing w:after="0"/>
              <w:rPr>
                <w:sz w:val="8"/>
                <w:szCs w:val="8"/>
                <w:color w:val="auto"/>
              </w:rPr>
            </w:pPr>
          </w:p>
        </w:tc>
        <w:tc>
          <w:tcPr>
            <w:tcW w:w="420" w:type="dxa"/>
            <w:vAlign w:val="bottom"/>
            <w:tcBorders>
              <w:bottom w:val="single" w:sz="8" w:color="E7417A"/>
            </w:tcBorders>
          </w:tcPr>
          <w:p>
            <w:pPr>
              <w:spacing w:after="0"/>
              <w:rPr>
                <w:sz w:val="8"/>
                <w:szCs w:val="8"/>
                <w:color w:val="auto"/>
              </w:rPr>
            </w:pPr>
          </w:p>
        </w:tc>
        <w:tc>
          <w:tcPr>
            <w:tcW w:w="10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E7417A"/>
            </w:tcBorders>
          </w:tcPr>
          <w:p>
            <w:pPr>
              <w:spacing w:after="0"/>
              <w:rPr>
                <w:sz w:val="8"/>
                <w:szCs w:val="8"/>
                <w:color w:val="auto"/>
              </w:rPr>
            </w:pPr>
          </w:p>
        </w:tc>
        <w:tc>
          <w:tcPr>
            <w:tcW w:w="360" w:type="dxa"/>
            <w:vAlign w:val="bottom"/>
            <w:tcBorders>
              <w:bottom w:val="single" w:sz="8" w:color="E7417A"/>
            </w:tcBorders>
          </w:tcPr>
          <w:p>
            <w:pPr>
              <w:spacing w:after="0"/>
              <w:rPr>
                <w:sz w:val="8"/>
                <w:szCs w:val="8"/>
                <w:color w:val="auto"/>
              </w:rPr>
            </w:pPr>
          </w:p>
        </w:tc>
        <w:tc>
          <w:tcPr>
            <w:tcW w:w="220" w:type="dxa"/>
            <w:vAlign w:val="bottom"/>
            <w:tcBorders>
              <w:bottom w:val="single" w:sz="8" w:color="E7417A"/>
            </w:tcBorders>
          </w:tcPr>
          <w:p>
            <w:pPr>
              <w:spacing w:after="0"/>
              <w:rPr>
                <w:sz w:val="8"/>
                <w:szCs w:val="8"/>
                <w:color w:val="auto"/>
              </w:rPr>
            </w:pPr>
          </w:p>
        </w:tc>
        <w:tc>
          <w:tcPr>
            <w:tcW w:w="80" w:type="dxa"/>
            <w:vAlign w:val="bottom"/>
            <w:tcBorders>
              <w:bottom w:val="single" w:sz="8" w:color="FEFEFE"/>
            </w:tcBorders>
            <w:shd w:val="clear" w:color="auto" w:fill="62259D"/>
          </w:tcPr>
          <w:p>
            <w:pPr>
              <w:spacing w:after="0"/>
              <w:rPr>
                <w:sz w:val="8"/>
                <w:szCs w:val="8"/>
                <w:color w:val="auto"/>
              </w:rPr>
            </w:pPr>
          </w:p>
        </w:tc>
        <w:tc>
          <w:tcPr>
            <w:tcW w:w="40" w:type="dxa"/>
            <w:vAlign w:val="bottom"/>
            <w:tcBorders>
              <w:bottom w:val="single" w:sz="8" w:color="FEFEFE"/>
            </w:tcBorders>
            <w:shd w:val="clear" w:color="auto" w:fill="62259D"/>
          </w:tcPr>
          <w:p>
            <w:pPr>
              <w:spacing w:after="0"/>
              <w:rPr>
                <w:sz w:val="8"/>
                <w:szCs w:val="8"/>
                <w:color w:val="auto"/>
              </w:rPr>
            </w:pPr>
          </w:p>
        </w:tc>
        <w:tc>
          <w:tcPr>
            <w:tcW w:w="180" w:type="dxa"/>
            <w:vAlign w:val="bottom"/>
            <w:tcBorders>
              <w:bottom w:val="single" w:sz="8" w:color="FEFEFE"/>
            </w:tcBorders>
            <w:shd w:val="clear" w:color="auto" w:fill="62259D"/>
          </w:tcPr>
          <w:p>
            <w:pPr>
              <w:spacing w:after="0"/>
              <w:rPr>
                <w:sz w:val="8"/>
                <w:szCs w:val="8"/>
                <w:color w:val="auto"/>
              </w:rPr>
            </w:pPr>
          </w:p>
        </w:tc>
        <w:tc>
          <w:tcPr>
            <w:tcW w:w="100" w:type="dxa"/>
            <w:vAlign w:val="bottom"/>
            <w:tcBorders>
              <w:bottom w:val="single" w:sz="8" w:color="FEFEFE"/>
            </w:tcBorders>
            <w:shd w:val="clear" w:color="auto" w:fill="62259D"/>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Financial industry,</w:t>
            </w:r>
          </w:p>
        </w:tc>
        <w:tc>
          <w:tcPr>
            <w:tcW w:w="420" w:type="dxa"/>
            <w:vAlign w:val="bottom"/>
            <w:gridSpan w:val="3"/>
            <w:vMerge w:val="restart"/>
          </w:tcPr>
          <w:p>
            <w:pPr>
              <w:ind w:left="160"/>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17"/>
                <w:szCs w:val="17"/>
                <w:color w:val="auto"/>
              </w:rPr>
            </w:pPr>
          </w:p>
        </w:tc>
        <w:tc>
          <w:tcPr>
            <w:tcW w:w="340" w:type="dxa"/>
            <w:vAlign w:val="bottom"/>
            <w:gridSpan w:val="3"/>
            <w:vMerge w:val="restart"/>
          </w:tcPr>
          <w:p>
            <w:pPr>
              <w:ind w:left="4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17"/>
                <w:szCs w:val="17"/>
                <w:color w:val="auto"/>
              </w:rPr>
            </w:pPr>
          </w:p>
        </w:tc>
        <w:tc>
          <w:tcPr>
            <w:tcW w:w="24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6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ind w:left="220"/>
              <w:spacing w:after="0"/>
              <w:rPr>
                <w:sz w:val="20"/>
                <w:szCs w:val="20"/>
                <w:color w:val="auto"/>
              </w:rPr>
            </w:pPr>
            <w:r>
              <w:rPr>
                <w:rFonts w:ascii="Arial" w:cs="Arial" w:eastAsia="Arial" w:hAnsi="Arial"/>
                <w:sz w:val="14"/>
                <w:szCs w:val="14"/>
                <w:color w:val="auto"/>
              </w:rPr>
              <w:t>​</w:t>
            </w:r>
          </w:p>
        </w:tc>
        <w:tc>
          <w:tcPr>
            <w:tcW w:w="16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280" w:type="dxa"/>
            <w:vAlign w:val="bottom"/>
            <w:gridSpan w:val="2"/>
            <w:vMerge w:val="restart"/>
          </w:tcPr>
          <w:p>
            <w:pPr>
              <w:ind w:left="22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2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22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62259D"/>
          </w:tcPr>
          <w:p>
            <w:pPr>
              <w:ind w:left="40"/>
              <w:spacing w:after="0"/>
              <w:rPr>
                <w:sz w:val="20"/>
                <w:szCs w:val="20"/>
                <w:color w:val="auto"/>
              </w:rPr>
            </w:pPr>
            <w:r>
              <w:rPr>
                <w:rFonts w:ascii="Arial" w:cs="Arial" w:eastAsia="Arial" w:hAnsi="Arial"/>
                <w:sz w:val="14"/>
                <w:szCs w:val="14"/>
                <w:color w:val="auto"/>
              </w:rPr>
              <w:t>​</w:t>
            </w:r>
          </w:p>
        </w:tc>
        <w:tc>
          <w:tcPr>
            <w:tcW w:w="40" w:type="dxa"/>
            <w:vAlign w:val="bottom"/>
            <w:shd w:val="clear" w:color="auto" w:fill="62259D"/>
          </w:tcPr>
          <w:p>
            <w:pPr>
              <w:spacing w:after="0"/>
              <w:rPr>
                <w:sz w:val="17"/>
                <w:szCs w:val="17"/>
                <w:color w:val="auto"/>
              </w:rPr>
            </w:pPr>
          </w:p>
        </w:tc>
        <w:tc>
          <w:tcPr>
            <w:tcW w:w="180" w:type="dxa"/>
            <w:vAlign w:val="bottom"/>
            <w:vMerge w:val="restart"/>
            <w:shd w:val="clear" w:color="auto" w:fill="62259D"/>
          </w:tcPr>
          <w:p>
            <w:pPr>
              <w:jc w:val="right"/>
              <w:ind w:right="8"/>
              <w:spacing w:after="0"/>
              <w:rPr>
                <w:sz w:val="20"/>
                <w:szCs w:val="20"/>
                <w:color w:val="auto"/>
              </w:rPr>
            </w:pPr>
            <w:r>
              <w:rPr>
                <w:rFonts w:ascii="Arial" w:cs="Arial" w:eastAsia="Arial" w:hAnsi="Arial"/>
                <w:sz w:val="14"/>
                <w:szCs w:val="14"/>
                <w:b w:val="1"/>
                <w:bCs w:val="1"/>
                <w:color w:val="FEFEFE"/>
              </w:rPr>
              <w:t>7</w:t>
            </w:r>
          </w:p>
        </w:tc>
        <w:tc>
          <w:tcPr>
            <w:tcW w:w="100" w:type="dxa"/>
            <w:vAlign w:val="bottom"/>
            <w:vMerge w:val="restart"/>
            <w:shd w:val="clear" w:color="auto" w:fill="62259D"/>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1720" w:type="dxa"/>
            <w:vAlign w:val="bottom"/>
            <w:gridSpan w:val="2"/>
          </w:tcPr>
          <w:p>
            <w:pPr>
              <w:ind w:left="440"/>
              <w:spacing w:after="0" w:line="28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3"/>
                <w:szCs w:val="13"/>
                <w:color w:val="auto"/>
              </w:rPr>
              <w:t>investments, M&amp;A</w:t>
            </w:r>
          </w:p>
        </w:tc>
        <w:tc>
          <w:tcPr>
            <w:tcW w:w="42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160" w:type="dxa"/>
            <w:vAlign w:val="bottom"/>
            <w:gridSpan w:val="2"/>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gridSpan w:val="2"/>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gridSpan w:val="2"/>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80" w:type="dxa"/>
            <w:vAlign w:val="bottom"/>
            <w:vMerge w:val="continue"/>
            <w:shd w:val="clear" w:color="auto" w:fill="62259D"/>
          </w:tcPr>
          <w:p>
            <w:pPr>
              <w:spacing w:after="0"/>
              <w:rPr>
                <w:sz w:val="24"/>
                <w:szCs w:val="24"/>
                <w:color w:val="auto"/>
              </w:rPr>
            </w:pPr>
          </w:p>
        </w:tc>
        <w:tc>
          <w:tcPr>
            <w:tcW w:w="40" w:type="dxa"/>
            <w:vAlign w:val="bottom"/>
            <w:shd w:val="clear" w:color="auto" w:fill="62259D"/>
          </w:tcPr>
          <w:p>
            <w:pPr>
              <w:spacing w:after="0"/>
              <w:rPr>
                <w:sz w:val="24"/>
                <w:szCs w:val="24"/>
                <w:color w:val="auto"/>
              </w:rPr>
            </w:pPr>
          </w:p>
        </w:tc>
        <w:tc>
          <w:tcPr>
            <w:tcW w:w="180" w:type="dxa"/>
            <w:vAlign w:val="bottom"/>
            <w:vMerge w:val="continue"/>
            <w:shd w:val="clear" w:color="auto" w:fill="62259D"/>
          </w:tcPr>
          <w:p>
            <w:pPr>
              <w:spacing w:after="0"/>
              <w:rPr>
                <w:sz w:val="24"/>
                <w:szCs w:val="24"/>
                <w:color w:val="auto"/>
              </w:rPr>
            </w:pPr>
          </w:p>
        </w:tc>
        <w:tc>
          <w:tcPr>
            <w:tcW w:w="100" w:type="dxa"/>
            <w:vAlign w:val="bottom"/>
            <w:vMerge w:val="continue"/>
            <w:shd w:val="clear" w:color="auto" w:fill="62259D"/>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E7417A"/>
          </w:tcPr>
          <w:p>
            <w:pPr>
              <w:spacing w:after="0" w:line="20" w:lineRule="exact"/>
              <w:rPr>
                <w:sz w:val="1"/>
                <w:szCs w:val="1"/>
                <w:color w:val="auto"/>
              </w:rPr>
            </w:pPr>
          </w:p>
        </w:tc>
        <w:tc>
          <w:tcPr>
            <w:tcW w:w="1720" w:type="dxa"/>
            <w:vAlign w:val="bottom"/>
            <w:gridSpan w:val="2"/>
            <w:shd w:val="clear" w:color="auto" w:fill="E7417A"/>
          </w:tcPr>
          <w:p>
            <w:pPr>
              <w:spacing w:after="0" w:line="20" w:lineRule="exact"/>
              <w:rPr>
                <w:sz w:val="1"/>
                <w:szCs w:val="1"/>
                <w:color w:val="auto"/>
              </w:rPr>
            </w:pPr>
          </w:p>
        </w:tc>
        <w:tc>
          <w:tcPr>
            <w:tcW w:w="18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42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E7417A"/>
          </w:tcPr>
          <w:p>
            <w:pPr>
              <w:spacing w:after="0" w:line="20" w:lineRule="exact"/>
              <w:rPr>
                <w:sz w:val="1"/>
                <w:szCs w:val="1"/>
                <w:color w:val="auto"/>
              </w:rPr>
            </w:pPr>
          </w:p>
        </w:tc>
        <w:tc>
          <w:tcPr>
            <w:tcW w:w="460" w:type="dxa"/>
            <w:vAlign w:val="bottom"/>
            <w:shd w:val="clear" w:color="auto" w:fill="E7417A"/>
          </w:tcPr>
          <w:p>
            <w:pPr>
              <w:spacing w:after="0" w:line="20" w:lineRule="exact"/>
              <w:rPr>
                <w:sz w:val="1"/>
                <w:szCs w:val="1"/>
                <w:color w:val="auto"/>
              </w:rPr>
            </w:pPr>
          </w:p>
        </w:tc>
        <w:tc>
          <w:tcPr>
            <w:tcW w:w="1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E7417A"/>
          </w:tcPr>
          <w:p>
            <w:pPr>
              <w:spacing w:after="0" w:line="20" w:lineRule="exact"/>
              <w:rPr>
                <w:sz w:val="1"/>
                <w:szCs w:val="1"/>
                <w:color w:val="auto"/>
              </w:rPr>
            </w:pPr>
          </w:p>
        </w:tc>
        <w:tc>
          <w:tcPr>
            <w:tcW w:w="440" w:type="dxa"/>
            <w:vAlign w:val="bottom"/>
            <w:shd w:val="clear" w:color="auto" w:fill="E7417A"/>
          </w:tcPr>
          <w:p>
            <w:pPr>
              <w:spacing w:after="0" w:line="20" w:lineRule="exact"/>
              <w:rPr>
                <w:sz w:val="1"/>
                <w:szCs w:val="1"/>
                <w:color w:val="auto"/>
              </w:rPr>
            </w:pPr>
          </w:p>
        </w:tc>
        <w:tc>
          <w:tcPr>
            <w:tcW w:w="26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40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42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60" w:type="dxa"/>
            <w:vAlign w:val="bottom"/>
            <w:shd w:val="clear" w:color="auto" w:fill="E7417A"/>
          </w:tcPr>
          <w:p>
            <w:pPr>
              <w:spacing w:after="0" w:line="20" w:lineRule="exact"/>
              <w:rPr>
                <w:sz w:val="1"/>
                <w:szCs w:val="1"/>
                <w:color w:val="auto"/>
              </w:rPr>
            </w:pPr>
          </w:p>
        </w:tc>
        <w:tc>
          <w:tcPr>
            <w:tcW w:w="220" w:type="dxa"/>
            <w:vAlign w:val="bottom"/>
            <w:tcBorders>
              <w:right w:val="single" w:sz="8" w:color="FEFEFE"/>
            </w:tcBorders>
            <w:shd w:val="clear" w:color="auto" w:fill="E7417A"/>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0" w:type="dxa"/>
            <w:vAlign w:val="bottom"/>
          </w:tcPr>
          <w:p>
            <w:pPr>
              <w:spacing w:after="0"/>
              <w:rPr>
                <w:sz w:val="24"/>
                <w:szCs w:val="24"/>
                <w:color w:val="auto"/>
              </w:rPr>
            </w:pPr>
          </w:p>
        </w:tc>
        <w:tc>
          <w:tcPr>
            <w:tcW w:w="1720" w:type="dxa"/>
            <w:vAlign w:val="bottom"/>
            <w:gridSpan w:val="2"/>
          </w:tcPr>
          <w:p>
            <w:pPr>
              <w:ind w:left="4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3"/>
                <w:szCs w:val="13"/>
                <w:color w:val="auto"/>
              </w:rPr>
              <w:t>Global business</w:t>
            </w:r>
          </w:p>
        </w:tc>
        <w:tc>
          <w:tcPr>
            <w:tcW w:w="420" w:type="dxa"/>
            <w:vAlign w:val="bottom"/>
            <w:gridSpan w:val="3"/>
          </w:tcPr>
          <w:p>
            <w:pPr>
              <w:ind w:left="160"/>
              <w:spacing w:after="0"/>
              <w:rPr>
                <w:sz w:val="20"/>
                <w:szCs w:val="20"/>
                <w:color w:val="auto"/>
              </w:rPr>
            </w:pPr>
            <w:r>
              <w:rPr>
                <w:rFonts w:ascii="Arial" w:cs="Arial" w:eastAsia="Arial" w:hAnsi="Arial"/>
                <w:sz w:val="14"/>
                <w:szCs w:val="14"/>
                <w:color w:val="auto"/>
              </w:rPr>
              <w:t>​ ​</w:t>
            </w:r>
          </w:p>
        </w:tc>
        <w:tc>
          <w:tcPr>
            <w:tcW w:w="420" w:type="dxa"/>
            <w:vAlign w:val="bottom"/>
          </w:tcPr>
          <w:p>
            <w:pPr>
              <w:ind w:left="140"/>
              <w:spacing w:after="0"/>
              <w:rPr>
                <w:sz w:val="20"/>
                <w:szCs w:val="20"/>
                <w:color w:val="auto"/>
              </w:rPr>
            </w:pPr>
            <w:r>
              <w:rPr>
                <w:rFonts w:ascii="Arial" w:cs="Arial" w:eastAsia="Arial" w:hAnsi="Arial"/>
                <w:sz w:val="14"/>
                <w:szCs w:val="14"/>
                <w:color w:val="auto"/>
              </w:rPr>
              <w:t>​</w:t>
            </w:r>
          </w:p>
        </w:tc>
        <w:tc>
          <w:tcPr>
            <w:tcW w:w="340" w:type="dxa"/>
            <w:vAlign w:val="bottom"/>
            <w:gridSpan w:val="3"/>
          </w:tcPr>
          <w:p>
            <w:pPr>
              <w:ind w:left="40"/>
              <w:spacing w:after="0"/>
              <w:rPr>
                <w:sz w:val="20"/>
                <w:szCs w:val="20"/>
                <w:color w:val="auto"/>
              </w:rPr>
            </w:pPr>
            <w:r>
              <w:rPr>
                <w:rFonts w:ascii="Arial" w:cs="Arial" w:eastAsia="Arial" w:hAnsi="Arial"/>
                <w:sz w:val="14"/>
                <w:szCs w:val="14"/>
                <w:color w:val="auto"/>
              </w:rPr>
              <w:t>​ ​</w:t>
            </w:r>
          </w:p>
        </w:tc>
        <w:tc>
          <w:tcPr>
            <w:tcW w:w="340" w:type="dxa"/>
            <w:vAlign w:val="bottom"/>
          </w:tcPr>
          <w:p>
            <w:pPr>
              <w:jc w:val="center"/>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380" w:type="dxa"/>
            <w:vAlign w:val="bottom"/>
          </w:tcPr>
          <w:p>
            <w:pPr>
              <w:ind w:left="40"/>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220"/>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00" w:type="dxa"/>
            <w:vAlign w:val="bottom"/>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2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220" w:type="dxa"/>
            <w:vAlign w:val="bottom"/>
          </w:tcPr>
          <w:p>
            <w:pPr>
              <w:ind w:lef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62259D"/>
          </w:tcPr>
          <w:p>
            <w:pPr>
              <w:ind w:left="40"/>
              <w:spacing w:after="0"/>
              <w:rPr>
                <w:sz w:val="20"/>
                <w:szCs w:val="20"/>
                <w:color w:val="auto"/>
              </w:rPr>
            </w:pPr>
            <w:r>
              <w:rPr>
                <w:rFonts w:ascii="Arial" w:cs="Arial" w:eastAsia="Arial" w:hAnsi="Arial"/>
                <w:sz w:val="14"/>
                <w:szCs w:val="14"/>
                <w:color w:val="auto"/>
              </w:rPr>
              <w:t>​</w:t>
            </w:r>
          </w:p>
        </w:tc>
        <w:tc>
          <w:tcPr>
            <w:tcW w:w="40" w:type="dxa"/>
            <w:vAlign w:val="bottom"/>
            <w:shd w:val="clear" w:color="auto" w:fill="62259D"/>
          </w:tcPr>
          <w:p>
            <w:pPr>
              <w:spacing w:after="0"/>
              <w:rPr>
                <w:sz w:val="24"/>
                <w:szCs w:val="24"/>
                <w:color w:val="auto"/>
              </w:rPr>
            </w:pPr>
          </w:p>
        </w:tc>
        <w:tc>
          <w:tcPr>
            <w:tcW w:w="180" w:type="dxa"/>
            <w:vAlign w:val="bottom"/>
            <w:shd w:val="clear" w:color="auto" w:fill="62259D"/>
          </w:tcPr>
          <w:p>
            <w:pPr>
              <w:jc w:val="right"/>
              <w:ind w:right="8"/>
              <w:spacing w:after="0"/>
              <w:rPr>
                <w:sz w:val="20"/>
                <w:szCs w:val="20"/>
                <w:color w:val="auto"/>
              </w:rPr>
            </w:pPr>
            <w:r>
              <w:rPr>
                <w:rFonts w:ascii="Arial" w:cs="Arial" w:eastAsia="Arial" w:hAnsi="Arial"/>
                <w:sz w:val="14"/>
                <w:szCs w:val="14"/>
                <w:b w:val="1"/>
                <w:bCs w:val="1"/>
                <w:color w:val="FEFEFE"/>
              </w:rPr>
              <w:t>5</w:t>
            </w:r>
          </w:p>
        </w:tc>
        <w:tc>
          <w:tcPr>
            <w:tcW w:w="100" w:type="dxa"/>
            <w:vAlign w:val="bottom"/>
            <w:shd w:val="clear" w:color="auto" w:fill="62259D"/>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80" w:type="dxa"/>
            <w:vAlign w:val="bottom"/>
            <w:tcBorders>
              <w:bottom w:val="single" w:sz="8" w:color="E7417A"/>
            </w:tcBorders>
          </w:tcPr>
          <w:p>
            <w:pPr>
              <w:spacing w:after="0"/>
              <w:rPr>
                <w:sz w:val="6"/>
                <w:szCs w:val="6"/>
                <w:color w:val="auto"/>
              </w:rPr>
            </w:pPr>
          </w:p>
        </w:tc>
        <w:tc>
          <w:tcPr>
            <w:tcW w:w="1720" w:type="dxa"/>
            <w:vAlign w:val="bottom"/>
            <w:tcBorders>
              <w:bottom w:val="single" w:sz="8" w:color="E7417A"/>
            </w:tcBorders>
            <w:gridSpan w:val="2"/>
          </w:tcPr>
          <w:p>
            <w:pPr>
              <w:spacing w:after="0"/>
              <w:rPr>
                <w:sz w:val="6"/>
                <w:szCs w:val="6"/>
                <w:color w:val="auto"/>
              </w:rPr>
            </w:pPr>
          </w:p>
        </w:tc>
        <w:tc>
          <w:tcPr>
            <w:tcW w:w="180" w:type="dxa"/>
            <w:vAlign w:val="bottom"/>
            <w:tcBorders>
              <w:bottom w:val="single" w:sz="8" w:color="E7417A"/>
            </w:tcBorders>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Borders>
              <w:bottom w:val="single" w:sz="8" w:color="E7417A"/>
            </w:tcBorders>
          </w:tcPr>
          <w:p>
            <w:pPr>
              <w:spacing w:after="0"/>
              <w:rPr>
                <w:sz w:val="6"/>
                <w:szCs w:val="6"/>
                <w:color w:val="auto"/>
              </w:rPr>
            </w:pPr>
          </w:p>
        </w:tc>
        <w:tc>
          <w:tcPr>
            <w:tcW w:w="420" w:type="dxa"/>
            <w:vAlign w:val="bottom"/>
            <w:tcBorders>
              <w:bottom w:val="single" w:sz="8" w:color="E7417A"/>
            </w:tcBorders>
          </w:tcPr>
          <w:p>
            <w:pPr>
              <w:spacing w:after="0"/>
              <w:rPr>
                <w:sz w:val="6"/>
                <w:szCs w:val="6"/>
                <w:color w:val="auto"/>
              </w:rPr>
            </w:pPr>
          </w:p>
        </w:tc>
        <w:tc>
          <w:tcPr>
            <w:tcW w:w="80" w:type="dxa"/>
            <w:vAlign w:val="bottom"/>
            <w:tcBorders>
              <w:bottom w:val="single" w:sz="8" w:color="E7417A"/>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bottom w:val="single" w:sz="8" w:color="E7417A"/>
            </w:tcBorders>
          </w:tcPr>
          <w:p>
            <w:pPr>
              <w:spacing w:after="0"/>
              <w:rPr>
                <w:sz w:val="6"/>
                <w:szCs w:val="6"/>
                <w:color w:val="auto"/>
              </w:rPr>
            </w:pPr>
          </w:p>
        </w:tc>
        <w:tc>
          <w:tcPr>
            <w:tcW w:w="340" w:type="dxa"/>
            <w:vAlign w:val="bottom"/>
            <w:tcBorders>
              <w:bottom w:val="single" w:sz="8" w:color="E7417A"/>
            </w:tcBorders>
          </w:tcPr>
          <w:p>
            <w:pPr>
              <w:spacing w:after="0"/>
              <w:rPr>
                <w:sz w:val="6"/>
                <w:szCs w:val="6"/>
                <w:color w:val="auto"/>
              </w:rPr>
            </w:pPr>
          </w:p>
        </w:tc>
        <w:tc>
          <w:tcPr>
            <w:tcW w:w="200" w:type="dxa"/>
            <w:vAlign w:val="bottom"/>
            <w:tcBorders>
              <w:bottom w:val="single" w:sz="8" w:color="E7417A"/>
            </w:tcBorders>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Borders>
              <w:bottom w:val="single" w:sz="8" w:color="E7417A"/>
            </w:tcBorders>
          </w:tcPr>
          <w:p>
            <w:pPr>
              <w:spacing w:after="0"/>
              <w:rPr>
                <w:sz w:val="6"/>
                <w:szCs w:val="6"/>
                <w:color w:val="auto"/>
              </w:rPr>
            </w:pPr>
          </w:p>
        </w:tc>
        <w:tc>
          <w:tcPr>
            <w:tcW w:w="340" w:type="dxa"/>
            <w:vAlign w:val="bottom"/>
            <w:tcBorders>
              <w:bottom w:val="single" w:sz="8" w:color="E7417A"/>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bottom w:val="single" w:sz="8" w:color="E7417A"/>
            </w:tcBorders>
          </w:tcPr>
          <w:p>
            <w:pPr>
              <w:spacing w:after="0"/>
              <w:rPr>
                <w:sz w:val="6"/>
                <w:szCs w:val="6"/>
                <w:color w:val="auto"/>
              </w:rPr>
            </w:pPr>
          </w:p>
        </w:tc>
        <w:tc>
          <w:tcPr>
            <w:tcW w:w="460" w:type="dxa"/>
            <w:vAlign w:val="bottom"/>
            <w:tcBorders>
              <w:bottom w:val="single" w:sz="8" w:color="E7417A"/>
            </w:tcBorders>
          </w:tcPr>
          <w:p>
            <w:pPr>
              <w:spacing w:after="0"/>
              <w:rPr>
                <w:sz w:val="6"/>
                <w:szCs w:val="6"/>
                <w:color w:val="auto"/>
              </w:rPr>
            </w:pPr>
          </w:p>
        </w:tc>
        <w:tc>
          <w:tcPr>
            <w:tcW w:w="140" w:type="dxa"/>
            <w:vAlign w:val="bottom"/>
            <w:tcBorders>
              <w:bottom w:val="single" w:sz="8" w:color="E7417A"/>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bottom w:val="single" w:sz="8" w:color="E7417A"/>
            </w:tcBorders>
          </w:tcPr>
          <w:p>
            <w:pPr>
              <w:spacing w:after="0"/>
              <w:rPr>
                <w:sz w:val="6"/>
                <w:szCs w:val="6"/>
                <w:color w:val="auto"/>
              </w:rPr>
            </w:pPr>
          </w:p>
        </w:tc>
        <w:tc>
          <w:tcPr>
            <w:tcW w:w="440" w:type="dxa"/>
            <w:vAlign w:val="bottom"/>
            <w:tcBorders>
              <w:bottom w:val="single" w:sz="8" w:color="E7417A"/>
            </w:tcBorders>
          </w:tcPr>
          <w:p>
            <w:pPr>
              <w:spacing w:after="0"/>
              <w:rPr>
                <w:sz w:val="6"/>
                <w:szCs w:val="6"/>
                <w:color w:val="auto"/>
              </w:rPr>
            </w:pPr>
          </w:p>
        </w:tc>
        <w:tc>
          <w:tcPr>
            <w:tcW w:w="260" w:type="dxa"/>
            <w:vAlign w:val="bottom"/>
            <w:tcBorders>
              <w:bottom w:val="single" w:sz="8" w:color="E7417A"/>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bottom w:val="single" w:sz="8" w:color="E7417A"/>
            </w:tcBorders>
          </w:tcPr>
          <w:p>
            <w:pPr>
              <w:spacing w:after="0"/>
              <w:rPr>
                <w:sz w:val="6"/>
                <w:szCs w:val="6"/>
                <w:color w:val="auto"/>
              </w:rPr>
            </w:pPr>
          </w:p>
        </w:tc>
        <w:tc>
          <w:tcPr>
            <w:tcW w:w="400" w:type="dxa"/>
            <w:vAlign w:val="bottom"/>
            <w:tcBorders>
              <w:bottom w:val="single" w:sz="8" w:color="E7417A"/>
            </w:tcBorders>
          </w:tcPr>
          <w:p>
            <w:pPr>
              <w:spacing w:after="0"/>
              <w:rPr>
                <w:sz w:val="6"/>
                <w:szCs w:val="6"/>
                <w:color w:val="auto"/>
              </w:rPr>
            </w:pPr>
          </w:p>
        </w:tc>
        <w:tc>
          <w:tcPr>
            <w:tcW w:w="100" w:type="dxa"/>
            <w:vAlign w:val="bottom"/>
            <w:tcBorders>
              <w:bottom w:val="single" w:sz="8" w:color="E7417A"/>
            </w:tcBorders>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Borders>
              <w:bottom w:val="single" w:sz="8" w:color="E7417A"/>
            </w:tcBorders>
          </w:tcPr>
          <w:p>
            <w:pPr>
              <w:spacing w:after="0"/>
              <w:rPr>
                <w:sz w:val="6"/>
                <w:szCs w:val="6"/>
                <w:color w:val="auto"/>
              </w:rPr>
            </w:pPr>
          </w:p>
        </w:tc>
        <w:tc>
          <w:tcPr>
            <w:tcW w:w="420" w:type="dxa"/>
            <w:vAlign w:val="bottom"/>
            <w:tcBorders>
              <w:bottom w:val="single" w:sz="8" w:color="E7417A"/>
            </w:tcBorders>
          </w:tcPr>
          <w:p>
            <w:pPr>
              <w:spacing w:after="0"/>
              <w:rPr>
                <w:sz w:val="6"/>
                <w:szCs w:val="6"/>
                <w:color w:val="auto"/>
              </w:rPr>
            </w:pPr>
          </w:p>
        </w:tc>
        <w:tc>
          <w:tcPr>
            <w:tcW w:w="100" w:type="dxa"/>
            <w:vAlign w:val="bottom"/>
            <w:tcBorders>
              <w:bottom w:val="single" w:sz="8" w:color="E7417A"/>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bottom w:val="single" w:sz="8" w:color="E7417A"/>
            </w:tcBorders>
          </w:tcPr>
          <w:p>
            <w:pPr>
              <w:spacing w:after="0"/>
              <w:rPr>
                <w:sz w:val="6"/>
                <w:szCs w:val="6"/>
                <w:color w:val="auto"/>
              </w:rPr>
            </w:pPr>
          </w:p>
        </w:tc>
        <w:tc>
          <w:tcPr>
            <w:tcW w:w="360" w:type="dxa"/>
            <w:vAlign w:val="bottom"/>
            <w:tcBorders>
              <w:bottom w:val="single" w:sz="8" w:color="E7417A"/>
            </w:tcBorders>
          </w:tcPr>
          <w:p>
            <w:pPr>
              <w:spacing w:after="0"/>
              <w:rPr>
                <w:sz w:val="6"/>
                <w:szCs w:val="6"/>
                <w:color w:val="auto"/>
              </w:rPr>
            </w:pPr>
          </w:p>
        </w:tc>
        <w:tc>
          <w:tcPr>
            <w:tcW w:w="220" w:type="dxa"/>
            <w:vAlign w:val="bottom"/>
            <w:tcBorders>
              <w:bottom w:val="single" w:sz="8" w:color="E7417A"/>
            </w:tcBorders>
          </w:tcPr>
          <w:p>
            <w:pPr>
              <w:spacing w:after="0"/>
              <w:rPr>
                <w:sz w:val="6"/>
                <w:szCs w:val="6"/>
                <w:color w:val="auto"/>
              </w:rPr>
            </w:pPr>
          </w:p>
        </w:tc>
        <w:tc>
          <w:tcPr>
            <w:tcW w:w="80" w:type="dxa"/>
            <w:vAlign w:val="bottom"/>
            <w:tcBorders>
              <w:bottom w:val="single" w:sz="8" w:color="FEFEFE"/>
            </w:tcBorders>
            <w:shd w:val="clear" w:color="auto" w:fill="62259D"/>
          </w:tcPr>
          <w:p>
            <w:pPr>
              <w:spacing w:after="0"/>
              <w:rPr>
                <w:sz w:val="6"/>
                <w:szCs w:val="6"/>
                <w:color w:val="auto"/>
              </w:rPr>
            </w:pPr>
          </w:p>
        </w:tc>
        <w:tc>
          <w:tcPr>
            <w:tcW w:w="40" w:type="dxa"/>
            <w:vAlign w:val="bottom"/>
            <w:tcBorders>
              <w:bottom w:val="single" w:sz="8" w:color="FEFEFE"/>
            </w:tcBorders>
            <w:shd w:val="clear" w:color="auto" w:fill="62259D"/>
          </w:tcPr>
          <w:p>
            <w:pPr>
              <w:spacing w:after="0"/>
              <w:rPr>
                <w:sz w:val="6"/>
                <w:szCs w:val="6"/>
                <w:color w:val="auto"/>
              </w:rPr>
            </w:pPr>
          </w:p>
        </w:tc>
        <w:tc>
          <w:tcPr>
            <w:tcW w:w="180" w:type="dxa"/>
            <w:vAlign w:val="bottom"/>
            <w:tcBorders>
              <w:bottom w:val="single" w:sz="8" w:color="FEFEFE"/>
            </w:tcBorders>
            <w:shd w:val="clear" w:color="auto" w:fill="62259D"/>
          </w:tcPr>
          <w:p>
            <w:pPr>
              <w:spacing w:after="0"/>
              <w:rPr>
                <w:sz w:val="6"/>
                <w:szCs w:val="6"/>
                <w:color w:val="auto"/>
              </w:rPr>
            </w:pPr>
          </w:p>
        </w:tc>
        <w:tc>
          <w:tcPr>
            <w:tcW w:w="100" w:type="dxa"/>
            <w:vAlign w:val="bottom"/>
            <w:tcBorders>
              <w:bottom w:val="single" w:sz="8" w:color="FEFEFE"/>
            </w:tcBorders>
            <w:shd w:val="clear" w:color="auto" w:fill="62259D"/>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Human capital</w:t>
            </w:r>
          </w:p>
        </w:tc>
        <w:tc>
          <w:tcPr>
            <w:tcW w:w="420" w:type="dxa"/>
            <w:vAlign w:val="bottom"/>
            <w:gridSpan w:val="3"/>
            <w:vMerge w:val="restart"/>
          </w:tcPr>
          <w:p>
            <w:pPr>
              <w:ind w:left="160"/>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17"/>
                <w:szCs w:val="17"/>
                <w:color w:val="auto"/>
              </w:rPr>
            </w:pPr>
          </w:p>
        </w:tc>
        <w:tc>
          <w:tcPr>
            <w:tcW w:w="340" w:type="dxa"/>
            <w:vAlign w:val="bottom"/>
            <w:gridSpan w:val="3"/>
            <w:vMerge w:val="restart"/>
          </w:tcPr>
          <w:p>
            <w:pPr>
              <w:ind w:left="4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17"/>
                <w:szCs w:val="17"/>
                <w:color w:val="auto"/>
              </w:rPr>
            </w:pPr>
          </w:p>
        </w:tc>
        <w:tc>
          <w:tcPr>
            <w:tcW w:w="24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6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6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280" w:type="dxa"/>
            <w:vAlign w:val="bottom"/>
            <w:gridSpan w:val="2"/>
            <w:vMerge w:val="restart"/>
          </w:tcPr>
          <w:p>
            <w:pPr>
              <w:ind w:left="22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2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22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62259D"/>
          </w:tcPr>
          <w:p>
            <w:pPr>
              <w:ind w:left="40"/>
              <w:spacing w:after="0"/>
              <w:rPr>
                <w:sz w:val="20"/>
                <w:szCs w:val="20"/>
                <w:color w:val="auto"/>
              </w:rPr>
            </w:pPr>
            <w:r>
              <w:rPr>
                <w:rFonts w:ascii="Arial" w:cs="Arial" w:eastAsia="Arial" w:hAnsi="Arial"/>
                <w:sz w:val="14"/>
                <w:szCs w:val="14"/>
                <w:color w:val="auto"/>
              </w:rPr>
              <w:t>​</w:t>
            </w:r>
          </w:p>
        </w:tc>
        <w:tc>
          <w:tcPr>
            <w:tcW w:w="40" w:type="dxa"/>
            <w:vAlign w:val="bottom"/>
            <w:shd w:val="clear" w:color="auto" w:fill="62259D"/>
          </w:tcPr>
          <w:p>
            <w:pPr>
              <w:spacing w:after="0"/>
              <w:rPr>
                <w:sz w:val="17"/>
                <w:szCs w:val="17"/>
                <w:color w:val="auto"/>
              </w:rPr>
            </w:pPr>
          </w:p>
        </w:tc>
        <w:tc>
          <w:tcPr>
            <w:tcW w:w="180" w:type="dxa"/>
            <w:vAlign w:val="bottom"/>
            <w:vMerge w:val="restart"/>
            <w:shd w:val="clear" w:color="auto" w:fill="62259D"/>
          </w:tcPr>
          <w:p>
            <w:pPr>
              <w:jc w:val="right"/>
              <w:ind w:right="8"/>
              <w:spacing w:after="0"/>
              <w:rPr>
                <w:sz w:val="20"/>
                <w:szCs w:val="20"/>
                <w:color w:val="auto"/>
              </w:rPr>
            </w:pPr>
            <w:r>
              <w:rPr>
                <w:rFonts w:ascii="Arial" w:cs="Arial" w:eastAsia="Arial" w:hAnsi="Arial"/>
                <w:sz w:val="14"/>
                <w:szCs w:val="14"/>
                <w:b w:val="1"/>
                <w:bCs w:val="1"/>
                <w:color w:val="FEFEFE"/>
              </w:rPr>
              <w:t>8</w:t>
            </w:r>
          </w:p>
        </w:tc>
        <w:tc>
          <w:tcPr>
            <w:tcW w:w="100" w:type="dxa"/>
            <w:vAlign w:val="bottom"/>
            <w:vMerge w:val="restart"/>
            <w:shd w:val="clear" w:color="auto" w:fill="62259D"/>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1720" w:type="dxa"/>
            <w:vAlign w:val="bottom"/>
            <w:gridSpan w:val="2"/>
          </w:tcPr>
          <w:p>
            <w:pPr>
              <w:ind w:left="440"/>
              <w:spacing w:after="0" w:line="28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3"/>
                <w:szCs w:val="13"/>
                <w:color w:val="auto"/>
              </w:rPr>
              <w:t>management</w:t>
            </w:r>
          </w:p>
        </w:tc>
        <w:tc>
          <w:tcPr>
            <w:tcW w:w="42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gridSpan w:val="2"/>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gridSpan w:val="2"/>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gridSpan w:val="2"/>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80" w:type="dxa"/>
            <w:vAlign w:val="bottom"/>
            <w:vMerge w:val="continue"/>
            <w:shd w:val="clear" w:color="auto" w:fill="62259D"/>
          </w:tcPr>
          <w:p>
            <w:pPr>
              <w:spacing w:after="0"/>
              <w:rPr>
                <w:sz w:val="24"/>
                <w:szCs w:val="24"/>
                <w:color w:val="auto"/>
              </w:rPr>
            </w:pPr>
          </w:p>
        </w:tc>
        <w:tc>
          <w:tcPr>
            <w:tcW w:w="40" w:type="dxa"/>
            <w:vAlign w:val="bottom"/>
            <w:shd w:val="clear" w:color="auto" w:fill="62259D"/>
          </w:tcPr>
          <w:p>
            <w:pPr>
              <w:spacing w:after="0"/>
              <w:rPr>
                <w:sz w:val="24"/>
                <w:szCs w:val="24"/>
                <w:color w:val="auto"/>
              </w:rPr>
            </w:pPr>
          </w:p>
        </w:tc>
        <w:tc>
          <w:tcPr>
            <w:tcW w:w="180" w:type="dxa"/>
            <w:vAlign w:val="bottom"/>
            <w:vMerge w:val="continue"/>
            <w:shd w:val="clear" w:color="auto" w:fill="62259D"/>
          </w:tcPr>
          <w:p>
            <w:pPr>
              <w:spacing w:after="0"/>
              <w:rPr>
                <w:sz w:val="24"/>
                <w:szCs w:val="24"/>
                <w:color w:val="auto"/>
              </w:rPr>
            </w:pPr>
          </w:p>
        </w:tc>
        <w:tc>
          <w:tcPr>
            <w:tcW w:w="100" w:type="dxa"/>
            <w:vAlign w:val="bottom"/>
            <w:vMerge w:val="continue"/>
            <w:shd w:val="clear" w:color="auto" w:fill="62259D"/>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E7417A"/>
          </w:tcPr>
          <w:p>
            <w:pPr>
              <w:spacing w:after="0" w:line="20" w:lineRule="exact"/>
              <w:rPr>
                <w:sz w:val="1"/>
                <w:szCs w:val="1"/>
                <w:color w:val="auto"/>
              </w:rPr>
            </w:pPr>
          </w:p>
        </w:tc>
        <w:tc>
          <w:tcPr>
            <w:tcW w:w="1720" w:type="dxa"/>
            <w:vAlign w:val="bottom"/>
            <w:gridSpan w:val="2"/>
            <w:shd w:val="clear" w:color="auto" w:fill="E7417A"/>
          </w:tcPr>
          <w:p>
            <w:pPr>
              <w:spacing w:after="0" w:line="20" w:lineRule="exact"/>
              <w:rPr>
                <w:sz w:val="1"/>
                <w:szCs w:val="1"/>
                <w:color w:val="auto"/>
              </w:rPr>
            </w:pPr>
          </w:p>
        </w:tc>
        <w:tc>
          <w:tcPr>
            <w:tcW w:w="18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42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E7417A"/>
          </w:tcPr>
          <w:p>
            <w:pPr>
              <w:spacing w:after="0" w:line="20" w:lineRule="exact"/>
              <w:rPr>
                <w:sz w:val="1"/>
                <w:szCs w:val="1"/>
                <w:color w:val="auto"/>
              </w:rPr>
            </w:pPr>
          </w:p>
        </w:tc>
        <w:tc>
          <w:tcPr>
            <w:tcW w:w="460" w:type="dxa"/>
            <w:vAlign w:val="bottom"/>
            <w:shd w:val="clear" w:color="auto" w:fill="E7417A"/>
          </w:tcPr>
          <w:p>
            <w:pPr>
              <w:spacing w:after="0" w:line="20" w:lineRule="exact"/>
              <w:rPr>
                <w:sz w:val="1"/>
                <w:szCs w:val="1"/>
                <w:color w:val="auto"/>
              </w:rPr>
            </w:pPr>
          </w:p>
        </w:tc>
        <w:tc>
          <w:tcPr>
            <w:tcW w:w="1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E7417A"/>
          </w:tcPr>
          <w:p>
            <w:pPr>
              <w:spacing w:after="0" w:line="20" w:lineRule="exact"/>
              <w:rPr>
                <w:sz w:val="1"/>
                <w:szCs w:val="1"/>
                <w:color w:val="auto"/>
              </w:rPr>
            </w:pPr>
          </w:p>
        </w:tc>
        <w:tc>
          <w:tcPr>
            <w:tcW w:w="440" w:type="dxa"/>
            <w:vAlign w:val="bottom"/>
            <w:shd w:val="clear" w:color="auto" w:fill="E7417A"/>
          </w:tcPr>
          <w:p>
            <w:pPr>
              <w:spacing w:after="0" w:line="20" w:lineRule="exact"/>
              <w:rPr>
                <w:sz w:val="1"/>
                <w:szCs w:val="1"/>
                <w:color w:val="auto"/>
              </w:rPr>
            </w:pPr>
          </w:p>
        </w:tc>
        <w:tc>
          <w:tcPr>
            <w:tcW w:w="26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40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42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60" w:type="dxa"/>
            <w:vAlign w:val="bottom"/>
            <w:shd w:val="clear" w:color="auto" w:fill="E7417A"/>
          </w:tcPr>
          <w:p>
            <w:pPr>
              <w:spacing w:after="0" w:line="20" w:lineRule="exact"/>
              <w:rPr>
                <w:sz w:val="1"/>
                <w:szCs w:val="1"/>
                <w:color w:val="auto"/>
              </w:rPr>
            </w:pPr>
          </w:p>
        </w:tc>
        <w:tc>
          <w:tcPr>
            <w:tcW w:w="220" w:type="dxa"/>
            <w:vAlign w:val="bottom"/>
            <w:tcBorders>
              <w:right w:val="single" w:sz="8" w:color="FEFEFE"/>
            </w:tcBorders>
            <w:shd w:val="clear" w:color="auto" w:fill="E7417A"/>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0" w:type="dxa"/>
            <w:vAlign w:val="bottom"/>
          </w:tcPr>
          <w:p>
            <w:pPr>
              <w:spacing w:after="0"/>
              <w:rPr>
                <w:sz w:val="24"/>
                <w:szCs w:val="24"/>
                <w:color w:val="auto"/>
              </w:rPr>
            </w:pPr>
          </w:p>
        </w:tc>
        <w:tc>
          <w:tcPr>
            <w:tcW w:w="1720" w:type="dxa"/>
            <w:vAlign w:val="bottom"/>
            <w:gridSpan w:val="2"/>
          </w:tcPr>
          <w:p>
            <w:pPr>
              <w:ind w:left="4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3"/>
                <w:szCs w:val="13"/>
                <w:color w:val="auto"/>
              </w:rPr>
              <w:t>Legal, regulatory</w:t>
            </w:r>
          </w:p>
        </w:tc>
        <w:tc>
          <w:tcPr>
            <w:tcW w:w="420" w:type="dxa"/>
            <w:vAlign w:val="bottom"/>
            <w:gridSpan w:val="3"/>
          </w:tcPr>
          <w:p>
            <w:pPr>
              <w:ind w:left="160"/>
              <w:spacing w:after="0"/>
              <w:rPr>
                <w:sz w:val="20"/>
                <w:szCs w:val="20"/>
                <w:color w:val="auto"/>
              </w:rPr>
            </w:pPr>
            <w:r>
              <w:rPr>
                <w:rFonts w:ascii="Arial" w:cs="Arial" w:eastAsia="Arial" w:hAnsi="Arial"/>
                <w:sz w:val="14"/>
                <w:szCs w:val="14"/>
                <w:color w:val="auto"/>
              </w:rPr>
              <w:t>​ ​</w:t>
            </w:r>
          </w:p>
        </w:tc>
        <w:tc>
          <w:tcPr>
            <w:tcW w:w="420" w:type="dxa"/>
            <w:vAlign w:val="bottom"/>
          </w:tcPr>
          <w:p>
            <w:pPr>
              <w:ind w:left="140"/>
              <w:spacing w:after="0"/>
              <w:rPr>
                <w:sz w:val="20"/>
                <w:szCs w:val="20"/>
                <w:color w:val="auto"/>
              </w:rPr>
            </w:pPr>
            <w:r>
              <w:rPr>
                <w:rFonts w:ascii="Arial" w:cs="Arial" w:eastAsia="Arial" w:hAnsi="Arial"/>
                <w:sz w:val="14"/>
                <w:szCs w:val="14"/>
                <w:color w:val="auto"/>
              </w:rPr>
              <w:t>​</w:t>
            </w:r>
          </w:p>
        </w:tc>
        <w:tc>
          <w:tcPr>
            <w:tcW w:w="340" w:type="dxa"/>
            <w:vAlign w:val="bottom"/>
            <w:gridSpan w:val="3"/>
          </w:tcPr>
          <w:p>
            <w:pPr>
              <w:ind w:left="4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24"/>
                <w:szCs w:val="24"/>
                <w:color w:val="auto"/>
              </w:rPr>
            </w:pPr>
          </w:p>
        </w:tc>
        <w:tc>
          <w:tcPr>
            <w:tcW w:w="2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380" w:type="dxa"/>
            <w:vAlign w:val="bottom"/>
          </w:tcPr>
          <w:p>
            <w:pPr>
              <w:ind w:left="40"/>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1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00" w:type="dxa"/>
            <w:vAlign w:val="bottom"/>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ind w:left="200"/>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400" w:type="dxa"/>
            <w:vAlign w:val="bottom"/>
          </w:tcPr>
          <w:p>
            <w:pPr>
              <w:ind w:left="140"/>
              <w:spacing w:after="0"/>
              <w:rPr>
                <w:sz w:val="20"/>
                <w:szCs w:val="20"/>
                <w:color w:val="auto"/>
              </w:rPr>
            </w:pPr>
            <w:r>
              <w:rPr>
                <w:rFonts w:ascii="Arial" w:cs="Arial" w:eastAsia="Arial" w:hAnsi="Arial"/>
                <w:sz w:val="14"/>
                <w:szCs w:val="14"/>
                <w:color w:val="auto"/>
              </w:rPr>
              <w:t>​</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420" w:type="dxa"/>
            <w:vAlign w:val="bottom"/>
          </w:tcPr>
          <w:p>
            <w:pPr>
              <w:ind w:left="140"/>
              <w:spacing w:after="0"/>
              <w:rPr>
                <w:sz w:val="20"/>
                <w:szCs w:val="20"/>
                <w:color w:val="auto"/>
              </w:rPr>
            </w:pPr>
            <w:r>
              <w:rPr>
                <w:rFonts w:ascii="Arial" w:cs="Arial" w:eastAsia="Arial" w:hAnsi="Arial"/>
                <w:sz w:val="14"/>
                <w:szCs w:val="14"/>
                <w:color w:val="auto"/>
              </w:rPr>
              <w:t>​</w:t>
            </w:r>
          </w:p>
        </w:tc>
        <w:tc>
          <w:tcPr>
            <w:tcW w:w="1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220" w:type="dxa"/>
            <w:vAlign w:val="bottom"/>
          </w:tcPr>
          <w:p>
            <w:pPr>
              <w:ind w:lef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62259D"/>
          </w:tcPr>
          <w:p>
            <w:pPr>
              <w:ind w:left="40"/>
              <w:spacing w:after="0"/>
              <w:rPr>
                <w:sz w:val="20"/>
                <w:szCs w:val="20"/>
                <w:color w:val="auto"/>
              </w:rPr>
            </w:pPr>
            <w:r>
              <w:rPr>
                <w:rFonts w:ascii="Arial" w:cs="Arial" w:eastAsia="Arial" w:hAnsi="Arial"/>
                <w:sz w:val="14"/>
                <w:szCs w:val="14"/>
                <w:color w:val="auto"/>
              </w:rPr>
              <w:t>​</w:t>
            </w:r>
          </w:p>
        </w:tc>
        <w:tc>
          <w:tcPr>
            <w:tcW w:w="40" w:type="dxa"/>
            <w:vAlign w:val="bottom"/>
            <w:shd w:val="clear" w:color="auto" w:fill="62259D"/>
          </w:tcPr>
          <w:p>
            <w:pPr>
              <w:spacing w:after="0"/>
              <w:rPr>
                <w:sz w:val="24"/>
                <w:szCs w:val="24"/>
                <w:color w:val="auto"/>
              </w:rPr>
            </w:pPr>
          </w:p>
        </w:tc>
        <w:tc>
          <w:tcPr>
            <w:tcW w:w="180" w:type="dxa"/>
            <w:vAlign w:val="bottom"/>
            <w:shd w:val="clear" w:color="auto" w:fill="62259D"/>
          </w:tcPr>
          <w:p>
            <w:pPr>
              <w:jc w:val="right"/>
              <w:ind w:right="8"/>
              <w:spacing w:after="0"/>
              <w:rPr>
                <w:sz w:val="20"/>
                <w:szCs w:val="20"/>
                <w:color w:val="auto"/>
              </w:rPr>
            </w:pPr>
            <w:r>
              <w:rPr>
                <w:rFonts w:ascii="Arial" w:cs="Arial" w:eastAsia="Arial" w:hAnsi="Arial"/>
                <w:sz w:val="14"/>
                <w:szCs w:val="14"/>
                <w:b w:val="1"/>
                <w:bCs w:val="1"/>
                <w:color w:val="FEFEFE"/>
              </w:rPr>
              <w:t>3</w:t>
            </w:r>
          </w:p>
        </w:tc>
        <w:tc>
          <w:tcPr>
            <w:tcW w:w="100" w:type="dxa"/>
            <w:vAlign w:val="bottom"/>
            <w:shd w:val="clear" w:color="auto" w:fill="62259D"/>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80" w:type="dxa"/>
            <w:vAlign w:val="bottom"/>
            <w:tcBorders>
              <w:bottom w:val="single" w:sz="8" w:color="E7417A"/>
            </w:tcBorders>
          </w:tcPr>
          <w:p>
            <w:pPr>
              <w:spacing w:after="0"/>
              <w:rPr>
                <w:sz w:val="6"/>
                <w:szCs w:val="6"/>
                <w:color w:val="auto"/>
              </w:rPr>
            </w:pPr>
          </w:p>
        </w:tc>
        <w:tc>
          <w:tcPr>
            <w:tcW w:w="1720" w:type="dxa"/>
            <w:vAlign w:val="bottom"/>
            <w:tcBorders>
              <w:bottom w:val="single" w:sz="8" w:color="E7417A"/>
            </w:tcBorders>
            <w:gridSpan w:val="2"/>
          </w:tcPr>
          <w:p>
            <w:pPr>
              <w:spacing w:after="0"/>
              <w:rPr>
                <w:sz w:val="6"/>
                <w:szCs w:val="6"/>
                <w:color w:val="auto"/>
              </w:rPr>
            </w:pPr>
          </w:p>
        </w:tc>
        <w:tc>
          <w:tcPr>
            <w:tcW w:w="180" w:type="dxa"/>
            <w:vAlign w:val="bottom"/>
            <w:tcBorders>
              <w:bottom w:val="single" w:sz="8" w:color="E7417A"/>
            </w:tcBorders>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Borders>
              <w:bottom w:val="single" w:sz="8" w:color="E7417A"/>
            </w:tcBorders>
          </w:tcPr>
          <w:p>
            <w:pPr>
              <w:spacing w:after="0"/>
              <w:rPr>
                <w:sz w:val="6"/>
                <w:szCs w:val="6"/>
                <w:color w:val="auto"/>
              </w:rPr>
            </w:pPr>
          </w:p>
        </w:tc>
        <w:tc>
          <w:tcPr>
            <w:tcW w:w="420" w:type="dxa"/>
            <w:vAlign w:val="bottom"/>
            <w:tcBorders>
              <w:bottom w:val="single" w:sz="8" w:color="E7417A"/>
            </w:tcBorders>
          </w:tcPr>
          <w:p>
            <w:pPr>
              <w:spacing w:after="0"/>
              <w:rPr>
                <w:sz w:val="6"/>
                <w:szCs w:val="6"/>
                <w:color w:val="auto"/>
              </w:rPr>
            </w:pPr>
          </w:p>
        </w:tc>
        <w:tc>
          <w:tcPr>
            <w:tcW w:w="80" w:type="dxa"/>
            <w:vAlign w:val="bottom"/>
            <w:tcBorders>
              <w:bottom w:val="single" w:sz="8" w:color="E7417A"/>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bottom w:val="single" w:sz="8" w:color="E7417A"/>
            </w:tcBorders>
          </w:tcPr>
          <w:p>
            <w:pPr>
              <w:spacing w:after="0"/>
              <w:rPr>
                <w:sz w:val="6"/>
                <w:szCs w:val="6"/>
                <w:color w:val="auto"/>
              </w:rPr>
            </w:pPr>
          </w:p>
        </w:tc>
        <w:tc>
          <w:tcPr>
            <w:tcW w:w="340" w:type="dxa"/>
            <w:vAlign w:val="bottom"/>
            <w:tcBorders>
              <w:bottom w:val="single" w:sz="8" w:color="E7417A"/>
            </w:tcBorders>
          </w:tcPr>
          <w:p>
            <w:pPr>
              <w:spacing w:after="0"/>
              <w:rPr>
                <w:sz w:val="6"/>
                <w:szCs w:val="6"/>
                <w:color w:val="auto"/>
              </w:rPr>
            </w:pPr>
          </w:p>
        </w:tc>
        <w:tc>
          <w:tcPr>
            <w:tcW w:w="200" w:type="dxa"/>
            <w:vAlign w:val="bottom"/>
            <w:tcBorders>
              <w:bottom w:val="single" w:sz="8" w:color="E7417A"/>
            </w:tcBorders>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Borders>
              <w:bottom w:val="single" w:sz="8" w:color="E7417A"/>
            </w:tcBorders>
          </w:tcPr>
          <w:p>
            <w:pPr>
              <w:spacing w:after="0"/>
              <w:rPr>
                <w:sz w:val="6"/>
                <w:szCs w:val="6"/>
                <w:color w:val="auto"/>
              </w:rPr>
            </w:pPr>
          </w:p>
        </w:tc>
        <w:tc>
          <w:tcPr>
            <w:tcW w:w="340" w:type="dxa"/>
            <w:vAlign w:val="bottom"/>
            <w:tcBorders>
              <w:bottom w:val="single" w:sz="8" w:color="E7417A"/>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bottom w:val="single" w:sz="8" w:color="E7417A"/>
            </w:tcBorders>
          </w:tcPr>
          <w:p>
            <w:pPr>
              <w:spacing w:after="0"/>
              <w:rPr>
                <w:sz w:val="6"/>
                <w:szCs w:val="6"/>
                <w:color w:val="auto"/>
              </w:rPr>
            </w:pPr>
          </w:p>
        </w:tc>
        <w:tc>
          <w:tcPr>
            <w:tcW w:w="460" w:type="dxa"/>
            <w:vAlign w:val="bottom"/>
            <w:tcBorders>
              <w:bottom w:val="single" w:sz="8" w:color="E7417A"/>
            </w:tcBorders>
          </w:tcPr>
          <w:p>
            <w:pPr>
              <w:spacing w:after="0"/>
              <w:rPr>
                <w:sz w:val="6"/>
                <w:szCs w:val="6"/>
                <w:color w:val="auto"/>
              </w:rPr>
            </w:pPr>
          </w:p>
        </w:tc>
        <w:tc>
          <w:tcPr>
            <w:tcW w:w="140" w:type="dxa"/>
            <w:vAlign w:val="bottom"/>
            <w:tcBorders>
              <w:bottom w:val="single" w:sz="8" w:color="E7417A"/>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bottom w:val="single" w:sz="8" w:color="E7417A"/>
            </w:tcBorders>
          </w:tcPr>
          <w:p>
            <w:pPr>
              <w:spacing w:after="0"/>
              <w:rPr>
                <w:sz w:val="6"/>
                <w:szCs w:val="6"/>
                <w:color w:val="auto"/>
              </w:rPr>
            </w:pPr>
          </w:p>
        </w:tc>
        <w:tc>
          <w:tcPr>
            <w:tcW w:w="440" w:type="dxa"/>
            <w:vAlign w:val="bottom"/>
            <w:tcBorders>
              <w:bottom w:val="single" w:sz="8" w:color="E7417A"/>
            </w:tcBorders>
          </w:tcPr>
          <w:p>
            <w:pPr>
              <w:spacing w:after="0"/>
              <w:rPr>
                <w:sz w:val="6"/>
                <w:szCs w:val="6"/>
                <w:color w:val="auto"/>
              </w:rPr>
            </w:pPr>
          </w:p>
        </w:tc>
        <w:tc>
          <w:tcPr>
            <w:tcW w:w="260" w:type="dxa"/>
            <w:vAlign w:val="bottom"/>
            <w:tcBorders>
              <w:bottom w:val="single" w:sz="8" w:color="E7417A"/>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bottom w:val="single" w:sz="8" w:color="E7417A"/>
            </w:tcBorders>
          </w:tcPr>
          <w:p>
            <w:pPr>
              <w:spacing w:after="0"/>
              <w:rPr>
                <w:sz w:val="6"/>
                <w:szCs w:val="6"/>
                <w:color w:val="auto"/>
              </w:rPr>
            </w:pPr>
          </w:p>
        </w:tc>
        <w:tc>
          <w:tcPr>
            <w:tcW w:w="400" w:type="dxa"/>
            <w:vAlign w:val="bottom"/>
            <w:tcBorders>
              <w:bottom w:val="single" w:sz="8" w:color="E7417A"/>
            </w:tcBorders>
          </w:tcPr>
          <w:p>
            <w:pPr>
              <w:spacing w:after="0"/>
              <w:rPr>
                <w:sz w:val="6"/>
                <w:szCs w:val="6"/>
                <w:color w:val="auto"/>
              </w:rPr>
            </w:pPr>
          </w:p>
        </w:tc>
        <w:tc>
          <w:tcPr>
            <w:tcW w:w="100" w:type="dxa"/>
            <w:vAlign w:val="bottom"/>
            <w:tcBorders>
              <w:bottom w:val="single" w:sz="8" w:color="E7417A"/>
            </w:tcBorders>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Borders>
              <w:bottom w:val="single" w:sz="8" w:color="E7417A"/>
            </w:tcBorders>
          </w:tcPr>
          <w:p>
            <w:pPr>
              <w:spacing w:after="0"/>
              <w:rPr>
                <w:sz w:val="6"/>
                <w:szCs w:val="6"/>
                <w:color w:val="auto"/>
              </w:rPr>
            </w:pPr>
          </w:p>
        </w:tc>
        <w:tc>
          <w:tcPr>
            <w:tcW w:w="420" w:type="dxa"/>
            <w:vAlign w:val="bottom"/>
            <w:tcBorders>
              <w:bottom w:val="single" w:sz="8" w:color="E7417A"/>
            </w:tcBorders>
          </w:tcPr>
          <w:p>
            <w:pPr>
              <w:spacing w:after="0"/>
              <w:rPr>
                <w:sz w:val="6"/>
                <w:szCs w:val="6"/>
                <w:color w:val="auto"/>
              </w:rPr>
            </w:pPr>
          </w:p>
        </w:tc>
        <w:tc>
          <w:tcPr>
            <w:tcW w:w="100" w:type="dxa"/>
            <w:vAlign w:val="bottom"/>
            <w:tcBorders>
              <w:bottom w:val="single" w:sz="8" w:color="E7417A"/>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bottom w:val="single" w:sz="8" w:color="E7417A"/>
            </w:tcBorders>
          </w:tcPr>
          <w:p>
            <w:pPr>
              <w:spacing w:after="0"/>
              <w:rPr>
                <w:sz w:val="6"/>
                <w:szCs w:val="6"/>
                <w:color w:val="auto"/>
              </w:rPr>
            </w:pPr>
          </w:p>
        </w:tc>
        <w:tc>
          <w:tcPr>
            <w:tcW w:w="360" w:type="dxa"/>
            <w:vAlign w:val="bottom"/>
            <w:tcBorders>
              <w:bottom w:val="single" w:sz="8" w:color="E7417A"/>
            </w:tcBorders>
          </w:tcPr>
          <w:p>
            <w:pPr>
              <w:spacing w:after="0"/>
              <w:rPr>
                <w:sz w:val="6"/>
                <w:szCs w:val="6"/>
                <w:color w:val="auto"/>
              </w:rPr>
            </w:pPr>
          </w:p>
        </w:tc>
        <w:tc>
          <w:tcPr>
            <w:tcW w:w="220" w:type="dxa"/>
            <w:vAlign w:val="bottom"/>
            <w:tcBorders>
              <w:bottom w:val="single" w:sz="8" w:color="E7417A"/>
            </w:tcBorders>
          </w:tcPr>
          <w:p>
            <w:pPr>
              <w:spacing w:after="0"/>
              <w:rPr>
                <w:sz w:val="6"/>
                <w:szCs w:val="6"/>
                <w:color w:val="auto"/>
              </w:rPr>
            </w:pPr>
          </w:p>
        </w:tc>
        <w:tc>
          <w:tcPr>
            <w:tcW w:w="80" w:type="dxa"/>
            <w:vAlign w:val="bottom"/>
            <w:tcBorders>
              <w:bottom w:val="single" w:sz="8" w:color="FEFEFE"/>
            </w:tcBorders>
            <w:shd w:val="clear" w:color="auto" w:fill="62259D"/>
          </w:tcPr>
          <w:p>
            <w:pPr>
              <w:spacing w:after="0"/>
              <w:rPr>
                <w:sz w:val="6"/>
                <w:szCs w:val="6"/>
                <w:color w:val="auto"/>
              </w:rPr>
            </w:pPr>
          </w:p>
        </w:tc>
        <w:tc>
          <w:tcPr>
            <w:tcW w:w="40" w:type="dxa"/>
            <w:vAlign w:val="bottom"/>
            <w:tcBorders>
              <w:bottom w:val="single" w:sz="8" w:color="FEFEFE"/>
            </w:tcBorders>
            <w:shd w:val="clear" w:color="auto" w:fill="62259D"/>
          </w:tcPr>
          <w:p>
            <w:pPr>
              <w:spacing w:after="0"/>
              <w:rPr>
                <w:sz w:val="6"/>
                <w:szCs w:val="6"/>
                <w:color w:val="auto"/>
              </w:rPr>
            </w:pPr>
          </w:p>
        </w:tc>
        <w:tc>
          <w:tcPr>
            <w:tcW w:w="180" w:type="dxa"/>
            <w:vAlign w:val="bottom"/>
            <w:tcBorders>
              <w:bottom w:val="single" w:sz="8" w:color="FEFEFE"/>
            </w:tcBorders>
            <w:shd w:val="clear" w:color="auto" w:fill="62259D"/>
          </w:tcPr>
          <w:p>
            <w:pPr>
              <w:spacing w:after="0"/>
              <w:rPr>
                <w:sz w:val="6"/>
                <w:szCs w:val="6"/>
                <w:color w:val="auto"/>
              </w:rPr>
            </w:pPr>
          </w:p>
        </w:tc>
        <w:tc>
          <w:tcPr>
            <w:tcW w:w="100" w:type="dxa"/>
            <w:vAlign w:val="bottom"/>
            <w:tcBorders>
              <w:bottom w:val="single" w:sz="8" w:color="FEFEFE"/>
            </w:tcBorders>
            <w:shd w:val="clear" w:color="auto" w:fill="62259D"/>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Other public</w:t>
            </w:r>
          </w:p>
        </w:tc>
        <w:tc>
          <w:tcPr>
            <w:tcW w:w="420" w:type="dxa"/>
            <w:vAlign w:val="bottom"/>
            <w:gridSpan w:val="3"/>
            <w:vMerge w:val="restart"/>
          </w:tcPr>
          <w:p>
            <w:pPr>
              <w:ind w:left="160"/>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14"/>
                <w:szCs w:val="14"/>
                <w:color w:val="auto"/>
              </w:rPr>
            </w:pPr>
          </w:p>
        </w:tc>
        <w:tc>
          <w:tcPr>
            <w:tcW w:w="340" w:type="dxa"/>
            <w:vAlign w:val="bottom"/>
            <w:gridSpan w:val="3"/>
            <w:vMerge w:val="restart"/>
          </w:tcPr>
          <w:p>
            <w:pPr>
              <w:ind w:left="4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14"/>
                <w:szCs w:val="14"/>
                <w:color w:val="auto"/>
              </w:rPr>
            </w:pPr>
          </w:p>
        </w:tc>
        <w:tc>
          <w:tcPr>
            <w:tcW w:w="24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6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ind w:left="220"/>
              <w:spacing w:after="0"/>
              <w:rPr>
                <w:sz w:val="20"/>
                <w:szCs w:val="20"/>
                <w:color w:val="auto"/>
              </w:rPr>
            </w:pPr>
            <w:r>
              <w:rPr>
                <w:rFonts w:ascii="Arial" w:cs="Arial" w:eastAsia="Arial" w:hAnsi="Arial"/>
                <w:sz w:val="14"/>
                <w:szCs w:val="14"/>
                <w:color w:val="auto"/>
              </w:rPr>
              <w:t>​</w:t>
            </w:r>
          </w:p>
        </w:tc>
        <w:tc>
          <w:tcPr>
            <w:tcW w:w="16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80" w:type="dxa"/>
            <w:vAlign w:val="bottom"/>
            <w:gridSpan w:val="2"/>
            <w:vMerge w:val="restart"/>
          </w:tcPr>
          <w:p>
            <w:pPr>
              <w:ind w:left="22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2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62259D"/>
          </w:tcPr>
          <w:p>
            <w:pPr>
              <w:ind w:left="40"/>
              <w:spacing w:after="0"/>
              <w:rPr>
                <w:sz w:val="20"/>
                <w:szCs w:val="20"/>
                <w:color w:val="auto"/>
              </w:rPr>
            </w:pPr>
            <w:r>
              <w:rPr>
                <w:rFonts w:ascii="Arial" w:cs="Arial" w:eastAsia="Arial" w:hAnsi="Arial"/>
                <w:sz w:val="14"/>
                <w:szCs w:val="14"/>
                <w:color w:val="auto"/>
              </w:rPr>
              <w:t>​</w:t>
            </w:r>
          </w:p>
        </w:tc>
        <w:tc>
          <w:tcPr>
            <w:tcW w:w="40" w:type="dxa"/>
            <w:vAlign w:val="bottom"/>
            <w:shd w:val="clear" w:color="auto" w:fill="62259D"/>
          </w:tcPr>
          <w:p>
            <w:pPr>
              <w:spacing w:after="0"/>
              <w:rPr>
                <w:sz w:val="14"/>
                <w:szCs w:val="14"/>
                <w:color w:val="auto"/>
              </w:rPr>
            </w:pPr>
          </w:p>
        </w:tc>
        <w:tc>
          <w:tcPr>
            <w:tcW w:w="180" w:type="dxa"/>
            <w:vAlign w:val="bottom"/>
            <w:vMerge w:val="restart"/>
            <w:shd w:val="clear" w:color="auto" w:fill="62259D"/>
          </w:tcPr>
          <w:p>
            <w:pPr>
              <w:jc w:val="right"/>
              <w:ind w:right="8"/>
              <w:spacing w:after="0"/>
              <w:rPr>
                <w:sz w:val="20"/>
                <w:szCs w:val="20"/>
                <w:color w:val="auto"/>
              </w:rPr>
            </w:pPr>
            <w:r>
              <w:rPr>
                <w:rFonts w:ascii="Arial" w:cs="Arial" w:eastAsia="Arial" w:hAnsi="Arial"/>
                <w:sz w:val="14"/>
                <w:szCs w:val="14"/>
                <w:b w:val="1"/>
                <w:bCs w:val="1"/>
                <w:color w:val="FEFEFE"/>
              </w:rPr>
              <w:t>6</w:t>
            </w:r>
          </w:p>
        </w:tc>
        <w:tc>
          <w:tcPr>
            <w:tcW w:w="100" w:type="dxa"/>
            <w:vAlign w:val="bottom"/>
            <w:vMerge w:val="restart"/>
            <w:shd w:val="clear" w:color="auto" w:fill="62259D"/>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720" w:type="dxa"/>
            <w:vAlign w:val="bottom"/>
            <w:gridSpan w:val="2"/>
          </w:tcPr>
          <w:p>
            <w:pPr>
              <w:ind w:left="440"/>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2"/>
                <w:szCs w:val="12"/>
                <w:color w:val="auto"/>
              </w:rPr>
              <w:t>company board</w:t>
            </w:r>
          </w:p>
        </w:tc>
        <w:tc>
          <w:tcPr>
            <w:tcW w:w="420" w:type="dxa"/>
            <w:vAlign w:val="bottom"/>
            <w:gridSpan w:val="3"/>
            <w:vMerge w:val="continue"/>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0" w:type="dxa"/>
            <w:vAlign w:val="bottom"/>
            <w:vMerge w:val="continue"/>
            <w:shd w:val="clear" w:color="auto" w:fill="62259D"/>
          </w:tcPr>
          <w:p>
            <w:pPr>
              <w:spacing w:after="0"/>
              <w:rPr>
                <w:sz w:val="19"/>
                <w:szCs w:val="19"/>
                <w:color w:val="auto"/>
              </w:rPr>
            </w:pPr>
          </w:p>
        </w:tc>
        <w:tc>
          <w:tcPr>
            <w:tcW w:w="40" w:type="dxa"/>
            <w:vAlign w:val="bottom"/>
            <w:shd w:val="clear" w:color="auto" w:fill="62259D"/>
          </w:tcPr>
          <w:p>
            <w:pPr>
              <w:spacing w:after="0"/>
              <w:rPr>
                <w:sz w:val="19"/>
                <w:szCs w:val="19"/>
                <w:color w:val="auto"/>
              </w:rPr>
            </w:pPr>
          </w:p>
        </w:tc>
        <w:tc>
          <w:tcPr>
            <w:tcW w:w="180" w:type="dxa"/>
            <w:vAlign w:val="bottom"/>
            <w:vMerge w:val="continue"/>
            <w:shd w:val="clear" w:color="auto" w:fill="62259D"/>
          </w:tcPr>
          <w:p>
            <w:pPr>
              <w:spacing w:after="0"/>
              <w:rPr>
                <w:sz w:val="19"/>
                <w:szCs w:val="19"/>
                <w:color w:val="auto"/>
              </w:rPr>
            </w:pPr>
          </w:p>
        </w:tc>
        <w:tc>
          <w:tcPr>
            <w:tcW w:w="100" w:type="dxa"/>
            <w:vAlign w:val="bottom"/>
            <w:vMerge w:val="continue"/>
            <w:shd w:val="clear" w:color="auto" w:fill="62259D"/>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E7417A"/>
          </w:tcPr>
          <w:p>
            <w:pPr>
              <w:spacing w:after="0" w:line="20" w:lineRule="exact"/>
              <w:rPr>
                <w:sz w:val="1"/>
                <w:szCs w:val="1"/>
                <w:color w:val="auto"/>
              </w:rPr>
            </w:pPr>
          </w:p>
        </w:tc>
        <w:tc>
          <w:tcPr>
            <w:tcW w:w="1120" w:type="dxa"/>
            <w:vAlign w:val="bottom"/>
            <w:shd w:val="clear" w:color="auto" w:fill="E7417A"/>
          </w:tcPr>
          <w:p>
            <w:pPr>
              <w:spacing w:after="0" w:line="20" w:lineRule="exact"/>
              <w:rPr>
                <w:sz w:val="1"/>
                <w:szCs w:val="1"/>
                <w:color w:val="auto"/>
              </w:rPr>
            </w:pPr>
          </w:p>
        </w:tc>
        <w:tc>
          <w:tcPr>
            <w:tcW w:w="600" w:type="dxa"/>
            <w:vAlign w:val="bottom"/>
            <w:shd w:val="clear" w:color="auto" w:fill="E7417A"/>
          </w:tcPr>
          <w:p>
            <w:pPr>
              <w:spacing w:after="0" w:line="20" w:lineRule="exact"/>
              <w:rPr>
                <w:sz w:val="1"/>
                <w:szCs w:val="1"/>
                <w:color w:val="auto"/>
              </w:rPr>
            </w:pPr>
          </w:p>
        </w:tc>
        <w:tc>
          <w:tcPr>
            <w:tcW w:w="18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42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E7417A"/>
          </w:tcPr>
          <w:p>
            <w:pPr>
              <w:spacing w:after="0" w:line="20" w:lineRule="exact"/>
              <w:rPr>
                <w:sz w:val="1"/>
                <w:szCs w:val="1"/>
                <w:color w:val="auto"/>
              </w:rPr>
            </w:pPr>
          </w:p>
        </w:tc>
        <w:tc>
          <w:tcPr>
            <w:tcW w:w="460" w:type="dxa"/>
            <w:vAlign w:val="bottom"/>
            <w:shd w:val="clear" w:color="auto" w:fill="E7417A"/>
          </w:tcPr>
          <w:p>
            <w:pPr>
              <w:spacing w:after="0" w:line="20" w:lineRule="exact"/>
              <w:rPr>
                <w:sz w:val="1"/>
                <w:szCs w:val="1"/>
                <w:color w:val="auto"/>
              </w:rPr>
            </w:pPr>
          </w:p>
        </w:tc>
        <w:tc>
          <w:tcPr>
            <w:tcW w:w="1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E7417A"/>
          </w:tcPr>
          <w:p>
            <w:pPr>
              <w:spacing w:after="0" w:line="20" w:lineRule="exact"/>
              <w:rPr>
                <w:sz w:val="1"/>
                <w:szCs w:val="1"/>
                <w:color w:val="auto"/>
              </w:rPr>
            </w:pPr>
          </w:p>
        </w:tc>
        <w:tc>
          <w:tcPr>
            <w:tcW w:w="440" w:type="dxa"/>
            <w:vAlign w:val="bottom"/>
            <w:shd w:val="clear" w:color="auto" w:fill="E7417A"/>
          </w:tcPr>
          <w:p>
            <w:pPr>
              <w:spacing w:after="0" w:line="20" w:lineRule="exact"/>
              <w:rPr>
                <w:sz w:val="1"/>
                <w:szCs w:val="1"/>
                <w:color w:val="auto"/>
              </w:rPr>
            </w:pPr>
          </w:p>
        </w:tc>
        <w:tc>
          <w:tcPr>
            <w:tcW w:w="26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40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42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60" w:type="dxa"/>
            <w:vAlign w:val="bottom"/>
            <w:shd w:val="clear" w:color="auto" w:fill="E7417A"/>
          </w:tcPr>
          <w:p>
            <w:pPr>
              <w:spacing w:after="0" w:line="20" w:lineRule="exact"/>
              <w:rPr>
                <w:sz w:val="1"/>
                <w:szCs w:val="1"/>
                <w:color w:val="auto"/>
              </w:rPr>
            </w:pPr>
          </w:p>
        </w:tc>
        <w:tc>
          <w:tcPr>
            <w:tcW w:w="220" w:type="dxa"/>
            <w:vAlign w:val="bottom"/>
            <w:tcBorders>
              <w:right w:val="single" w:sz="8" w:color="FEFEFE"/>
            </w:tcBorders>
            <w:shd w:val="clear" w:color="auto" w:fill="E7417A"/>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120" w:type="dxa"/>
            <w:vAlign w:val="bottom"/>
          </w:tcPr>
          <w:p>
            <w:pPr>
              <w:ind w:left="460"/>
              <w:spacing w:after="0"/>
              <w:rPr>
                <w:sz w:val="20"/>
                <w:szCs w:val="20"/>
                <w:color w:val="auto"/>
              </w:rPr>
            </w:pPr>
            <w:r>
              <w:rPr>
                <w:rFonts w:ascii="Arial" w:cs="Arial" w:eastAsia="Arial" w:hAnsi="Arial"/>
                <w:sz w:val="13"/>
                <w:szCs w:val="13"/>
                <w:color w:val="auto"/>
              </w:rPr>
              <w:t>Sales and</w:t>
            </w:r>
          </w:p>
        </w:tc>
        <w:tc>
          <w:tcPr>
            <w:tcW w:w="600" w:type="dxa"/>
            <w:vAlign w:val="bottom"/>
          </w:tcPr>
          <w:p>
            <w:pPr>
              <w:spacing w:after="0"/>
              <w:rPr>
                <w:sz w:val="17"/>
                <w:szCs w:val="17"/>
                <w:color w:val="auto"/>
              </w:rPr>
            </w:pPr>
          </w:p>
        </w:tc>
        <w:tc>
          <w:tcPr>
            <w:tcW w:w="420" w:type="dxa"/>
            <w:vAlign w:val="bottom"/>
            <w:gridSpan w:val="3"/>
            <w:vMerge w:val="restart"/>
          </w:tcPr>
          <w:p>
            <w:pPr>
              <w:ind w:left="160"/>
              <w:spacing w:after="0"/>
              <w:rPr>
                <w:sz w:val="20"/>
                <w:szCs w:val="20"/>
                <w:color w:val="auto"/>
              </w:rPr>
            </w:pPr>
            <w:r>
              <w:rPr>
                <w:rFonts w:ascii="Arial" w:cs="Arial" w:eastAsia="Arial" w:hAnsi="Arial"/>
                <w:sz w:val="14"/>
                <w:szCs w:val="14"/>
                <w:color w:val="auto"/>
              </w:rPr>
              <w:t>​ ​</w:t>
            </w:r>
          </w:p>
        </w:tc>
        <w:tc>
          <w:tcPr>
            <w:tcW w:w="42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340" w:type="dxa"/>
            <w:vAlign w:val="bottom"/>
            <w:gridSpan w:val="3"/>
            <w:vMerge w:val="restart"/>
          </w:tcPr>
          <w:p>
            <w:pPr>
              <w:ind w:left="40"/>
              <w:spacing w:after="0"/>
              <w:rPr>
                <w:sz w:val="20"/>
                <w:szCs w:val="20"/>
                <w:color w:val="auto"/>
              </w:rPr>
            </w:pPr>
            <w:r>
              <w:rPr>
                <w:rFonts w:ascii="Arial" w:cs="Arial" w:eastAsia="Arial" w:hAnsi="Arial"/>
                <w:sz w:val="14"/>
                <w:szCs w:val="14"/>
                <w:color w:val="auto"/>
              </w:rPr>
              <w:t>​ ​</w:t>
            </w:r>
          </w:p>
        </w:tc>
        <w:tc>
          <w:tcPr>
            <w:tcW w:w="3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6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6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tcPr>
          <w:p>
            <w:pPr>
              <w:ind w:left="22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62259D"/>
          </w:tcPr>
          <w:p>
            <w:pPr>
              <w:ind w:left="40"/>
              <w:spacing w:after="0"/>
              <w:rPr>
                <w:sz w:val="20"/>
                <w:szCs w:val="20"/>
                <w:color w:val="auto"/>
              </w:rPr>
            </w:pPr>
            <w:r>
              <w:rPr>
                <w:rFonts w:ascii="Arial" w:cs="Arial" w:eastAsia="Arial" w:hAnsi="Arial"/>
                <w:sz w:val="14"/>
                <w:szCs w:val="14"/>
                <w:color w:val="auto"/>
              </w:rPr>
              <w:t>​</w:t>
            </w:r>
          </w:p>
        </w:tc>
        <w:tc>
          <w:tcPr>
            <w:tcW w:w="40" w:type="dxa"/>
            <w:vAlign w:val="bottom"/>
            <w:shd w:val="clear" w:color="auto" w:fill="62259D"/>
          </w:tcPr>
          <w:p>
            <w:pPr>
              <w:spacing w:after="0"/>
              <w:rPr>
                <w:sz w:val="17"/>
                <w:szCs w:val="17"/>
                <w:color w:val="auto"/>
              </w:rPr>
            </w:pPr>
          </w:p>
        </w:tc>
        <w:tc>
          <w:tcPr>
            <w:tcW w:w="180" w:type="dxa"/>
            <w:vAlign w:val="bottom"/>
            <w:vMerge w:val="restart"/>
            <w:shd w:val="clear" w:color="auto" w:fill="62259D"/>
          </w:tcPr>
          <w:p>
            <w:pPr>
              <w:jc w:val="right"/>
              <w:ind w:right="8"/>
              <w:spacing w:after="0"/>
              <w:rPr>
                <w:sz w:val="20"/>
                <w:szCs w:val="20"/>
                <w:color w:val="auto"/>
              </w:rPr>
            </w:pPr>
            <w:r>
              <w:rPr>
                <w:rFonts w:ascii="Arial" w:cs="Arial" w:eastAsia="Arial" w:hAnsi="Arial"/>
                <w:sz w:val="14"/>
                <w:szCs w:val="14"/>
                <w:b w:val="1"/>
                <w:bCs w:val="1"/>
                <w:color w:val="FEFEFE"/>
              </w:rPr>
              <w:t>2</w:t>
            </w:r>
          </w:p>
        </w:tc>
        <w:tc>
          <w:tcPr>
            <w:tcW w:w="100" w:type="dxa"/>
            <w:vAlign w:val="bottom"/>
            <w:vMerge w:val="restart"/>
            <w:shd w:val="clear" w:color="auto" w:fill="62259D"/>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1120" w:type="dxa"/>
            <w:vAlign w:val="bottom"/>
          </w:tcPr>
          <w:p>
            <w:pPr>
              <w:ind w:left="440"/>
              <w:spacing w:after="0" w:line="28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3"/>
                <w:szCs w:val="13"/>
                <w:color w:val="auto"/>
              </w:rPr>
              <w:t>marketing</w:t>
            </w:r>
          </w:p>
        </w:tc>
        <w:tc>
          <w:tcPr>
            <w:tcW w:w="600" w:type="dxa"/>
            <w:vAlign w:val="bottom"/>
          </w:tcPr>
          <w:p>
            <w:pPr>
              <w:spacing w:after="0"/>
              <w:rPr>
                <w:sz w:val="24"/>
                <w:szCs w:val="24"/>
                <w:color w:val="auto"/>
              </w:rPr>
            </w:pPr>
          </w:p>
        </w:tc>
        <w:tc>
          <w:tcPr>
            <w:tcW w:w="420" w:type="dxa"/>
            <w:vAlign w:val="bottom"/>
            <w:gridSpan w:val="3"/>
            <w:vMerge w:val="continue"/>
          </w:tcPr>
          <w:p>
            <w:pPr>
              <w:spacing w:after="0"/>
              <w:rPr>
                <w:sz w:val="24"/>
                <w:szCs w:val="24"/>
                <w:color w:val="auto"/>
              </w:rPr>
            </w:pPr>
          </w:p>
        </w:tc>
        <w:tc>
          <w:tcPr>
            <w:tcW w:w="420" w:type="dxa"/>
            <w:vAlign w:val="bottom"/>
            <w:vMerge w:val="continue"/>
          </w:tcPr>
          <w:p>
            <w:pPr>
              <w:spacing w:after="0"/>
              <w:rPr>
                <w:sz w:val="24"/>
                <w:szCs w:val="24"/>
                <w:color w:val="auto"/>
              </w:rPr>
            </w:pPr>
          </w:p>
        </w:tc>
        <w:tc>
          <w:tcPr>
            <w:tcW w:w="340" w:type="dxa"/>
            <w:vAlign w:val="bottom"/>
            <w:gridSpan w:val="3"/>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gridSpan w:val="2"/>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440" w:type="dxa"/>
            <w:vAlign w:val="bottom"/>
            <w:vMerge w:val="continue"/>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400" w:type="dxa"/>
            <w:vAlign w:val="bottom"/>
            <w:vMerge w:val="continue"/>
          </w:tcPr>
          <w:p>
            <w:pPr>
              <w:spacing w:after="0"/>
              <w:rPr>
                <w:sz w:val="24"/>
                <w:szCs w:val="24"/>
                <w:color w:val="auto"/>
              </w:rPr>
            </w:pPr>
          </w:p>
        </w:tc>
        <w:tc>
          <w:tcPr>
            <w:tcW w:w="140" w:type="dxa"/>
            <w:vAlign w:val="bottom"/>
            <w:gridSpan w:val="2"/>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420" w:type="dxa"/>
            <w:vAlign w:val="bottom"/>
            <w:vMerge w:val="continue"/>
          </w:tcPr>
          <w:p>
            <w:pPr>
              <w:spacing w:after="0"/>
              <w:rPr>
                <w:sz w:val="24"/>
                <w:szCs w:val="24"/>
                <w:color w:val="auto"/>
              </w:rPr>
            </w:pPr>
          </w:p>
        </w:tc>
        <w:tc>
          <w:tcPr>
            <w:tcW w:w="120" w:type="dxa"/>
            <w:vAlign w:val="bottom"/>
            <w:gridSpan w:val="2"/>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80" w:type="dxa"/>
            <w:vAlign w:val="bottom"/>
            <w:vMerge w:val="continue"/>
            <w:shd w:val="clear" w:color="auto" w:fill="62259D"/>
          </w:tcPr>
          <w:p>
            <w:pPr>
              <w:spacing w:after="0"/>
              <w:rPr>
                <w:sz w:val="24"/>
                <w:szCs w:val="24"/>
                <w:color w:val="auto"/>
              </w:rPr>
            </w:pPr>
          </w:p>
        </w:tc>
        <w:tc>
          <w:tcPr>
            <w:tcW w:w="40" w:type="dxa"/>
            <w:vAlign w:val="bottom"/>
            <w:shd w:val="clear" w:color="auto" w:fill="62259D"/>
          </w:tcPr>
          <w:p>
            <w:pPr>
              <w:spacing w:after="0"/>
              <w:rPr>
                <w:sz w:val="24"/>
                <w:szCs w:val="24"/>
                <w:color w:val="auto"/>
              </w:rPr>
            </w:pPr>
          </w:p>
        </w:tc>
        <w:tc>
          <w:tcPr>
            <w:tcW w:w="180" w:type="dxa"/>
            <w:vAlign w:val="bottom"/>
            <w:vMerge w:val="continue"/>
            <w:shd w:val="clear" w:color="auto" w:fill="62259D"/>
          </w:tcPr>
          <w:p>
            <w:pPr>
              <w:spacing w:after="0"/>
              <w:rPr>
                <w:sz w:val="24"/>
                <w:szCs w:val="24"/>
                <w:color w:val="auto"/>
              </w:rPr>
            </w:pPr>
          </w:p>
        </w:tc>
        <w:tc>
          <w:tcPr>
            <w:tcW w:w="100" w:type="dxa"/>
            <w:vAlign w:val="bottom"/>
            <w:vMerge w:val="continue"/>
            <w:shd w:val="clear" w:color="auto" w:fill="62259D"/>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E7417A"/>
          </w:tcPr>
          <w:p>
            <w:pPr>
              <w:spacing w:after="0" w:line="20" w:lineRule="exact"/>
              <w:rPr>
                <w:sz w:val="1"/>
                <w:szCs w:val="1"/>
                <w:color w:val="auto"/>
              </w:rPr>
            </w:pPr>
          </w:p>
        </w:tc>
        <w:tc>
          <w:tcPr>
            <w:tcW w:w="1720" w:type="dxa"/>
            <w:vAlign w:val="bottom"/>
            <w:gridSpan w:val="2"/>
            <w:shd w:val="clear" w:color="auto" w:fill="E7417A"/>
          </w:tcPr>
          <w:p>
            <w:pPr>
              <w:spacing w:after="0" w:line="20" w:lineRule="exact"/>
              <w:rPr>
                <w:sz w:val="1"/>
                <w:szCs w:val="1"/>
                <w:color w:val="auto"/>
              </w:rPr>
            </w:pPr>
          </w:p>
        </w:tc>
        <w:tc>
          <w:tcPr>
            <w:tcW w:w="18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42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E7417A"/>
          </w:tcPr>
          <w:p>
            <w:pPr>
              <w:spacing w:after="0" w:line="20" w:lineRule="exact"/>
              <w:rPr>
                <w:sz w:val="1"/>
                <w:szCs w:val="1"/>
                <w:color w:val="auto"/>
              </w:rPr>
            </w:pPr>
          </w:p>
        </w:tc>
        <w:tc>
          <w:tcPr>
            <w:tcW w:w="460" w:type="dxa"/>
            <w:vAlign w:val="bottom"/>
            <w:shd w:val="clear" w:color="auto" w:fill="E7417A"/>
          </w:tcPr>
          <w:p>
            <w:pPr>
              <w:spacing w:after="0" w:line="20" w:lineRule="exact"/>
              <w:rPr>
                <w:sz w:val="1"/>
                <w:szCs w:val="1"/>
                <w:color w:val="auto"/>
              </w:rPr>
            </w:pPr>
          </w:p>
        </w:tc>
        <w:tc>
          <w:tcPr>
            <w:tcW w:w="1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E7417A"/>
          </w:tcPr>
          <w:p>
            <w:pPr>
              <w:spacing w:after="0" w:line="20" w:lineRule="exact"/>
              <w:rPr>
                <w:sz w:val="1"/>
                <w:szCs w:val="1"/>
                <w:color w:val="auto"/>
              </w:rPr>
            </w:pPr>
          </w:p>
        </w:tc>
        <w:tc>
          <w:tcPr>
            <w:tcW w:w="440" w:type="dxa"/>
            <w:vAlign w:val="bottom"/>
            <w:shd w:val="clear" w:color="auto" w:fill="E7417A"/>
          </w:tcPr>
          <w:p>
            <w:pPr>
              <w:spacing w:after="0" w:line="20" w:lineRule="exact"/>
              <w:rPr>
                <w:sz w:val="1"/>
                <w:szCs w:val="1"/>
                <w:color w:val="auto"/>
              </w:rPr>
            </w:pPr>
          </w:p>
        </w:tc>
        <w:tc>
          <w:tcPr>
            <w:tcW w:w="26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40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42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60" w:type="dxa"/>
            <w:vAlign w:val="bottom"/>
            <w:shd w:val="clear" w:color="auto" w:fill="E7417A"/>
          </w:tcPr>
          <w:p>
            <w:pPr>
              <w:spacing w:after="0" w:line="20" w:lineRule="exact"/>
              <w:rPr>
                <w:sz w:val="1"/>
                <w:szCs w:val="1"/>
                <w:color w:val="auto"/>
              </w:rPr>
            </w:pPr>
          </w:p>
        </w:tc>
        <w:tc>
          <w:tcPr>
            <w:tcW w:w="220" w:type="dxa"/>
            <w:vAlign w:val="bottom"/>
            <w:tcBorders>
              <w:right w:val="single" w:sz="8" w:color="FEFEFE"/>
            </w:tcBorders>
            <w:shd w:val="clear" w:color="auto" w:fill="E7417A"/>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Strategic planning,</w:t>
            </w:r>
          </w:p>
        </w:tc>
        <w:tc>
          <w:tcPr>
            <w:tcW w:w="420" w:type="dxa"/>
            <w:vAlign w:val="bottom"/>
            <w:gridSpan w:val="3"/>
            <w:vMerge w:val="restart"/>
          </w:tcPr>
          <w:p>
            <w:pPr>
              <w:ind w:left="160"/>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17"/>
                <w:szCs w:val="17"/>
                <w:color w:val="auto"/>
              </w:rPr>
            </w:pPr>
          </w:p>
        </w:tc>
        <w:tc>
          <w:tcPr>
            <w:tcW w:w="340" w:type="dxa"/>
            <w:vAlign w:val="bottom"/>
            <w:gridSpan w:val="3"/>
            <w:vMerge w:val="restart"/>
          </w:tcPr>
          <w:p>
            <w:pPr>
              <w:ind w:left="4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17"/>
                <w:szCs w:val="17"/>
                <w:color w:val="auto"/>
              </w:rPr>
            </w:pPr>
          </w:p>
        </w:tc>
        <w:tc>
          <w:tcPr>
            <w:tcW w:w="24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6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6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280" w:type="dxa"/>
            <w:vAlign w:val="bottom"/>
            <w:gridSpan w:val="2"/>
            <w:vMerge w:val="restart"/>
          </w:tcPr>
          <w:p>
            <w:pPr>
              <w:ind w:left="22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2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62259D"/>
          </w:tcPr>
          <w:p>
            <w:pPr>
              <w:ind w:left="40"/>
              <w:spacing w:after="0"/>
              <w:rPr>
                <w:sz w:val="20"/>
                <w:szCs w:val="20"/>
                <w:color w:val="auto"/>
              </w:rPr>
            </w:pPr>
            <w:r>
              <w:rPr>
                <w:rFonts w:ascii="Arial" w:cs="Arial" w:eastAsia="Arial" w:hAnsi="Arial"/>
                <w:sz w:val="14"/>
                <w:szCs w:val="14"/>
                <w:color w:val="auto"/>
              </w:rPr>
              <w:t>​</w:t>
            </w:r>
          </w:p>
        </w:tc>
        <w:tc>
          <w:tcPr>
            <w:tcW w:w="40" w:type="dxa"/>
            <w:vAlign w:val="bottom"/>
            <w:shd w:val="clear" w:color="auto" w:fill="62259D"/>
          </w:tcPr>
          <w:p>
            <w:pPr>
              <w:spacing w:after="0"/>
              <w:rPr>
                <w:sz w:val="17"/>
                <w:szCs w:val="17"/>
                <w:color w:val="auto"/>
              </w:rPr>
            </w:pPr>
          </w:p>
        </w:tc>
        <w:tc>
          <w:tcPr>
            <w:tcW w:w="180" w:type="dxa"/>
            <w:vAlign w:val="bottom"/>
            <w:vMerge w:val="restart"/>
            <w:shd w:val="clear" w:color="auto" w:fill="62259D"/>
          </w:tcPr>
          <w:p>
            <w:pPr>
              <w:jc w:val="right"/>
              <w:ind w:right="8"/>
              <w:spacing w:after="0"/>
              <w:rPr>
                <w:sz w:val="20"/>
                <w:szCs w:val="20"/>
                <w:color w:val="auto"/>
              </w:rPr>
            </w:pPr>
            <w:r>
              <w:rPr>
                <w:rFonts w:ascii="Arial" w:cs="Arial" w:eastAsia="Arial" w:hAnsi="Arial"/>
                <w:sz w:val="14"/>
                <w:szCs w:val="14"/>
                <w:b w:val="1"/>
                <w:bCs w:val="1"/>
                <w:color w:val="FEFEFE"/>
              </w:rPr>
              <w:t>7</w:t>
            </w:r>
          </w:p>
        </w:tc>
        <w:tc>
          <w:tcPr>
            <w:tcW w:w="100" w:type="dxa"/>
            <w:vAlign w:val="bottom"/>
            <w:vMerge w:val="restart"/>
            <w:shd w:val="clear" w:color="auto" w:fill="62259D"/>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4"/>
        </w:trPr>
        <w:tc>
          <w:tcPr>
            <w:tcW w:w="80" w:type="dxa"/>
            <w:vAlign w:val="bottom"/>
          </w:tcPr>
          <w:p>
            <w:pPr>
              <w:spacing w:after="0"/>
              <w:rPr>
                <w:sz w:val="24"/>
                <w:szCs w:val="24"/>
                <w:color w:val="auto"/>
              </w:rPr>
            </w:pPr>
          </w:p>
        </w:tc>
        <w:tc>
          <w:tcPr>
            <w:tcW w:w="1120" w:type="dxa"/>
            <w:vAlign w:val="bottom"/>
          </w:tcPr>
          <w:p>
            <w:pPr>
              <w:ind w:left="440"/>
              <w:spacing w:after="0" w:line="28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3"/>
                <w:szCs w:val="13"/>
                <w:color w:val="auto"/>
              </w:rPr>
              <w:t>operations</w:t>
            </w:r>
          </w:p>
        </w:tc>
        <w:tc>
          <w:tcPr>
            <w:tcW w:w="600" w:type="dxa"/>
            <w:vAlign w:val="bottom"/>
          </w:tcPr>
          <w:p>
            <w:pPr>
              <w:spacing w:after="0"/>
              <w:rPr>
                <w:sz w:val="24"/>
                <w:szCs w:val="24"/>
                <w:color w:val="auto"/>
              </w:rPr>
            </w:pPr>
          </w:p>
        </w:tc>
        <w:tc>
          <w:tcPr>
            <w:tcW w:w="42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gridSpan w:val="2"/>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gridSpan w:val="2"/>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gridSpan w:val="2"/>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80" w:type="dxa"/>
            <w:vAlign w:val="bottom"/>
            <w:vMerge w:val="continue"/>
            <w:shd w:val="clear" w:color="auto" w:fill="62259D"/>
          </w:tcPr>
          <w:p>
            <w:pPr>
              <w:spacing w:after="0"/>
              <w:rPr>
                <w:sz w:val="24"/>
                <w:szCs w:val="24"/>
                <w:color w:val="auto"/>
              </w:rPr>
            </w:pPr>
          </w:p>
        </w:tc>
        <w:tc>
          <w:tcPr>
            <w:tcW w:w="40" w:type="dxa"/>
            <w:vAlign w:val="bottom"/>
            <w:shd w:val="clear" w:color="auto" w:fill="62259D"/>
          </w:tcPr>
          <w:p>
            <w:pPr>
              <w:spacing w:after="0"/>
              <w:rPr>
                <w:sz w:val="24"/>
                <w:szCs w:val="24"/>
                <w:color w:val="auto"/>
              </w:rPr>
            </w:pPr>
          </w:p>
        </w:tc>
        <w:tc>
          <w:tcPr>
            <w:tcW w:w="180" w:type="dxa"/>
            <w:vAlign w:val="bottom"/>
            <w:vMerge w:val="continue"/>
            <w:shd w:val="clear" w:color="auto" w:fill="62259D"/>
          </w:tcPr>
          <w:p>
            <w:pPr>
              <w:spacing w:after="0"/>
              <w:rPr>
                <w:sz w:val="24"/>
                <w:szCs w:val="24"/>
                <w:color w:val="auto"/>
              </w:rPr>
            </w:pPr>
          </w:p>
        </w:tc>
        <w:tc>
          <w:tcPr>
            <w:tcW w:w="100" w:type="dxa"/>
            <w:vAlign w:val="bottom"/>
            <w:vMerge w:val="continue"/>
            <w:shd w:val="clear" w:color="auto" w:fill="62259D"/>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E7417A"/>
          </w:tcPr>
          <w:p>
            <w:pPr>
              <w:spacing w:after="0" w:line="20" w:lineRule="exact"/>
              <w:rPr>
                <w:sz w:val="1"/>
                <w:szCs w:val="1"/>
                <w:color w:val="auto"/>
              </w:rPr>
            </w:pPr>
          </w:p>
        </w:tc>
        <w:tc>
          <w:tcPr>
            <w:tcW w:w="1720" w:type="dxa"/>
            <w:vAlign w:val="bottom"/>
            <w:gridSpan w:val="2"/>
            <w:shd w:val="clear" w:color="auto" w:fill="E7417A"/>
          </w:tcPr>
          <w:p>
            <w:pPr>
              <w:spacing w:after="0" w:line="20" w:lineRule="exact"/>
              <w:rPr>
                <w:sz w:val="1"/>
                <w:szCs w:val="1"/>
                <w:color w:val="auto"/>
              </w:rPr>
            </w:pPr>
          </w:p>
        </w:tc>
        <w:tc>
          <w:tcPr>
            <w:tcW w:w="18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42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E7417A"/>
          </w:tcPr>
          <w:p>
            <w:pPr>
              <w:spacing w:after="0" w:line="20" w:lineRule="exact"/>
              <w:rPr>
                <w:sz w:val="1"/>
                <w:szCs w:val="1"/>
                <w:color w:val="auto"/>
              </w:rPr>
            </w:pPr>
          </w:p>
        </w:tc>
        <w:tc>
          <w:tcPr>
            <w:tcW w:w="460" w:type="dxa"/>
            <w:vAlign w:val="bottom"/>
            <w:shd w:val="clear" w:color="auto" w:fill="E7417A"/>
          </w:tcPr>
          <w:p>
            <w:pPr>
              <w:spacing w:after="0" w:line="20" w:lineRule="exact"/>
              <w:rPr>
                <w:sz w:val="1"/>
                <w:szCs w:val="1"/>
                <w:color w:val="auto"/>
              </w:rPr>
            </w:pPr>
          </w:p>
        </w:tc>
        <w:tc>
          <w:tcPr>
            <w:tcW w:w="1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E7417A"/>
          </w:tcPr>
          <w:p>
            <w:pPr>
              <w:spacing w:after="0" w:line="20" w:lineRule="exact"/>
              <w:rPr>
                <w:sz w:val="1"/>
                <w:szCs w:val="1"/>
                <w:color w:val="auto"/>
              </w:rPr>
            </w:pPr>
          </w:p>
        </w:tc>
        <w:tc>
          <w:tcPr>
            <w:tcW w:w="440" w:type="dxa"/>
            <w:vAlign w:val="bottom"/>
            <w:shd w:val="clear" w:color="auto" w:fill="E7417A"/>
          </w:tcPr>
          <w:p>
            <w:pPr>
              <w:spacing w:after="0" w:line="20" w:lineRule="exact"/>
              <w:rPr>
                <w:sz w:val="1"/>
                <w:szCs w:val="1"/>
                <w:color w:val="auto"/>
              </w:rPr>
            </w:pPr>
          </w:p>
        </w:tc>
        <w:tc>
          <w:tcPr>
            <w:tcW w:w="26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40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42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60" w:type="dxa"/>
            <w:vAlign w:val="bottom"/>
            <w:shd w:val="clear" w:color="auto" w:fill="E7417A"/>
          </w:tcPr>
          <w:p>
            <w:pPr>
              <w:spacing w:after="0" w:line="20" w:lineRule="exact"/>
              <w:rPr>
                <w:sz w:val="1"/>
                <w:szCs w:val="1"/>
                <w:color w:val="auto"/>
              </w:rPr>
            </w:pPr>
          </w:p>
        </w:tc>
        <w:tc>
          <w:tcPr>
            <w:tcW w:w="220" w:type="dxa"/>
            <w:vAlign w:val="bottom"/>
            <w:tcBorders>
              <w:right w:val="single" w:sz="8" w:color="FEFEFE"/>
            </w:tcBorders>
            <w:shd w:val="clear" w:color="auto" w:fill="E7417A"/>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0" w:type="dxa"/>
            <w:vAlign w:val="bottom"/>
          </w:tcPr>
          <w:p>
            <w:pPr>
              <w:spacing w:after="0"/>
              <w:rPr>
                <w:sz w:val="24"/>
                <w:szCs w:val="24"/>
                <w:color w:val="auto"/>
              </w:rPr>
            </w:pPr>
          </w:p>
        </w:tc>
        <w:tc>
          <w:tcPr>
            <w:tcW w:w="1720" w:type="dxa"/>
            <w:vAlign w:val="bottom"/>
            <w:gridSpan w:val="2"/>
          </w:tcPr>
          <w:p>
            <w:pPr>
              <w:ind w:left="4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3"/>
                <w:szCs w:val="13"/>
                <w:color w:val="auto"/>
              </w:rPr>
              <w:t>Risk management</w:t>
            </w:r>
          </w:p>
        </w:tc>
        <w:tc>
          <w:tcPr>
            <w:tcW w:w="420" w:type="dxa"/>
            <w:vAlign w:val="bottom"/>
            <w:gridSpan w:val="3"/>
          </w:tcPr>
          <w:p>
            <w:pPr>
              <w:ind w:left="160"/>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24"/>
                <w:szCs w:val="24"/>
                <w:color w:val="auto"/>
              </w:rPr>
            </w:pPr>
          </w:p>
        </w:tc>
        <w:tc>
          <w:tcPr>
            <w:tcW w:w="340" w:type="dxa"/>
            <w:vAlign w:val="bottom"/>
            <w:gridSpan w:val="3"/>
          </w:tcPr>
          <w:p>
            <w:pPr>
              <w:ind w:left="4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24"/>
                <w:szCs w:val="24"/>
                <w:color w:val="auto"/>
              </w:rPr>
            </w:pPr>
          </w:p>
        </w:tc>
        <w:tc>
          <w:tcPr>
            <w:tcW w:w="2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380" w:type="dxa"/>
            <w:vAlign w:val="bottom"/>
          </w:tcPr>
          <w:p>
            <w:pPr>
              <w:ind w:left="40"/>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1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00" w:type="dxa"/>
            <w:vAlign w:val="bottom"/>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2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220" w:type="dxa"/>
            <w:vAlign w:val="bottom"/>
          </w:tcPr>
          <w:p>
            <w:pPr>
              <w:ind w:lef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62259D"/>
          </w:tcPr>
          <w:p>
            <w:pPr>
              <w:ind w:left="40"/>
              <w:spacing w:after="0"/>
              <w:rPr>
                <w:sz w:val="20"/>
                <w:szCs w:val="20"/>
                <w:color w:val="auto"/>
              </w:rPr>
            </w:pPr>
            <w:r>
              <w:rPr>
                <w:rFonts w:ascii="Arial" w:cs="Arial" w:eastAsia="Arial" w:hAnsi="Arial"/>
                <w:sz w:val="14"/>
                <w:szCs w:val="14"/>
                <w:color w:val="auto"/>
              </w:rPr>
              <w:t>​</w:t>
            </w:r>
          </w:p>
        </w:tc>
        <w:tc>
          <w:tcPr>
            <w:tcW w:w="40" w:type="dxa"/>
            <w:vAlign w:val="bottom"/>
            <w:shd w:val="clear" w:color="auto" w:fill="62259D"/>
          </w:tcPr>
          <w:p>
            <w:pPr>
              <w:spacing w:after="0"/>
              <w:rPr>
                <w:sz w:val="24"/>
                <w:szCs w:val="24"/>
                <w:color w:val="auto"/>
              </w:rPr>
            </w:pPr>
          </w:p>
        </w:tc>
        <w:tc>
          <w:tcPr>
            <w:tcW w:w="180" w:type="dxa"/>
            <w:vAlign w:val="bottom"/>
            <w:shd w:val="clear" w:color="auto" w:fill="62259D"/>
          </w:tcPr>
          <w:p>
            <w:pPr>
              <w:jc w:val="right"/>
              <w:ind w:right="8"/>
              <w:spacing w:after="0"/>
              <w:rPr>
                <w:sz w:val="20"/>
                <w:szCs w:val="20"/>
                <w:color w:val="auto"/>
              </w:rPr>
            </w:pPr>
            <w:r>
              <w:rPr>
                <w:rFonts w:ascii="Arial" w:cs="Arial" w:eastAsia="Arial" w:hAnsi="Arial"/>
                <w:sz w:val="14"/>
                <w:szCs w:val="14"/>
                <w:b w:val="1"/>
                <w:bCs w:val="1"/>
                <w:color w:val="FEFEFE"/>
              </w:rPr>
              <w:t>8</w:t>
            </w:r>
          </w:p>
        </w:tc>
        <w:tc>
          <w:tcPr>
            <w:tcW w:w="100" w:type="dxa"/>
            <w:vAlign w:val="bottom"/>
            <w:shd w:val="clear" w:color="auto" w:fill="62259D"/>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0"/>
        </w:trPr>
        <w:tc>
          <w:tcPr>
            <w:tcW w:w="80" w:type="dxa"/>
            <w:vAlign w:val="bottom"/>
            <w:tcBorders>
              <w:bottom w:val="single" w:sz="8" w:color="E7417A"/>
            </w:tcBorders>
          </w:tcPr>
          <w:p>
            <w:pPr>
              <w:spacing w:after="0"/>
              <w:rPr>
                <w:sz w:val="8"/>
                <w:szCs w:val="8"/>
                <w:color w:val="auto"/>
              </w:rPr>
            </w:pPr>
          </w:p>
        </w:tc>
        <w:tc>
          <w:tcPr>
            <w:tcW w:w="1720" w:type="dxa"/>
            <w:vAlign w:val="bottom"/>
            <w:tcBorders>
              <w:bottom w:val="single" w:sz="8" w:color="E7417A"/>
            </w:tcBorders>
            <w:gridSpan w:val="2"/>
          </w:tcPr>
          <w:p>
            <w:pPr>
              <w:spacing w:after="0"/>
              <w:rPr>
                <w:sz w:val="8"/>
                <w:szCs w:val="8"/>
                <w:color w:val="auto"/>
              </w:rPr>
            </w:pPr>
          </w:p>
        </w:tc>
        <w:tc>
          <w:tcPr>
            <w:tcW w:w="180" w:type="dxa"/>
            <w:vAlign w:val="bottom"/>
            <w:tcBorders>
              <w:bottom w:val="single" w:sz="8" w:color="E7417A"/>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bottom w:val="single" w:sz="8" w:color="E7417A"/>
            </w:tcBorders>
          </w:tcPr>
          <w:p>
            <w:pPr>
              <w:spacing w:after="0"/>
              <w:rPr>
                <w:sz w:val="8"/>
                <w:szCs w:val="8"/>
                <w:color w:val="auto"/>
              </w:rPr>
            </w:pPr>
          </w:p>
        </w:tc>
        <w:tc>
          <w:tcPr>
            <w:tcW w:w="420" w:type="dxa"/>
            <w:vAlign w:val="bottom"/>
            <w:tcBorders>
              <w:bottom w:val="single" w:sz="8" w:color="E7417A"/>
            </w:tcBorders>
          </w:tcPr>
          <w:p>
            <w:pPr>
              <w:spacing w:after="0"/>
              <w:rPr>
                <w:sz w:val="8"/>
                <w:szCs w:val="8"/>
                <w:color w:val="auto"/>
              </w:rPr>
            </w:pPr>
          </w:p>
        </w:tc>
        <w:tc>
          <w:tcPr>
            <w:tcW w:w="8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E7417A"/>
            </w:tcBorders>
          </w:tcPr>
          <w:p>
            <w:pPr>
              <w:spacing w:after="0"/>
              <w:rPr>
                <w:sz w:val="8"/>
                <w:szCs w:val="8"/>
                <w:color w:val="auto"/>
              </w:rPr>
            </w:pPr>
          </w:p>
        </w:tc>
        <w:tc>
          <w:tcPr>
            <w:tcW w:w="340" w:type="dxa"/>
            <w:vAlign w:val="bottom"/>
            <w:tcBorders>
              <w:bottom w:val="single" w:sz="8" w:color="E7417A"/>
            </w:tcBorders>
          </w:tcPr>
          <w:p>
            <w:pPr>
              <w:spacing w:after="0"/>
              <w:rPr>
                <w:sz w:val="8"/>
                <w:szCs w:val="8"/>
                <w:color w:val="auto"/>
              </w:rPr>
            </w:pPr>
          </w:p>
        </w:tc>
        <w:tc>
          <w:tcPr>
            <w:tcW w:w="200" w:type="dxa"/>
            <w:vAlign w:val="bottom"/>
            <w:tcBorders>
              <w:bottom w:val="single" w:sz="8" w:color="E7417A"/>
            </w:tcBorders>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bottom w:val="single" w:sz="8" w:color="E7417A"/>
            </w:tcBorders>
          </w:tcPr>
          <w:p>
            <w:pPr>
              <w:spacing w:after="0"/>
              <w:rPr>
                <w:sz w:val="8"/>
                <w:szCs w:val="8"/>
                <w:color w:val="auto"/>
              </w:rPr>
            </w:pPr>
          </w:p>
        </w:tc>
        <w:tc>
          <w:tcPr>
            <w:tcW w:w="34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E7417A"/>
            </w:tcBorders>
          </w:tcPr>
          <w:p>
            <w:pPr>
              <w:spacing w:after="0"/>
              <w:rPr>
                <w:sz w:val="8"/>
                <w:szCs w:val="8"/>
                <w:color w:val="auto"/>
              </w:rPr>
            </w:pPr>
          </w:p>
        </w:tc>
        <w:tc>
          <w:tcPr>
            <w:tcW w:w="460" w:type="dxa"/>
            <w:vAlign w:val="bottom"/>
            <w:tcBorders>
              <w:bottom w:val="single" w:sz="8" w:color="E7417A"/>
            </w:tcBorders>
          </w:tcPr>
          <w:p>
            <w:pPr>
              <w:spacing w:after="0"/>
              <w:rPr>
                <w:sz w:val="8"/>
                <w:szCs w:val="8"/>
                <w:color w:val="auto"/>
              </w:rPr>
            </w:pPr>
          </w:p>
        </w:tc>
        <w:tc>
          <w:tcPr>
            <w:tcW w:w="14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E7417A"/>
            </w:tcBorders>
          </w:tcPr>
          <w:p>
            <w:pPr>
              <w:spacing w:after="0"/>
              <w:rPr>
                <w:sz w:val="8"/>
                <w:szCs w:val="8"/>
                <w:color w:val="auto"/>
              </w:rPr>
            </w:pPr>
          </w:p>
        </w:tc>
        <w:tc>
          <w:tcPr>
            <w:tcW w:w="440" w:type="dxa"/>
            <w:vAlign w:val="bottom"/>
            <w:tcBorders>
              <w:bottom w:val="single" w:sz="8" w:color="E7417A"/>
            </w:tcBorders>
          </w:tcPr>
          <w:p>
            <w:pPr>
              <w:spacing w:after="0"/>
              <w:rPr>
                <w:sz w:val="8"/>
                <w:szCs w:val="8"/>
                <w:color w:val="auto"/>
              </w:rPr>
            </w:pPr>
          </w:p>
        </w:tc>
        <w:tc>
          <w:tcPr>
            <w:tcW w:w="26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E7417A"/>
            </w:tcBorders>
          </w:tcPr>
          <w:p>
            <w:pPr>
              <w:spacing w:after="0"/>
              <w:rPr>
                <w:sz w:val="8"/>
                <w:szCs w:val="8"/>
                <w:color w:val="auto"/>
              </w:rPr>
            </w:pPr>
          </w:p>
        </w:tc>
        <w:tc>
          <w:tcPr>
            <w:tcW w:w="400" w:type="dxa"/>
            <w:vAlign w:val="bottom"/>
            <w:tcBorders>
              <w:bottom w:val="single" w:sz="8" w:color="E7417A"/>
            </w:tcBorders>
          </w:tcPr>
          <w:p>
            <w:pPr>
              <w:spacing w:after="0"/>
              <w:rPr>
                <w:sz w:val="8"/>
                <w:szCs w:val="8"/>
                <w:color w:val="auto"/>
              </w:rPr>
            </w:pPr>
          </w:p>
        </w:tc>
        <w:tc>
          <w:tcPr>
            <w:tcW w:w="100" w:type="dxa"/>
            <w:vAlign w:val="bottom"/>
            <w:tcBorders>
              <w:bottom w:val="single" w:sz="8" w:color="E7417A"/>
            </w:tcBorders>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bottom w:val="single" w:sz="8" w:color="E7417A"/>
            </w:tcBorders>
          </w:tcPr>
          <w:p>
            <w:pPr>
              <w:spacing w:after="0"/>
              <w:rPr>
                <w:sz w:val="8"/>
                <w:szCs w:val="8"/>
                <w:color w:val="auto"/>
              </w:rPr>
            </w:pPr>
          </w:p>
        </w:tc>
        <w:tc>
          <w:tcPr>
            <w:tcW w:w="420" w:type="dxa"/>
            <w:vAlign w:val="bottom"/>
            <w:tcBorders>
              <w:bottom w:val="single" w:sz="8" w:color="E7417A"/>
            </w:tcBorders>
          </w:tcPr>
          <w:p>
            <w:pPr>
              <w:spacing w:after="0"/>
              <w:rPr>
                <w:sz w:val="8"/>
                <w:szCs w:val="8"/>
                <w:color w:val="auto"/>
              </w:rPr>
            </w:pPr>
          </w:p>
        </w:tc>
        <w:tc>
          <w:tcPr>
            <w:tcW w:w="10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E7417A"/>
            </w:tcBorders>
          </w:tcPr>
          <w:p>
            <w:pPr>
              <w:spacing w:after="0"/>
              <w:rPr>
                <w:sz w:val="8"/>
                <w:szCs w:val="8"/>
                <w:color w:val="auto"/>
              </w:rPr>
            </w:pPr>
          </w:p>
        </w:tc>
        <w:tc>
          <w:tcPr>
            <w:tcW w:w="360" w:type="dxa"/>
            <w:vAlign w:val="bottom"/>
            <w:tcBorders>
              <w:bottom w:val="single" w:sz="8" w:color="E7417A"/>
            </w:tcBorders>
          </w:tcPr>
          <w:p>
            <w:pPr>
              <w:spacing w:after="0"/>
              <w:rPr>
                <w:sz w:val="8"/>
                <w:szCs w:val="8"/>
                <w:color w:val="auto"/>
              </w:rPr>
            </w:pPr>
          </w:p>
        </w:tc>
        <w:tc>
          <w:tcPr>
            <w:tcW w:w="220" w:type="dxa"/>
            <w:vAlign w:val="bottom"/>
            <w:tcBorders>
              <w:bottom w:val="single" w:sz="8" w:color="E7417A"/>
            </w:tcBorders>
          </w:tcPr>
          <w:p>
            <w:pPr>
              <w:spacing w:after="0"/>
              <w:rPr>
                <w:sz w:val="8"/>
                <w:szCs w:val="8"/>
                <w:color w:val="auto"/>
              </w:rPr>
            </w:pPr>
          </w:p>
        </w:tc>
        <w:tc>
          <w:tcPr>
            <w:tcW w:w="80" w:type="dxa"/>
            <w:vAlign w:val="bottom"/>
            <w:tcBorders>
              <w:bottom w:val="single" w:sz="8" w:color="FEFEFE"/>
            </w:tcBorders>
            <w:shd w:val="clear" w:color="auto" w:fill="62259D"/>
          </w:tcPr>
          <w:p>
            <w:pPr>
              <w:spacing w:after="0"/>
              <w:rPr>
                <w:sz w:val="8"/>
                <w:szCs w:val="8"/>
                <w:color w:val="auto"/>
              </w:rPr>
            </w:pPr>
          </w:p>
        </w:tc>
        <w:tc>
          <w:tcPr>
            <w:tcW w:w="40" w:type="dxa"/>
            <w:vAlign w:val="bottom"/>
            <w:tcBorders>
              <w:bottom w:val="single" w:sz="8" w:color="FEFEFE"/>
            </w:tcBorders>
            <w:shd w:val="clear" w:color="auto" w:fill="62259D"/>
          </w:tcPr>
          <w:p>
            <w:pPr>
              <w:spacing w:after="0"/>
              <w:rPr>
                <w:sz w:val="8"/>
                <w:szCs w:val="8"/>
                <w:color w:val="auto"/>
              </w:rPr>
            </w:pPr>
          </w:p>
        </w:tc>
        <w:tc>
          <w:tcPr>
            <w:tcW w:w="180" w:type="dxa"/>
            <w:vAlign w:val="bottom"/>
            <w:tcBorders>
              <w:bottom w:val="single" w:sz="8" w:color="FEFEFE"/>
            </w:tcBorders>
            <w:shd w:val="clear" w:color="auto" w:fill="62259D"/>
          </w:tcPr>
          <w:p>
            <w:pPr>
              <w:spacing w:after="0"/>
              <w:rPr>
                <w:sz w:val="8"/>
                <w:szCs w:val="8"/>
                <w:color w:val="auto"/>
              </w:rPr>
            </w:pPr>
          </w:p>
        </w:tc>
        <w:tc>
          <w:tcPr>
            <w:tcW w:w="100" w:type="dxa"/>
            <w:vAlign w:val="bottom"/>
            <w:tcBorders>
              <w:bottom w:val="single" w:sz="8" w:color="FEFEFE"/>
            </w:tcBorders>
            <w:shd w:val="clear" w:color="auto" w:fill="62259D"/>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Technology, digital,</w:t>
            </w:r>
          </w:p>
        </w:tc>
        <w:tc>
          <w:tcPr>
            <w:tcW w:w="420" w:type="dxa"/>
            <w:vAlign w:val="bottom"/>
            <w:gridSpan w:val="3"/>
            <w:vMerge w:val="restart"/>
          </w:tcPr>
          <w:p>
            <w:pPr>
              <w:ind w:left="160"/>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15"/>
                <w:szCs w:val="15"/>
                <w:color w:val="auto"/>
              </w:rPr>
            </w:pPr>
          </w:p>
        </w:tc>
        <w:tc>
          <w:tcPr>
            <w:tcW w:w="340" w:type="dxa"/>
            <w:vAlign w:val="bottom"/>
            <w:gridSpan w:val="3"/>
            <w:vMerge w:val="restart"/>
          </w:tcPr>
          <w:p>
            <w:pPr>
              <w:ind w:left="4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15"/>
                <w:szCs w:val="15"/>
                <w:color w:val="auto"/>
              </w:rPr>
            </w:pPr>
          </w:p>
        </w:tc>
        <w:tc>
          <w:tcPr>
            <w:tcW w:w="24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6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16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280" w:type="dxa"/>
            <w:vAlign w:val="bottom"/>
            <w:gridSpan w:val="2"/>
            <w:vMerge w:val="restart"/>
          </w:tcPr>
          <w:p>
            <w:pPr>
              <w:ind w:left="22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2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62259D"/>
          </w:tcPr>
          <w:p>
            <w:pPr>
              <w:ind w:left="40"/>
              <w:spacing w:after="0"/>
              <w:rPr>
                <w:sz w:val="20"/>
                <w:szCs w:val="20"/>
                <w:color w:val="auto"/>
              </w:rPr>
            </w:pPr>
            <w:r>
              <w:rPr>
                <w:rFonts w:ascii="Arial" w:cs="Arial" w:eastAsia="Arial" w:hAnsi="Arial"/>
                <w:sz w:val="14"/>
                <w:szCs w:val="14"/>
                <w:color w:val="auto"/>
              </w:rPr>
              <w:t>​</w:t>
            </w:r>
          </w:p>
        </w:tc>
        <w:tc>
          <w:tcPr>
            <w:tcW w:w="40" w:type="dxa"/>
            <w:vAlign w:val="bottom"/>
            <w:shd w:val="clear" w:color="auto" w:fill="62259D"/>
          </w:tcPr>
          <w:p>
            <w:pPr>
              <w:spacing w:after="0"/>
              <w:rPr>
                <w:sz w:val="15"/>
                <w:szCs w:val="15"/>
                <w:color w:val="auto"/>
              </w:rPr>
            </w:pPr>
          </w:p>
        </w:tc>
        <w:tc>
          <w:tcPr>
            <w:tcW w:w="180" w:type="dxa"/>
            <w:vAlign w:val="bottom"/>
            <w:vMerge w:val="restart"/>
            <w:shd w:val="clear" w:color="auto" w:fill="62259D"/>
          </w:tcPr>
          <w:p>
            <w:pPr>
              <w:jc w:val="right"/>
              <w:ind w:right="8"/>
              <w:spacing w:after="0"/>
              <w:rPr>
                <w:sz w:val="20"/>
                <w:szCs w:val="20"/>
                <w:color w:val="auto"/>
              </w:rPr>
            </w:pPr>
            <w:r>
              <w:rPr>
                <w:rFonts w:ascii="Arial" w:cs="Arial" w:eastAsia="Arial" w:hAnsi="Arial"/>
                <w:sz w:val="14"/>
                <w:szCs w:val="14"/>
                <w:b w:val="1"/>
                <w:bCs w:val="1"/>
                <w:color w:val="FEFEFE"/>
              </w:rPr>
              <w:t>7</w:t>
            </w:r>
          </w:p>
        </w:tc>
        <w:tc>
          <w:tcPr>
            <w:tcW w:w="100" w:type="dxa"/>
            <w:vAlign w:val="bottom"/>
            <w:vMerge w:val="restart"/>
            <w:shd w:val="clear" w:color="auto" w:fill="62259D"/>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1720" w:type="dxa"/>
            <w:vAlign w:val="bottom"/>
            <w:gridSpan w:val="2"/>
          </w:tcPr>
          <w:p>
            <w:pPr>
              <w:ind w:left="440"/>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3"/>
                <w:szCs w:val="13"/>
                <w:color w:val="auto"/>
              </w:rPr>
              <w:t>communications</w:t>
            </w:r>
          </w:p>
        </w:tc>
        <w:tc>
          <w:tcPr>
            <w:tcW w:w="420" w:type="dxa"/>
            <w:vAlign w:val="bottom"/>
            <w:gridSpan w:val="3"/>
            <w:vMerge w:val="continue"/>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gridSpan w:val="3"/>
            <w:vMerge w:val="continue"/>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38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gridSpan w:val="2"/>
            <w:vMerge w:val="continue"/>
          </w:tcPr>
          <w:p>
            <w:pPr>
              <w:spacing w:after="0"/>
              <w:rPr>
                <w:sz w:val="22"/>
                <w:szCs w:val="22"/>
                <w:color w:val="auto"/>
              </w:rPr>
            </w:pPr>
          </w:p>
        </w:tc>
        <w:tc>
          <w:tcPr>
            <w:tcW w:w="300" w:type="dxa"/>
            <w:vAlign w:val="bottom"/>
            <w:vMerge w:val="continue"/>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gridSpan w:val="2"/>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gridSpan w:val="2"/>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80" w:type="dxa"/>
            <w:vAlign w:val="bottom"/>
            <w:vMerge w:val="continue"/>
            <w:shd w:val="clear" w:color="auto" w:fill="62259D"/>
          </w:tcPr>
          <w:p>
            <w:pPr>
              <w:spacing w:after="0"/>
              <w:rPr>
                <w:sz w:val="22"/>
                <w:szCs w:val="22"/>
                <w:color w:val="auto"/>
              </w:rPr>
            </w:pPr>
          </w:p>
        </w:tc>
        <w:tc>
          <w:tcPr>
            <w:tcW w:w="40" w:type="dxa"/>
            <w:vAlign w:val="bottom"/>
            <w:shd w:val="clear" w:color="auto" w:fill="62259D"/>
          </w:tcPr>
          <w:p>
            <w:pPr>
              <w:spacing w:after="0"/>
              <w:rPr>
                <w:sz w:val="22"/>
                <w:szCs w:val="22"/>
                <w:color w:val="auto"/>
              </w:rPr>
            </w:pPr>
          </w:p>
        </w:tc>
        <w:tc>
          <w:tcPr>
            <w:tcW w:w="180" w:type="dxa"/>
            <w:vAlign w:val="bottom"/>
            <w:vMerge w:val="continue"/>
            <w:shd w:val="clear" w:color="auto" w:fill="62259D"/>
          </w:tcPr>
          <w:p>
            <w:pPr>
              <w:spacing w:after="0"/>
              <w:rPr>
                <w:sz w:val="22"/>
                <w:szCs w:val="22"/>
                <w:color w:val="auto"/>
              </w:rPr>
            </w:pPr>
          </w:p>
        </w:tc>
        <w:tc>
          <w:tcPr>
            <w:tcW w:w="100" w:type="dxa"/>
            <w:vAlign w:val="bottom"/>
            <w:vMerge w:val="continue"/>
            <w:shd w:val="clear" w:color="auto" w:fill="62259D"/>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62259D"/>
            </w:tcBorders>
          </w:tcPr>
          <w:p>
            <w:pPr>
              <w:spacing w:after="0" w:line="20" w:lineRule="exact"/>
              <w:rPr>
                <w:sz w:val="1"/>
                <w:szCs w:val="1"/>
                <w:color w:val="auto"/>
              </w:rPr>
            </w:pPr>
          </w:p>
        </w:tc>
        <w:tc>
          <w:tcPr>
            <w:tcW w:w="1120" w:type="dxa"/>
            <w:vAlign w:val="bottom"/>
            <w:tcBorders>
              <w:bottom w:val="single" w:sz="8" w:color="62259D"/>
            </w:tcBorders>
          </w:tcPr>
          <w:p>
            <w:pPr>
              <w:spacing w:after="0" w:line="20" w:lineRule="exact"/>
              <w:rPr>
                <w:sz w:val="1"/>
                <w:szCs w:val="1"/>
                <w:color w:val="auto"/>
              </w:rPr>
            </w:pPr>
          </w:p>
        </w:tc>
        <w:tc>
          <w:tcPr>
            <w:tcW w:w="600" w:type="dxa"/>
            <w:vAlign w:val="bottom"/>
            <w:tcBorders>
              <w:bottom w:val="single" w:sz="8" w:color="62259D"/>
            </w:tcBorders>
          </w:tcPr>
          <w:p>
            <w:pPr>
              <w:spacing w:after="0" w:line="20" w:lineRule="exact"/>
              <w:rPr>
                <w:sz w:val="1"/>
                <w:szCs w:val="1"/>
                <w:color w:val="auto"/>
              </w:rPr>
            </w:pPr>
          </w:p>
        </w:tc>
        <w:tc>
          <w:tcPr>
            <w:tcW w:w="180" w:type="dxa"/>
            <w:vAlign w:val="bottom"/>
            <w:tcBorders>
              <w:bottom w:val="single" w:sz="8" w:color="62259D"/>
            </w:tcBorders>
          </w:tcPr>
          <w:p>
            <w:pPr>
              <w:spacing w:after="0" w:line="20" w:lineRule="exact"/>
              <w:rPr>
                <w:sz w:val="1"/>
                <w:szCs w:val="1"/>
                <w:color w:val="auto"/>
              </w:rPr>
            </w:pPr>
          </w:p>
        </w:tc>
        <w:tc>
          <w:tcPr>
            <w:tcW w:w="40" w:type="dxa"/>
            <w:vAlign w:val="bottom"/>
            <w:tcBorders>
              <w:bottom w:val="single" w:sz="8" w:color="62259D"/>
            </w:tcBorders>
          </w:tcPr>
          <w:p>
            <w:pPr>
              <w:spacing w:after="0" w:line="20" w:lineRule="exact"/>
              <w:rPr>
                <w:sz w:val="1"/>
                <w:szCs w:val="1"/>
                <w:color w:val="auto"/>
              </w:rPr>
            </w:pPr>
          </w:p>
        </w:tc>
        <w:tc>
          <w:tcPr>
            <w:tcW w:w="200" w:type="dxa"/>
            <w:vAlign w:val="bottom"/>
            <w:tcBorders>
              <w:bottom w:val="single" w:sz="8" w:color="62259D"/>
            </w:tcBorders>
          </w:tcPr>
          <w:p>
            <w:pPr>
              <w:spacing w:after="0" w:line="20" w:lineRule="exact"/>
              <w:rPr>
                <w:sz w:val="1"/>
                <w:szCs w:val="1"/>
                <w:color w:val="auto"/>
              </w:rPr>
            </w:pPr>
          </w:p>
        </w:tc>
        <w:tc>
          <w:tcPr>
            <w:tcW w:w="420" w:type="dxa"/>
            <w:vAlign w:val="bottom"/>
            <w:tcBorders>
              <w:bottom w:val="single" w:sz="8" w:color="62259D"/>
            </w:tcBorders>
          </w:tcPr>
          <w:p>
            <w:pPr>
              <w:spacing w:after="0" w:line="20" w:lineRule="exact"/>
              <w:rPr>
                <w:sz w:val="1"/>
                <w:szCs w:val="1"/>
                <w:color w:val="auto"/>
              </w:rPr>
            </w:pPr>
          </w:p>
        </w:tc>
        <w:tc>
          <w:tcPr>
            <w:tcW w:w="80" w:type="dxa"/>
            <w:vAlign w:val="bottom"/>
            <w:tcBorders>
              <w:bottom w:val="single" w:sz="8" w:color="62259D"/>
            </w:tcBorders>
          </w:tcPr>
          <w:p>
            <w:pPr>
              <w:spacing w:after="0" w:line="20" w:lineRule="exact"/>
              <w:rPr>
                <w:sz w:val="1"/>
                <w:szCs w:val="1"/>
                <w:color w:val="auto"/>
              </w:rPr>
            </w:pPr>
          </w:p>
        </w:tc>
        <w:tc>
          <w:tcPr>
            <w:tcW w:w="20" w:type="dxa"/>
            <w:vAlign w:val="bottom"/>
            <w:tcBorders>
              <w:bottom w:val="single" w:sz="8" w:color="62259D"/>
            </w:tcBorders>
          </w:tcPr>
          <w:p>
            <w:pPr>
              <w:spacing w:after="0" w:line="20" w:lineRule="exact"/>
              <w:rPr>
                <w:sz w:val="1"/>
                <w:szCs w:val="1"/>
                <w:color w:val="auto"/>
              </w:rPr>
            </w:pPr>
          </w:p>
        </w:tc>
        <w:tc>
          <w:tcPr>
            <w:tcW w:w="240" w:type="dxa"/>
            <w:vAlign w:val="bottom"/>
            <w:tcBorders>
              <w:bottom w:val="single" w:sz="8" w:color="62259D"/>
            </w:tcBorders>
          </w:tcPr>
          <w:p>
            <w:pPr>
              <w:spacing w:after="0" w:line="20" w:lineRule="exact"/>
              <w:rPr>
                <w:sz w:val="1"/>
                <w:szCs w:val="1"/>
                <w:color w:val="auto"/>
              </w:rPr>
            </w:pPr>
          </w:p>
        </w:tc>
        <w:tc>
          <w:tcPr>
            <w:tcW w:w="340" w:type="dxa"/>
            <w:vAlign w:val="bottom"/>
            <w:tcBorders>
              <w:bottom w:val="single" w:sz="8" w:color="62259D"/>
            </w:tcBorders>
          </w:tcPr>
          <w:p>
            <w:pPr>
              <w:spacing w:after="0" w:line="20" w:lineRule="exact"/>
              <w:rPr>
                <w:sz w:val="1"/>
                <w:szCs w:val="1"/>
                <w:color w:val="auto"/>
              </w:rPr>
            </w:pPr>
          </w:p>
        </w:tc>
        <w:tc>
          <w:tcPr>
            <w:tcW w:w="200" w:type="dxa"/>
            <w:vAlign w:val="bottom"/>
            <w:tcBorders>
              <w:bottom w:val="single" w:sz="8" w:color="62259D"/>
            </w:tcBorders>
          </w:tcPr>
          <w:p>
            <w:pPr>
              <w:spacing w:after="0" w:line="20" w:lineRule="exact"/>
              <w:rPr>
                <w:sz w:val="1"/>
                <w:szCs w:val="1"/>
                <w:color w:val="auto"/>
              </w:rPr>
            </w:pPr>
          </w:p>
        </w:tc>
        <w:tc>
          <w:tcPr>
            <w:tcW w:w="40" w:type="dxa"/>
            <w:vAlign w:val="bottom"/>
            <w:tcBorders>
              <w:bottom w:val="single" w:sz="8" w:color="62259D"/>
            </w:tcBorders>
          </w:tcPr>
          <w:p>
            <w:pPr>
              <w:spacing w:after="0" w:line="20" w:lineRule="exact"/>
              <w:rPr>
                <w:sz w:val="1"/>
                <w:szCs w:val="1"/>
                <w:color w:val="auto"/>
              </w:rPr>
            </w:pPr>
          </w:p>
        </w:tc>
        <w:tc>
          <w:tcPr>
            <w:tcW w:w="380" w:type="dxa"/>
            <w:vAlign w:val="bottom"/>
            <w:tcBorders>
              <w:bottom w:val="single" w:sz="8" w:color="62259D"/>
            </w:tcBorders>
          </w:tcPr>
          <w:p>
            <w:pPr>
              <w:spacing w:after="0" w:line="20" w:lineRule="exact"/>
              <w:rPr>
                <w:sz w:val="1"/>
                <w:szCs w:val="1"/>
                <w:color w:val="auto"/>
              </w:rPr>
            </w:pPr>
          </w:p>
        </w:tc>
        <w:tc>
          <w:tcPr>
            <w:tcW w:w="340" w:type="dxa"/>
            <w:vAlign w:val="bottom"/>
            <w:tcBorders>
              <w:bottom w:val="single" w:sz="8" w:color="62259D"/>
            </w:tcBorders>
          </w:tcPr>
          <w:p>
            <w:pPr>
              <w:spacing w:after="0" w:line="20" w:lineRule="exact"/>
              <w:rPr>
                <w:sz w:val="1"/>
                <w:szCs w:val="1"/>
                <w:color w:val="auto"/>
              </w:rPr>
            </w:pPr>
          </w:p>
        </w:tc>
        <w:tc>
          <w:tcPr>
            <w:tcW w:w="20" w:type="dxa"/>
            <w:vAlign w:val="bottom"/>
            <w:tcBorders>
              <w:bottom w:val="single" w:sz="8" w:color="62259D"/>
            </w:tcBorders>
          </w:tcPr>
          <w:p>
            <w:pPr>
              <w:spacing w:after="0" w:line="20" w:lineRule="exact"/>
              <w:rPr>
                <w:sz w:val="1"/>
                <w:szCs w:val="1"/>
                <w:color w:val="auto"/>
              </w:rPr>
            </w:pPr>
          </w:p>
        </w:tc>
        <w:tc>
          <w:tcPr>
            <w:tcW w:w="160" w:type="dxa"/>
            <w:vAlign w:val="bottom"/>
            <w:tcBorders>
              <w:bottom w:val="single" w:sz="8" w:color="62259D"/>
            </w:tcBorders>
          </w:tcPr>
          <w:p>
            <w:pPr>
              <w:spacing w:after="0" w:line="20" w:lineRule="exact"/>
              <w:rPr>
                <w:sz w:val="1"/>
                <w:szCs w:val="1"/>
                <w:color w:val="auto"/>
              </w:rPr>
            </w:pPr>
          </w:p>
        </w:tc>
        <w:tc>
          <w:tcPr>
            <w:tcW w:w="460" w:type="dxa"/>
            <w:vAlign w:val="bottom"/>
            <w:tcBorders>
              <w:bottom w:val="single" w:sz="8" w:color="62259D"/>
            </w:tcBorders>
          </w:tcPr>
          <w:p>
            <w:pPr>
              <w:spacing w:after="0" w:line="20" w:lineRule="exact"/>
              <w:rPr>
                <w:sz w:val="1"/>
                <w:szCs w:val="1"/>
                <w:color w:val="auto"/>
              </w:rPr>
            </w:pPr>
          </w:p>
        </w:tc>
        <w:tc>
          <w:tcPr>
            <w:tcW w:w="140" w:type="dxa"/>
            <w:vAlign w:val="bottom"/>
            <w:tcBorders>
              <w:bottom w:val="single" w:sz="8" w:color="62259D"/>
            </w:tcBorders>
          </w:tcPr>
          <w:p>
            <w:pPr>
              <w:spacing w:after="0" w:line="20" w:lineRule="exact"/>
              <w:rPr>
                <w:sz w:val="1"/>
                <w:szCs w:val="1"/>
                <w:color w:val="auto"/>
              </w:rPr>
            </w:pPr>
          </w:p>
        </w:tc>
        <w:tc>
          <w:tcPr>
            <w:tcW w:w="20" w:type="dxa"/>
            <w:vAlign w:val="bottom"/>
            <w:tcBorders>
              <w:bottom w:val="single" w:sz="8" w:color="62259D"/>
            </w:tcBorders>
          </w:tcPr>
          <w:p>
            <w:pPr>
              <w:spacing w:after="0" w:line="20" w:lineRule="exact"/>
              <w:rPr>
                <w:sz w:val="1"/>
                <w:szCs w:val="1"/>
                <w:color w:val="auto"/>
              </w:rPr>
            </w:pPr>
          </w:p>
        </w:tc>
        <w:tc>
          <w:tcPr>
            <w:tcW w:w="300" w:type="dxa"/>
            <w:vAlign w:val="bottom"/>
            <w:tcBorders>
              <w:bottom w:val="single" w:sz="8" w:color="62259D"/>
            </w:tcBorders>
          </w:tcPr>
          <w:p>
            <w:pPr>
              <w:spacing w:after="0" w:line="20" w:lineRule="exact"/>
              <w:rPr>
                <w:sz w:val="1"/>
                <w:szCs w:val="1"/>
                <w:color w:val="auto"/>
              </w:rPr>
            </w:pPr>
          </w:p>
        </w:tc>
        <w:tc>
          <w:tcPr>
            <w:tcW w:w="440" w:type="dxa"/>
            <w:vAlign w:val="bottom"/>
            <w:tcBorders>
              <w:bottom w:val="single" w:sz="8" w:color="62259D"/>
            </w:tcBorders>
          </w:tcPr>
          <w:p>
            <w:pPr>
              <w:spacing w:after="0" w:line="20" w:lineRule="exact"/>
              <w:rPr>
                <w:sz w:val="1"/>
                <w:szCs w:val="1"/>
                <w:color w:val="auto"/>
              </w:rPr>
            </w:pPr>
          </w:p>
        </w:tc>
        <w:tc>
          <w:tcPr>
            <w:tcW w:w="260" w:type="dxa"/>
            <w:vAlign w:val="bottom"/>
            <w:tcBorders>
              <w:bottom w:val="single" w:sz="8" w:color="62259D"/>
            </w:tcBorders>
          </w:tcPr>
          <w:p>
            <w:pPr>
              <w:spacing w:after="0" w:line="20" w:lineRule="exact"/>
              <w:rPr>
                <w:sz w:val="1"/>
                <w:szCs w:val="1"/>
                <w:color w:val="auto"/>
              </w:rPr>
            </w:pPr>
          </w:p>
        </w:tc>
        <w:tc>
          <w:tcPr>
            <w:tcW w:w="20" w:type="dxa"/>
            <w:vAlign w:val="bottom"/>
            <w:tcBorders>
              <w:bottom w:val="single" w:sz="8" w:color="62259D"/>
            </w:tcBorders>
          </w:tcPr>
          <w:p>
            <w:pPr>
              <w:spacing w:after="0" w:line="20" w:lineRule="exact"/>
              <w:rPr>
                <w:sz w:val="1"/>
                <w:szCs w:val="1"/>
                <w:color w:val="auto"/>
              </w:rPr>
            </w:pPr>
          </w:p>
        </w:tc>
        <w:tc>
          <w:tcPr>
            <w:tcW w:w="240" w:type="dxa"/>
            <w:vAlign w:val="bottom"/>
            <w:tcBorders>
              <w:bottom w:val="single" w:sz="8" w:color="62259D"/>
            </w:tcBorders>
          </w:tcPr>
          <w:p>
            <w:pPr>
              <w:spacing w:after="0" w:line="20" w:lineRule="exact"/>
              <w:rPr>
                <w:sz w:val="1"/>
                <w:szCs w:val="1"/>
                <w:color w:val="auto"/>
              </w:rPr>
            </w:pPr>
          </w:p>
        </w:tc>
        <w:tc>
          <w:tcPr>
            <w:tcW w:w="400" w:type="dxa"/>
            <w:vAlign w:val="bottom"/>
            <w:tcBorders>
              <w:bottom w:val="single" w:sz="8" w:color="62259D"/>
            </w:tcBorders>
          </w:tcPr>
          <w:p>
            <w:pPr>
              <w:spacing w:after="0" w:line="20" w:lineRule="exact"/>
              <w:rPr>
                <w:sz w:val="1"/>
                <w:szCs w:val="1"/>
                <w:color w:val="auto"/>
              </w:rPr>
            </w:pPr>
          </w:p>
        </w:tc>
        <w:tc>
          <w:tcPr>
            <w:tcW w:w="100" w:type="dxa"/>
            <w:vAlign w:val="bottom"/>
            <w:tcBorders>
              <w:bottom w:val="single" w:sz="8" w:color="62259D"/>
            </w:tcBorders>
          </w:tcPr>
          <w:p>
            <w:pPr>
              <w:spacing w:after="0" w:line="20" w:lineRule="exact"/>
              <w:rPr>
                <w:sz w:val="1"/>
                <w:szCs w:val="1"/>
                <w:color w:val="auto"/>
              </w:rPr>
            </w:pPr>
          </w:p>
        </w:tc>
        <w:tc>
          <w:tcPr>
            <w:tcW w:w="40" w:type="dxa"/>
            <w:vAlign w:val="bottom"/>
            <w:tcBorders>
              <w:bottom w:val="single" w:sz="8" w:color="62259D"/>
            </w:tcBorders>
          </w:tcPr>
          <w:p>
            <w:pPr>
              <w:spacing w:after="0" w:line="20" w:lineRule="exact"/>
              <w:rPr>
                <w:sz w:val="1"/>
                <w:szCs w:val="1"/>
                <w:color w:val="auto"/>
              </w:rPr>
            </w:pPr>
          </w:p>
        </w:tc>
        <w:tc>
          <w:tcPr>
            <w:tcW w:w="220" w:type="dxa"/>
            <w:vAlign w:val="bottom"/>
            <w:tcBorders>
              <w:bottom w:val="single" w:sz="8" w:color="62259D"/>
            </w:tcBorders>
          </w:tcPr>
          <w:p>
            <w:pPr>
              <w:spacing w:after="0" w:line="20" w:lineRule="exact"/>
              <w:rPr>
                <w:sz w:val="1"/>
                <w:szCs w:val="1"/>
                <w:color w:val="auto"/>
              </w:rPr>
            </w:pPr>
          </w:p>
        </w:tc>
        <w:tc>
          <w:tcPr>
            <w:tcW w:w="420" w:type="dxa"/>
            <w:vAlign w:val="bottom"/>
            <w:tcBorders>
              <w:bottom w:val="single" w:sz="8" w:color="62259D"/>
            </w:tcBorders>
          </w:tcPr>
          <w:p>
            <w:pPr>
              <w:spacing w:after="0" w:line="20" w:lineRule="exact"/>
              <w:rPr>
                <w:sz w:val="1"/>
                <w:szCs w:val="1"/>
                <w:color w:val="auto"/>
              </w:rPr>
            </w:pPr>
          </w:p>
        </w:tc>
        <w:tc>
          <w:tcPr>
            <w:tcW w:w="100" w:type="dxa"/>
            <w:vAlign w:val="bottom"/>
            <w:tcBorders>
              <w:bottom w:val="single" w:sz="8" w:color="62259D"/>
            </w:tcBorders>
          </w:tcPr>
          <w:p>
            <w:pPr>
              <w:spacing w:after="0" w:line="20" w:lineRule="exact"/>
              <w:rPr>
                <w:sz w:val="1"/>
                <w:szCs w:val="1"/>
                <w:color w:val="auto"/>
              </w:rPr>
            </w:pPr>
          </w:p>
        </w:tc>
        <w:tc>
          <w:tcPr>
            <w:tcW w:w="20" w:type="dxa"/>
            <w:vAlign w:val="bottom"/>
            <w:tcBorders>
              <w:bottom w:val="single" w:sz="8" w:color="62259D"/>
            </w:tcBorders>
          </w:tcPr>
          <w:p>
            <w:pPr>
              <w:spacing w:after="0" w:line="20" w:lineRule="exact"/>
              <w:rPr>
                <w:sz w:val="1"/>
                <w:szCs w:val="1"/>
                <w:color w:val="auto"/>
              </w:rPr>
            </w:pPr>
          </w:p>
        </w:tc>
        <w:tc>
          <w:tcPr>
            <w:tcW w:w="240" w:type="dxa"/>
            <w:vAlign w:val="bottom"/>
            <w:tcBorders>
              <w:bottom w:val="single" w:sz="8" w:color="62259D"/>
            </w:tcBorders>
          </w:tcPr>
          <w:p>
            <w:pPr>
              <w:spacing w:after="0" w:line="20" w:lineRule="exact"/>
              <w:rPr>
                <w:sz w:val="1"/>
                <w:szCs w:val="1"/>
                <w:color w:val="auto"/>
              </w:rPr>
            </w:pPr>
          </w:p>
        </w:tc>
        <w:tc>
          <w:tcPr>
            <w:tcW w:w="360" w:type="dxa"/>
            <w:vAlign w:val="bottom"/>
            <w:tcBorders>
              <w:bottom w:val="single" w:sz="8" w:color="62259D"/>
            </w:tcBorders>
          </w:tcPr>
          <w:p>
            <w:pPr>
              <w:spacing w:after="0" w:line="20" w:lineRule="exact"/>
              <w:rPr>
                <w:sz w:val="1"/>
                <w:szCs w:val="1"/>
                <w:color w:val="auto"/>
              </w:rPr>
            </w:pPr>
          </w:p>
        </w:tc>
        <w:tc>
          <w:tcPr>
            <w:tcW w:w="220" w:type="dxa"/>
            <w:vAlign w:val="bottom"/>
            <w:tcBorders>
              <w:bottom w:val="single" w:sz="8" w:color="62259D"/>
            </w:tcBorders>
          </w:tcPr>
          <w:p>
            <w:pPr>
              <w:spacing w:after="0" w:line="20" w:lineRule="exact"/>
              <w:rPr>
                <w:sz w:val="1"/>
                <w:szCs w:val="1"/>
                <w:color w:val="auto"/>
              </w:rPr>
            </w:pPr>
          </w:p>
        </w:tc>
        <w:tc>
          <w:tcPr>
            <w:tcW w:w="80" w:type="dxa"/>
            <w:vAlign w:val="bottom"/>
            <w:tcBorders>
              <w:bottom w:val="single" w:sz="8" w:color="62259D"/>
            </w:tcBorders>
          </w:tcPr>
          <w:p>
            <w:pPr>
              <w:spacing w:after="0" w:line="20" w:lineRule="exact"/>
              <w:rPr>
                <w:sz w:val="1"/>
                <w:szCs w:val="1"/>
                <w:color w:val="auto"/>
              </w:rPr>
            </w:pPr>
          </w:p>
        </w:tc>
        <w:tc>
          <w:tcPr>
            <w:tcW w:w="40" w:type="dxa"/>
            <w:vAlign w:val="bottom"/>
            <w:tcBorders>
              <w:bottom w:val="single" w:sz="8" w:color="62259D"/>
            </w:tcBorders>
          </w:tcPr>
          <w:p>
            <w:pPr>
              <w:spacing w:after="0" w:line="20" w:lineRule="exact"/>
              <w:rPr>
                <w:sz w:val="1"/>
                <w:szCs w:val="1"/>
                <w:color w:val="auto"/>
              </w:rPr>
            </w:pPr>
          </w:p>
        </w:tc>
        <w:tc>
          <w:tcPr>
            <w:tcW w:w="180" w:type="dxa"/>
            <w:vAlign w:val="bottom"/>
            <w:tcBorders>
              <w:bottom w:val="single" w:sz="8" w:color="62259D"/>
            </w:tcBorders>
          </w:tcPr>
          <w:p>
            <w:pPr>
              <w:spacing w:after="0" w:line="20" w:lineRule="exact"/>
              <w:rPr>
                <w:sz w:val="1"/>
                <w:szCs w:val="1"/>
                <w:color w:val="auto"/>
              </w:rPr>
            </w:pPr>
          </w:p>
        </w:tc>
        <w:tc>
          <w:tcPr>
            <w:tcW w:w="100" w:type="dxa"/>
            <w:vAlign w:val="bottom"/>
            <w:tcBorders>
              <w:bottom w:val="single" w:sz="8" w:color="62259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-24765</wp:posOffset>
            </wp:positionV>
            <wp:extent cx="56235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23560" cy="1714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-307975</wp:posOffset>
            </wp:positionV>
            <wp:extent cx="171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-307975</wp:posOffset>
            </wp:positionV>
            <wp:extent cx="171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-307975</wp:posOffset>
            </wp:positionV>
            <wp:extent cx="171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-307975</wp:posOffset>
            </wp:positionV>
            <wp:extent cx="171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-307975</wp:posOffset>
            </wp:positionV>
            <wp:extent cx="171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-307975</wp:posOffset>
            </wp:positionV>
            <wp:extent cx="171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-307975</wp:posOffset>
            </wp:positionV>
            <wp:extent cx="171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-307975</wp:posOffset>
            </wp:positionV>
            <wp:extent cx="171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-624840</wp:posOffset>
            </wp:positionV>
            <wp:extent cx="171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-624840</wp:posOffset>
            </wp:positionV>
            <wp:extent cx="171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-624840</wp:posOffset>
            </wp:positionV>
            <wp:extent cx="171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-624840</wp:posOffset>
            </wp:positionV>
            <wp:extent cx="171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-624840</wp:posOffset>
            </wp:positionV>
            <wp:extent cx="171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-624840</wp:posOffset>
            </wp:positionV>
            <wp:extent cx="171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-624840</wp:posOffset>
            </wp:positionV>
            <wp:extent cx="171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-624840</wp:posOffset>
            </wp:positionV>
            <wp:extent cx="171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-942340</wp:posOffset>
            </wp:positionV>
            <wp:extent cx="171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-942340</wp:posOffset>
            </wp:positionV>
            <wp:extent cx="1714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-942340</wp:posOffset>
            </wp:positionV>
            <wp:extent cx="171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-942340</wp:posOffset>
            </wp:positionV>
            <wp:extent cx="171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-942340</wp:posOffset>
            </wp:positionV>
            <wp:extent cx="1714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-942340</wp:posOffset>
            </wp:positionV>
            <wp:extent cx="171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-942340</wp:posOffset>
            </wp:positionV>
            <wp:extent cx="171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-942340</wp:posOffset>
            </wp:positionV>
            <wp:extent cx="171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-1259840</wp:posOffset>
            </wp:positionV>
            <wp:extent cx="171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-1259840</wp:posOffset>
            </wp:positionV>
            <wp:extent cx="171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-1259840</wp:posOffset>
            </wp:positionV>
            <wp:extent cx="171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-1259840</wp:posOffset>
            </wp:positionV>
            <wp:extent cx="171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-1259840</wp:posOffset>
            </wp:positionV>
            <wp:extent cx="171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-1259840</wp:posOffset>
            </wp:positionV>
            <wp:extent cx="171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-1259840</wp:posOffset>
            </wp:positionV>
            <wp:extent cx="171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-1259840</wp:posOffset>
            </wp:positionV>
            <wp:extent cx="171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-1525270</wp:posOffset>
            </wp:positionV>
            <wp:extent cx="171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-1525270</wp:posOffset>
            </wp:positionV>
            <wp:extent cx="171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-1525270</wp:posOffset>
            </wp:positionV>
            <wp:extent cx="171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-1525270</wp:posOffset>
            </wp:positionV>
            <wp:extent cx="171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-1525270</wp:posOffset>
            </wp:positionV>
            <wp:extent cx="171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-1525270</wp:posOffset>
            </wp:positionV>
            <wp:extent cx="171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-1525270</wp:posOffset>
            </wp:positionV>
            <wp:extent cx="171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-1525270</wp:posOffset>
            </wp:positionV>
            <wp:extent cx="171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-1824990</wp:posOffset>
            </wp:positionV>
            <wp:extent cx="171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-1824990</wp:posOffset>
            </wp:positionV>
            <wp:extent cx="171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-1824990</wp:posOffset>
            </wp:positionV>
            <wp:extent cx="171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-1824990</wp:posOffset>
            </wp:positionV>
            <wp:extent cx="171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-1824990</wp:posOffset>
            </wp:positionV>
            <wp:extent cx="171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-1824990</wp:posOffset>
            </wp:positionV>
            <wp:extent cx="171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-1824990</wp:posOffset>
            </wp:positionV>
            <wp:extent cx="171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-1824990</wp:posOffset>
            </wp:positionV>
            <wp:extent cx="171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-2142490</wp:posOffset>
            </wp:positionV>
            <wp:extent cx="171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-2142490</wp:posOffset>
            </wp:positionV>
            <wp:extent cx="171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-2142490</wp:posOffset>
            </wp:positionV>
            <wp:extent cx="171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-2142490</wp:posOffset>
            </wp:positionV>
            <wp:extent cx="171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-2142490</wp:posOffset>
            </wp:positionV>
            <wp:extent cx="171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-2142490</wp:posOffset>
            </wp:positionV>
            <wp:extent cx="171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-2142490</wp:posOffset>
            </wp:positionV>
            <wp:extent cx="171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-2142490</wp:posOffset>
            </wp:positionV>
            <wp:extent cx="171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-2442210</wp:posOffset>
            </wp:positionV>
            <wp:extent cx="171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-2442210</wp:posOffset>
            </wp:positionV>
            <wp:extent cx="171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-2442210</wp:posOffset>
            </wp:positionV>
            <wp:extent cx="171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-2442210</wp:posOffset>
            </wp:positionV>
            <wp:extent cx="171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-2442210</wp:posOffset>
            </wp:positionV>
            <wp:extent cx="171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-2442210</wp:posOffset>
            </wp:positionV>
            <wp:extent cx="171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-2442210</wp:posOffset>
            </wp:positionV>
            <wp:extent cx="171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-2442210</wp:posOffset>
            </wp:positionV>
            <wp:extent cx="171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-2759710</wp:posOffset>
            </wp:positionV>
            <wp:extent cx="171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-2759710</wp:posOffset>
            </wp:positionV>
            <wp:extent cx="1714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-2759710</wp:posOffset>
            </wp:positionV>
            <wp:extent cx="1714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-2759710</wp:posOffset>
            </wp:positionV>
            <wp:extent cx="1714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-2759710</wp:posOffset>
            </wp:positionV>
            <wp:extent cx="1714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-2759710</wp:posOffset>
            </wp:positionV>
            <wp:extent cx="1714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-2759710</wp:posOffset>
            </wp:positionV>
            <wp:extent cx="171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-2759710</wp:posOffset>
            </wp:positionV>
            <wp:extent cx="1714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-3119755</wp:posOffset>
            </wp:positionV>
            <wp:extent cx="171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-3119755</wp:posOffset>
            </wp:positionV>
            <wp:extent cx="171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-3119755</wp:posOffset>
            </wp:positionV>
            <wp:extent cx="171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-3119755</wp:posOffset>
            </wp:positionV>
            <wp:extent cx="171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-3119755</wp:posOffset>
            </wp:positionV>
            <wp:extent cx="171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-3119755</wp:posOffset>
            </wp:positionV>
            <wp:extent cx="1714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-3119755</wp:posOffset>
            </wp:positionV>
            <wp:extent cx="1714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-3119755</wp:posOffset>
            </wp:positionV>
            <wp:extent cx="171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-3419475</wp:posOffset>
            </wp:positionV>
            <wp:extent cx="171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-3419475</wp:posOffset>
            </wp:positionV>
            <wp:extent cx="171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-3419475</wp:posOffset>
            </wp:positionV>
            <wp:extent cx="171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-3419475</wp:posOffset>
            </wp:positionV>
            <wp:extent cx="171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-3419475</wp:posOffset>
            </wp:positionV>
            <wp:extent cx="171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-3419475</wp:posOffset>
            </wp:positionV>
            <wp:extent cx="171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-3419475</wp:posOffset>
            </wp:positionV>
            <wp:extent cx="171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-3419475</wp:posOffset>
            </wp:positionV>
            <wp:extent cx="171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1922780</wp:posOffset>
            </wp:positionH>
            <wp:positionV relativeFrom="paragraph">
              <wp:posOffset>-4414520</wp:posOffset>
            </wp:positionV>
            <wp:extent cx="3935095" cy="3511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935095" cy="351155"/>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-3736975</wp:posOffset>
            </wp:positionV>
            <wp:extent cx="283210" cy="2825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3210" cy="282575"/>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-3642995</wp:posOffset>
            </wp:positionV>
            <wp:extent cx="111760" cy="1028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-3642995</wp:posOffset>
            </wp:positionV>
            <wp:extent cx="111125" cy="1028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-3642995</wp:posOffset>
            </wp:positionV>
            <wp:extent cx="111125" cy="1028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-3385820</wp:posOffset>
            </wp:positionV>
            <wp:extent cx="214630" cy="2400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4630" cy="240030"/>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-3317240</wp:posOffset>
            </wp:positionV>
            <wp:extent cx="111760" cy="1028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-3317240</wp:posOffset>
            </wp:positionV>
            <wp:extent cx="111125" cy="1028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-3317240</wp:posOffset>
            </wp:positionV>
            <wp:extent cx="111125" cy="1028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-3317240</wp:posOffset>
            </wp:positionV>
            <wp:extent cx="111125" cy="1028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-3317240</wp:posOffset>
            </wp:positionV>
            <wp:extent cx="111125" cy="1028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-3317240</wp:posOffset>
            </wp:positionV>
            <wp:extent cx="111125" cy="1028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-3317240</wp:posOffset>
            </wp:positionV>
            <wp:extent cx="111125" cy="1028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-3317240</wp:posOffset>
            </wp:positionV>
            <wp:extent cx="111125" cy="1028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-3085465</wp:posOffset>
            </wp:positionV>
            <wp:extent cx="300355" cy="3003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-2991485</wp:posOffset>
            </wp:positionV>
            <wp:extent cx="111760" cy="1028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-2991485</wp:posOffset>
            </wp:positionV>
            <wp:extent cx="111125" cy="1028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-2991485</wp:posOffset>
            </wp:positionV>
            <wp:extent cx="111125" cy="1028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-2991485</wp:posOffset>
            </wp:positionV>
            <wp:extent cx="111125" cy="1028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-2991485</wp:posOffset>
            </wp:positionV>
            <wp:extent cx="111125" cy="1028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-2991485</wp:posOffset>
            </wp:positionV>
            <wp:extent cx="111125" cy="1028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-2725420</wp:posOffset>
            </wp:positionV>
            <wp:extent cx="283210" cy="2489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3210" cy="248920"/>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-2648585</wp:posOffset>
            </wp:positionV>
            <wp:extent cx="111760" cy="1028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-2648585</wp:posOffset>
            </wp:positionV>
            <wp:extent cx="111125" cy="1028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-2648585</wp:posOffset>
            </wp:positionV>
            <wp:extent cx="111125" cy="1028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-2648585</wp:posOffset>
            </wp:positionV>
            <wp:extent cx="111125" cy="1028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-2648585</wp:posOffset>
            </wp:positionV>
            <wp:extent cx="111125" cy="1028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-2648585</wp:posOffset>
            </wp:positionV>
            <wp:extent cx="111125" cy="1028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-2648585</wp:posOffset>
            </wp:positionV>
            <wp:extent cx="111125" cy="1028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-2408555</wp:posOffset>
            </wp:positionV>
            <wp:extent cx="265430" cy="2400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5430" cy="24003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-2339975</wp:posOffset>
            </wp:positionV>
            <wp:extent cx="111125" cy="1028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-2339975</wp:posOffset>
            </wp:positionV>
            <wp:extent cx="111125" cy="1028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-2339975</wp:posOffset>
            </wp:positionV>
            <wp:extent cx="111125" cy="1028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-2339975</wp:posOffset>
            </wp:positionV>
            <wp:extent cx="111125" cy="1028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-2339975</wp:posOffset>
            </wp:positionV>
            <wp:extent cx="111125" cy="1028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-2108200</wp:posOffset>
            </wp:positionV>
            <wp:extent cx="240030" cy="2489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40030" cy="248920"/>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-2031365</wp:posOffset>
            </wp:positionV>
            <wp:extent cx="111760" cy="1028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-2031365</wp:posOffset>
            </wp:positionV>
            <wp:extent cx="111125" cy="1028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-2031365</wp:posOffset>
            </wp:positionV>
            <wp:extent cx="111125" cy="1028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-2031365</wp:posOffset>
            </wp:positionV>
            <wp:extent cx="111125" cy="1028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-2031365</wp:posOffset>
            </wp:positionV>
            <wp:extent cx="111125" cy="1028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-2031365</wp:posOffset>
            </wp:positionV>
            <wp:extent cx="111125" cy="1028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-2031365</wp:posOffset>
            </wp:positionV>
            <wp:extent cx="111125" cy="1028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-2031365</wp:posOffset>
            </wp:positionV>
            <wp:extent cx="111125" cy="1028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-1791335</wp:posOffset>
            </wp:positionV>
            <wp:extent cx="300355" cy="2400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00355" cy="240030"/>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-1722755</wp:posOffset>
            </wp:positionV>
            <wp:extent cx="111125" cy="1028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-1722755</wp:posOffset>
            </wp:positionV>
            <wp:extent cx="111125" cy="1028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-1722755</wp:posOffset>
            </wp:positionV>
            <wp:extent cx="111125" cy="1028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-1482725</wp:posOffset>
            </wp:positionV>
            <wp:extent cx="274320" cy="1797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74320" cy="179705"/>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-1439545</wp:posOffset>
            </wp:positionV>
            <wp:extent cx="111760" cy="1028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-1439545</wp:posOffset>
            </wp:positionV>
            <wp:extent cx="111125" cy="1028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-1439545</wp:posOffset>
            </wp:positionV>
            <wp:extent cx="111125" cy="1028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-1439545</wp:posOffset>
            </wp:positionV>
            <wp:extent cx="111125" cy="1028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-1439545</wp:posOffset>
            </wp:positionV>
            <wp:extent cx="111125" cy="1028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-1439545</wp:posOffset>
            </wp:positionV>
            <wp:extent cx="111125" cy="1028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-1225550</wp:posOffset>
            </wp:positionV>
            <wp:extent cx="265430" cy="2482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5430" cy="248285"/>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-1148080</wp:posOffset>
            </wp:positionV>
            <wp:extent cx="111125" cy="1028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-1148080</wp:posOffset>
            </wp:positionV>
            <wp:extent cx="111125" cy="1028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-908050</wp:posOffset>
            </wp:positionV>
            <wp:extent cx="197485" cy="2482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97485" cy="248285"/>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-831215</wp:posOffset>
            </wp:positionV>
            <wp:extent cx="111760" cy="1028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-831215</wp:posOffset>
            </wp:positionV>
            <wp:extent cx="111125" cy="1028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-831215</wp:posOffset>
            </wp:positionV>
            <wp:extent cx="111125" cy="1028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-831215</wp:posOffset>
            </wp:positionV>
            <wp:extent cx="111125" cy="1028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-831215</wp:posOffset>
            </wp:positionV>
            <wp:extent cx="111125" cy="1028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-831215</wp:posOffset>
            </wp:positionV>
            <wp:extent cx="111125" cy="1028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-831215</wp:posOffset>
            </wp:positionV>
            <wp:extent cx="111125" cy="1028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-591185</wp:posOffset>
            </wp:positionV>
            <wp:extent cx="231140" cy="2482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31140" cy="248285"/>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-513715</wp:posOffset>
            </wp:positionV>
            <wp:extent cx="111760" cy="1028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-513715</wp:posOffset>
            </wp:positionV>
            <wp:extent cx="111125" cy="1028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-513715</wp:posOffset>
            </wp:positionV>
            <wp:extent cx="111125" cy="1028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-513715</wp:posOffset>
            </wp:positionV>
            <wp:extent cx="111125" cy="1028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-513715</wp:posOffset>
            </wp:positionV>
            <wp:extent cx="111125" cy="1028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-513715</wp:posOffset>
            </wp:positionV>
            <wp:extent cx="111125" cy="1028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-513715</wp:posOffset>
            </wp:positionV>
            <wp:extent cx="111125" cy="1028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-513715</wp:posOffset>
            </wp:positionV>
            <wp:extent cx="111125" cy="1028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-273685</wp:posOffset>
            </wp:positionV>
            <wp:extent cx="274320" cy="2146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74320" cy="214630"/>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-213995</wp:posOffset>
            </wp:positionV>
            <wp:extent cx="111760" cy="1028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-213995</wp:posOffset>
            </wp:positionV>
            <wp:extent cx="111125" cy="1028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-213995</wp:posOffset>
            </wp:positionV>
            <wp:extent cx="111125" cy="1028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-213995</wp:posOffset>
            </wp:positionV>
            <wp:extent cx="111125" cy="1028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-213995</wp:posOffset>
            </wp:positionV>
            <wp:extent cx="111125" cy="1028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-213995</wp:posOffset>
            </wp:positionV>
            <wp:extent cx="111125" cy="1028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-213995</wp:posOffset>
            </wp:positionV>
            <wp:extent cx="111125" cy="1028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Director Independence</w:t>
      </w:r>
    </w:p>
    <w:p>
      <w:pPr>
        <w:spacing w:after="0" w:line="158" w:lineRule="exact"/>
        <w:rPr>
          <w:sz w:val="20"/>
          <w:szCs w:val="20"/>
          <w:color w:val="auto"/>
        </w:rPr>
      </w:pPr>
    </w:p>
    <w:p>
      <w:pPr>
        <w:ind w:left="920" w:right="519"/>
        <w:spacing w:after="0" w:line="252" w:lineRule="auto"/>
        <w:rPr>
          <w:sz w:val="20"/>
          <w:szCs w:val="20"/>
          <w:color w:val="auto"/>
        </w:rPr>
      </w:pPr>
      <w:r>
        <w:rPr>
          <w:rFonts w:ascii="Arial" w:cs="Arial" w:eastAsia="Arial" w:hAnsi="Arial"/>
          <w:sz w:val="18"/>
          <w:szCs w:val="18"/>
          <w:color w:val="auto"/>
        </w:rPr>
        <w:t>Our Corporate Governance Guidelines provide that, in determining the independence of a director, the Board will be guided by the definitions of “independent director” in the listing rules of Nasdaq and applicable laws and regulations as well as the definition of “independent director” set forth in the Stockholders Agreement.</w:t>
      </w:r>
    </w:p>
    <w:p>
      <w:pPr>
        <w:spacing w:after="0" w:line="103" w:lineRule="exact"/>
        <w:rPr>
          <w:sz w:val="20"/>
          <w:szCs w:val="20"/>
          <w:color w:val="auto"/>
        </w:rPr>
      </w:pPr>
    </w:p>
    <w:p>
      <w:pPr>
        <w:ind w:left="920" w:right="139"/>
        <w:spacing w:after="0" w:line="244" w:lineRule="auto"/>
        <w:rPr>
          <w:sz w:val="20"/>
          <w:szCs w:val="20"/>
          <w:color w:val="auto"/>
        </w:rPr>
      </w:pPr>
      <w:r>
        <w:rPr>
          <w:rFonts w:ascii="Arial" w:cs="Arial" w:eastAsia="Arial" w:hAnsi="Arial"/>
          <w:sz w:val="18"/>
          <w:szCs w:val="18"/>
          <w:color w:val="auto"/>
        </w:rPr>
        <w:t>During its annual review of director independence, the Board considers all information it deems relevant, including without limitation, any transactions and relationships between each director or any member of his or her immediate family and the Company and its subsidiaries and affiliates. The Board conducted an annual review of director independence and affirmatively determined that each of R. Stewart Ewing, Jr., Bruns H. Grayson, Beatriz V. Infante, Scott Mair and Tanya Tamone met the definition of “independent director” under the Nasdaq listing rules and the Stockholders Agreement. Following a review of their respective relationships, including, with respect to Mr. Smith, his affiliation with the JPM Stockholders, and with respect to Mr. Shani, his affiliation with Swarth, the Board determined that none of Bruce W. McClelland, Shaul Shani or Richard W. Smith qualify as independent directors under the Nasdaq listing rules or the Stockholders Agreement.</w:t>
      </w:r>
    </w:p>
    <w:p>
      <w:pPr>
        <w:spacing w:after="0" w:line="3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There are no family relationships among any of our directors, nominees for director and executive officers.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18</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Meeting Attendance</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Board recognizes the importance of director attendance at Board and committee meetings. Our Board</w:t>
      </w:r>
    </w:p>
    <w:p>
      <w:pPr>
        <w:spacing w:after="0" w:line="14" w:lineRule="exact"/>
        <w:rPr>
          <w:sz w:val="20"/>
          <w:szCs w:val="20"/>
          <w:color w:val="auto"/>
        </w:rPr>
      </w:pPr>
    </w:p>
    <w:p>
      <w:pPr>
        <w:ind w:left="920" w:right="179"/>
        <w:spacing w:after="0" w:line="226" w:lineRule="auto"/>
        <w:rPr>
          <w:sz w:val="20"/>
          <w:szCs w:val="20"/>
          <w:color w:val="auto"/>
        </w:rPr>
      </w:pPr>
      <w:r>
        <w:rPr>
          <w:rFonts w:ascii="Arial" w:cs="Arial" w:eastAsia="Arial" w:hAnsi="Arial"/>
          <w:sz w:val="18"/>
          <w:szCs w:val="18"/>
          <w:color w:val="auto"/>
        </w:rPr>
        <w:t>held seven meetings during 2024, including four regular meetings and three special meetings. Each of the incumbent directors attended at least 75% of the combined total meetings of the Board and its committees</w:t>
      </w:r>
    </w:p>
    <w:p>
      <w:pPr>
        <w:ind w:left="920"/>
        <w:spacing w:after="0" w:line="236" w:lineRule="auto"/>
        <w:rPr>
          <w:sz w:val="20"/>
          <w:szCs w:val="20"/>
          <w:color w:val="auto"/>
        </w:rPr>
      </w:pPr>
      <w:r>
        <w:rPr>
          <w:rFonts w:ascii="Arial" w:cs="Arial" w:eastAsia="Arial" w:hAnsi="Arial"/>
          <w:sz w:val="18"/>
          <w:szCs w:val="18"/>
          <w:color w:val="auto"/>
        </w:rPr>
        <w:t>on which they served. While we do not have a formal policy regarding the attendance of directors at our</w:t>
      </w:r>
    </w:p>
    <w:p>
      <w:pPr>
        <w:spacing w:after="0" w:line="1" w:lineRule="exact"/>
        <w:rPr>
          <w:sz w:val="20"/>
          <w:szCs w:val="20"/>
          <w:color w:val="auto"/>
        </w:rPr>
      </w:pPr>
    </w:p>
    <w:p>
      <w:pPr>
        <w:ind w:left="920" w:right="259"/>
        <w:spacing w:after="0" w:line="237" w:lineRule="auto"/>
        <w:rPr>
          <w:sz w:val="20"/>
          <w:szCs w:val="20"/>
          <w:color w:val="auto"/>
        </w:rPr>
      </w:pPr>
      <w:r>
        <w:rPr>
          <w:rFonts w:ascii="Arial" w:cs="Arial" w:eastAsia="Arial" w:hAnsi="Arial"/>
          <w:sz w:val="18"/>
          <w:szCs w:val="18"/>
          <w:color w:val="auto"/>
        </w:rPr>
        <w:t>annual meetings of stockholders, it is expected that, absent compelling circumstances, all of our directors will attend. All of the current members of the Board attended our 2024 annual meeting of stockholders.</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Board Committees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Board has four standing committees: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940" w:type="dxa"/>
            <w:vAlign w:val="bottom"/>
            <w:vMerge w:val="restart"/>
            <w:shd w:val="clear" w:color="auto" w:fill="E7417A"/>
          </w:tcPr>
          <w:p>
            <w:pPr>
              <w:spacing w:after="0"/>
              <w:rPr>
                <w:sz w:val="20"/>
                <w:szCs w:val="20"/>
                <w:color w:val="auto"/>
              </w:rPr>
            </w:pPr>
            <w:r>
              <w:rPr>
                <w:rFonts w:ascii="Arial" w:cs="Arial" w:eastAsia="Arial" w:hAnsi="Arial"/>
                <w:sz w:val="14"/>
                <w:szCs w:val="14"/>
                <w:b w:val="1"/>
                <w:bCs w:val="1"/>
                <w:color w:val="FEFEFE"/>
              </w:rPr>
              <w:t>​  The Audit Committee</w:t>
            </w:r>
          </w:p>
        </w:tc>
        <w:tc>
          <w:tcPr>
            <w:tcW w:w="200" w:type="dxa"/>
            <w:vAlign w:val="bottom"/>
            <w:vMerge w:val="restart"/>
          </w:tcPr>
          <w:p>
            <w:pPr>
              <w:ind w:left="40"/>
              <w:spacing w:after="0"/>
              <w:rPr>
                <w:sz w:val="20"/>
                <w:szCs w:val="20"/>
                <w:color w:val="auto"/>
              </w:rPr>
            </w:pPr>
            <w:r>
              <w:rPr>
                <w:rFonts w:ascii="Arial" w:cs="Arial" w:eastAsia="Arial" w:hAnsi="Arial"/>
                <w:sz w:val="14"/>
                <w:szCs w:val="14"/>
                <w:b w:val="1"/>
                <w:bCs w:val="1"/>
                <w:color w:val="FEFEFE"/>
              </w:rPr>
              <w:t>​ ​</w:t>
            </w:r>
          </w:p>
        </w:tc>
        <w:tc>
          <w:tcPr>
            <w:tcW w:w="1960" w:type="dxa"/>
            <w:vAlign w:val="bottom"/>
            <w:vMerge w:val="restart"/>
            <w:shd w:val="clear" w:color="auto" w:fill="E7417A"/>
          </w:tcPr>
          <w:p>
            <w:pPr>
              <w:ind w:left="260"/>
              <w:spacing w:after="0"/>
              <w:rPr>
                <w:sz w:val="20"/>
                <w:szCs w:val="20"/>
                <w:color w:val="auto"/>
              </w:rPr>
            </w:pPr>
            <w:r>
              <w:rPr>
                <w:rFonts w:ascii="Arial" w:cs="Arial" w:eastAsia="Arial" w:hAnsi="Arial"/>
                <w:sz w:val="14"/>
                <w:szCs w:val="14"/>
                <w:b w:val="1"/>
                <w:bCs w:val="1"/>
                <w:color w:val="FEFEFE"/>
              </w:rPr>
              <w:t>The Compensation</w:t>
            </w:r>
          </w:p>
        </w:tc>
        <w:tc>
          <w:tcPr>
            <w:tcW w:w="220" w:type="dxa"/>
            <w:vAlign w:val="bottom"/>
            <w:vMerge w:val="restart"/>
          </w:tcPr>
          <w:p>
            <w:pPr>
              <w:ind w:left="60"/>
              <w:spacing w:after="0"/>
              <w:rPr>
                <w:sz w:val="20"/>
                <w:szCs w:val="20"/>
                <w:color w:val="auto"/>
              </w:rPr>
            </w:pPr>
            <w:r>
              <w:rPr>
                <w:rFonts w:ascii="Arial" w:cs="Arial" w:eastAsia="Arial" w:hAnsi="Arial"/>
                <w:sz w:val="14"/>
                <w:szCs w:val="14"/>
                <w:b w:val="1"/>
                <w:bCs w:val="1"/>
                <w:color w:val="FEFEFE"/>
              </w:rPr>
              <w:t>​ ​</w:t>
            </w:r>
          </w:p>
        </w:tc>
        <w:tc>
          <w:tcPr>
            <w:tcW w:w="2360" w:type="dxa"/>
            <w:vAlign w:val="bottom"/>
            <w:shd w:val="clear" w:color="auto" w:fill="E7417A"/>
          </w:tcPr>
          <w:p>
            <w:pPr>
              <w:jc w:val="center"/>
              <w:spacing w:after="0"/>
              <w:rPr>
                <w:sz w:val="20"/>
                <w:szCs w:val="20"/>
                <w:color w:val="auto"/>
              </w:rPr>
            </w:pPr>
            <w:r>
              <w:rPr>
                <w:rFonts w:ascii="Arial" w:cs="Arial" w:eastAsia="Arial" w:hAnsi="Arial"/>
                <w:sz w:val="14"/>
                <w:szCs w:val="14"/>
                <w:b w:val="1"/>
                <w:bCs w:val="1"/>
                <w:color w:val="FEFEFE"/>
              </w:rPr>
              <w:t>The Nominating, Sustainability</w:t>
            </w:r>
          </w:p>
        </w:tc>
        <w:tc>
          <w:tcPr>
            <w:tcW w:w="220" w:type="dxa"/>
            <w:vAlign w:val="bottom"/>
            <w:vMerge w:val="restart"/>
          </w:tcPr>
          <w:p>
            <w:pPr>
              <w:ind w:left="60"/>
              <w:spacing w:after="0"/>
              <w:rPr>
                <w:sz w:val="20"/>
                <w:szCs w:val="20"/>
                <w:color w:val="auto"/>
              </w:rPr>
            </w:pPr>
            <w:r>
              <w:rPr>
                <w:rFonts w:ascii="Arial" w:cs="Arial" w:eastAsia="Arial" w:hAnsi="Arial"/>
                <w:sz w:val="14"/>
                <w:szCs w:val="14"/>
                <w:b w:val="1"/>
                <w:bCs w:val="1"/>
                <w:color w:val="FEFEFE"/>
              </w:rPr>
              <w:t>​ ​</w:t>
            </w:r>
          </w:p>
        </w:tc>
        <w:tc>
          <w:tcPr>
            <w:tcW w:w="1960" w:type="dxa"/>
            <w:vAlign w:val="bottom"/>
            <w:vMerge w:val="restart"/>
            <w:shd w:val="clear" w:color="auto" w:fill="E7417A"/>
          </w:tcPr>
          <w:p>
            <w:pPr>
              <w:jc w:val="center"/>
              <w:spacing w:after="0"/>
              <w:rPr>
                <w:sz w:val="20"/>
                <w:szCs w:val="20"/>
                <w:color w:val="auto"/>
              </w:rPr>
            </w:pPr>
            <w:r>
              <w:rPr>
                <w:rFonts w:ascii="Arial" w:cs="Arial" w:eastAsia="Arial" w:hAnsi="Arial"/>
                <w:sz w:val="14"/>
                <w:szCs w:val="14"/>
                <w:b w:val="1"/>
                <w:bCs w:val="1"/>
                <w:color w:val="FEFEFE"/>
              </w:rPr>
              <w:t>The Technology and</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68"/>
        </w:trPr>
        <w:tc>
          <w:tcPr>
            <w:tcW w:w="1940" w:type="dxa"/>
            <w:vAlign w:val="bottom"/>
            <w:vMerge w:val="continue"/>
            <w:shd w:val="clear" w:color="auto" w:fill="E7417A"/>
          </w:tcPr>
          <w:p>
            <w:pPr>
              <w:spacing w:after="0"/>
              <w:rPr>
                <w:sz w:val="5"/>
                <w:szCs w:val="5"/>
                <w:color w:val="auto"/>
              </w:rPr>
            </w:pPr>
          </w:p>
        </w:tc>
        <w:tc>
          <w:tcPr>
            <w:tcW w:w="200" w:type="dxa"/>
            <w:vAlign w:val="bottom"/>
            <w:vMerge w:val="continue"/>
          </w:tcPr>
          <w:p>
            <w:pPr>
              <w:spacing w:after="0"/>
              <w:rPr>
                <w:sz w:val="5"/>
                <w:szCs w:val="5"/>
                <w:color w:val="auto"/>
              </w:rPr>
            </w:pPr>
          </w:p>
        </w:tc>
        <w:tc>
          <w:tcPr>
            <w:tcW w:w="1960" w:type="dxa"/>
            <w:vAlign w:val="bottom"/>
            <w:vMerge w:val="continue"/>
            <w:shd w:val="clear" w:color="auto" w:fill="E7417A"/>
          </w:tcPr>
          <w:p>
            <w:pPr>
              <w:spacing w:after="0"/>
              <w:rPr>
                <w:sz w:val="5"/>
                <w:szCs w:val="5"/>
                <w:color w:val="auto"/>
              </w:rPr>
            </w:pPr>
          </w:p>
        </w:tc>
        <w:tc>
          <w:tcPr>
            <w:tcW w:w="220" w:type="dxa"/>
            <w:vAlign w:val="bottom"/>
            <w:vMerge w:val="continue"/>
          </w:tcPr>
          <w:p>
            <w:pPr>
              <w:spacing w:after="0"/>
              <w:rPr>
                <w:sz w:val="5"/>
                <w:szCs w:val="5"/>
                <w:color w:val="auto"/>
              </w:rPr>
            </w:pPr>
          </w:p>
        </w:tc>
        <w:tc>
          <w:tcPr>
            <w:tcW w:w="2360" w:type="dxa"/>
            <w:vAlign w:val="bottom"/>
            <w:vMerge w:val="restart"/>
            <w:shd w:val="clear" w:color="auto" w:fill="E7417A"/>
          </w:tcPr>
          <w:p>
            <w:pPr>
              <w:jc w:val="center"/>
              <w:spacing w:after="0"/>
              <w:rPr>
                <w:sz w:val="20"/>
                <w:szCs w:val="20"/>
                <w:color w:val="auto"/>
              </w:rPr>
            </w:pPr>
            <w:r>
              <w:rPr>
                <w:rFonts w:ascii="Arial" w:cs="Arial" w:eastAsia="Arial" w:hAnsi="Arial"/>
                <w:sz w:val="14"/>
                <w:szCs w:val="14"/>
                <w:b w:val="1"/>
                <w:bCs w:val="1"/>
                <w:color w:val="FEFEFE"/>
              </w:rPr>
              <w:t>and Corporate Governance</w:t>
            </w:r>
          </w:p>
        </w:tc>
        <w:tc>
          <w:tcPr>
            <w:tcW w:w="220" w:type="dxa"/>
            <w:vAlign w:val="bottom"/>
            <w:vMerge w:val="continue"/>
          </w:tcPr>
          <w:p>
            <w:pPr>
              <w:spacing w:after="0"/>
              <w:rPr>
                <w:sz w:val="5"/>
                <w:szCs w:val="5"/>
                <w:color w:val="auto"/>
              </w:rPr>
            </w:pPr>
          </w:p>
        </w:tc>
        <w:tc>
          <w:tcPr>
            <w:tcW w:w="1960" w:type="dxa"/>
            <w:vAlign w:val="bottom"/>
            <w:vMerge w:val="continue"/>
            <w:shd w:val="clear" w:color="auto" w:fill="E7417A"/>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1940" w:type="dxa"/>
            <w:vAlign w:val="bottom"/>
            <w:vMerge w:val="continue"/>
            <w:shd w:val="clear" w:color="auto" w:fill="E7417A"/>
          </w:tcPr>
          <w:p>
            <w:pPr>
              <w:spacing w:after="0"/>
              <w:rPr>
                <w:sz w:val="12"/>
                <w:szCs w:val="12"/>
                <w:color w:val="auto"/>
              </w:rPr>
            </w:pPr>
          </w:p>
        </w:tc>
        <w:tc>
          <w:tcPr>
            <w:tcW w:w="200" w:type="dxa"/>
            <w:vAlign w:val="bottom"/>
            <w:vMerge w:val="continue"/>
          </w:tcPr>
          <w:p>
            <w:pPr>
              <w:spacing w:after="0"/>
              <w:rPr>
                <w:sz w:val="12"/>
                <w:szCs w:val="12"/>
                <w:color w:val="auto"/>
              </w:rPr>
            </w:pPr>
          </w:p>
        </w:tc>
        <w:tc>
          <w:tcPr>
            <w:tcW w:w="1960" w:type="dxa"/>
            <w:vAlign w:val="bottom"/>
            <w:shd w:val="clear" w:color="auto" w:fill="E7417A"/>
          </w:tcPr>
          <w:p>
            <w:pPr>
              <w:ind w:left="580"/>
              <w:spacing w:after="0" w:line="145" w:lineRule="exact"/>
              <w:rPr>
                <w:sz w:val="20"/>
                <w:szCs w:val="20"/>
                <w:color w:val="auto"/>
              </w:rPr>
            </w:pPr>
            <w:r>
              <w:rPr>
                <w:rFonts w:ascii="Arial" w:cs="Arial" w:eastAsia="Arial" w:hAnsi="Arial"/>
                <w:sz w:val="14"/>
                <w:szCs w:val="14"/>
                <w:b w:val="1"/>
                <w:bCs w:val="1"/>
                <w:color w:val="FEFEFE"/>
              </w:rPr>
              <w:t>Committee</w:t>
            </w:r>
          </w:p>
        </w:tc>
        <w:tc>
          <w:tcPr>
            <w:tcW w:w="220" w:type="dxa"/>
            <w:vAlign w:val="bottom"/>
            <w:vMerge w:val="continue"/>
          </w:tcPr>
          <w:p>
            <w:pPr>
              <w:spacing w:after="0"/>
              <w:rPr>
                <w:sz w:val="12"/>
                <w:szCs w:val="12"/>
                <w:color w:val="auto"/>
              </w:rPr>
            </w:pPr>
          </w:p>
        </w:tc>
        <w:tc>
          <w:tcPr>
            <w:tcW w:w="2360" w:type="dxa"/>
            <w:vAlign w:val="bottom"/>
            <w:vMerge w:val="continue"/>
            <w:shd w:val="clear" w:color="auto" w:fill="E7417A"/>
          </w:tcPr>
          <w:p>
            <w:pPr>
              <w:spacing w:after="0"/>
              <w:rPr>
                <w:sz w:val="12"/>
                <w:szCs w:val="12"/>
                <w:color w:val="auto"/>
              </w:rPr>
            </w:pPr>
          </w:p>
        </w:tc>
        <w:tc>
          <w:tcPr>
            <w:tcW w:w="220" w:type="dxa"/>
            <w:vAlign w:val="bottom"/>
            <w:vMerge w:val="continue"/>
          </w:tcPr>
          <w:p>
            <w:pPr>
              <w:spacing w:after="0"/>
              <w:rPr>
                <w:sz w:val="12"/>
                <w:szCs w:val="12"/>
                <w:color w:val="auto"/>
              </w:rPr>
            </w:pPr>
          </w:p>
        </w:tc>
        <w:tc>
          <w:tcPr>
            <w:tcW w:w="1960" w:type="dxa"/>
            <w:vAlign w:val="bottom"/>
            <w:shd w:val="clear" w:color="auto" w:fill="E7417A"/>
          </w:tcPr>
          <w:p>
            <w:pPr>
              <w:jc w:val="center"/>
              <w:spacing w:after="0" w:line="145" w:lineRule="exact"/>
              <w:rPr>
                <w:sz w:val="20"/>
                <w:szCs w:val="20"/>
                <w:color w:val="auto"/>
              </w:rPr>
            </w:pPr>
            <w:r>
              <w:rPr>
                <w:rFonts w:ascii="Arial" w:cs="Arial" w:eastAsia="Arial" w:hAnsi="Arial"/>
                <w:sz w:val="14"/>
                <w:szCs w:val="14"/>
                <w:b w:val="1"/>
                <w:bCs w:val="1"/>
                <w:color w:val="FEFEFE"/>
              </w:rPr>
              <w:t>Innovation Committee</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E7417A"/>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shd w:val="clear" w:color="auto" w:fill="E7417A"/>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shd w:val="clear" w:color="auto" w:fill="E7417A"/>
          </w:tcPr>
          <w:p>
            <w:pPr>
              <w:jc w:val="center"/>
              <w:spacing w:after="0"/>
              <w:rPr>
                <w:sz w:val="20"/>
                <w:szCs w:val="20"/>
                <w:color w:val="auto"/>
              </w:rPr>
            </w:pPr>
            <w:r>
              <w:rPr>
                <w:rFonts w:ascii="Arial" w:cs="Arial" w:eastAsia="Arial" w:hAnsi="Arial"/>
                <w:sz w:val="14"/>
                <w:szCs w:val="14"/>
                <w:b w:val="1"/>
                <w:bCs w:val="1"/>
                <w:color w:val="FEFEFE"/>
              </w:rPr>
              <w:t>Committee</w:t>
            </w:r>
          </w:p>
        </w:tc>
        <w:tc>
          <w:tcPr>
            <w:tcW w:w="220" w:type="dxa"/>
            <w:vAlign w:val="bottom"/>
          </w:tcPr>
          <w:p>
            <w:pPr>
              <w:spacing w:after="0"/>
              <w:rPr>
                <w:sz w:val="14"/>
                <w:szCs w:val="14"/>
                <w:color w:val="auto"/>
              </w:rPr>
            </w:pPr>
          </w:p>
        </w:tc>
        <w:tc>
          <w:tcPr>
            <w:tcW w:w="1960" w:type="dxa"/>
            <w:vAlign w:val="bottom"/>
            <w:shd w:val="clear" w:color="auto" w:fill="E7417A"/>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920" w:right="379"/>
        <w:spacing w:after="0" w:line="245" w:lineRule="auto"/>
        <w:rPr>
          <w:sz w:val="20"/>
          <w:szCs w:val="20"/>
          <w:color w:val="auto"/>
        </w:rPr>
      </w:pPr>
      <w:r>
        <w:rPr>
          <w:rFonts w:ascii="Arial" w:cs="Arial" w:eastAsia="Arial" w:hAnsi="Arial"/>
          <w:sz w:val="18"/>
          <w:szCs w:val="18"/>
          <w:color w:val="auto"/>
        </w:rPr>
        <w:t>Each of the standing committees is composed entirely of independent directors as defined under applicable rules, including the Nasdaq rules and, in the case of all members of the Audit Committee, the</w:t>
      </w:r>
    </w:p>
    <w:p>
      <w:pPr>
        <w:ind w:left="920" w:right="219"/>
        <w:spacing w:after="0" w:line="226" w:lineRule="auto"/>
        <w:rPr>
          <w:sz w:val="20"/>
          <w:szCs w:val="20"/>
          <w:color w:val="auto"/>
        </w:rPr>
      </w:pPr>
      <w:r>
        <w:rPr>
          <w:rFonts w:ascii="Arial" w:cs="Arial" w:eastAsia="Arial" w:hAnsi="Arial"/>
          <w:sz w:val="18"/>
          <w:szCs w:val="18"/>
          <w:color w:val="auto"/>
        </w:rPr>
        <w:t>independence requirements of Rule 10A-3 under the Exchange Act and, in the case of all members of the Compensation Committee, the heightened independence requirements for Compensation Committee</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members under the Nasdaq rules.</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shows the current composition of each of the Board’s standing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120650</wp:posOffset>
            </wp:positionV>
            <wp:extent cx="51435" cy="643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643255"/>
                    </a:xfrm>
                    <a:prstGeom prst="rect">
                      <a:avLst/>
                    </a:prstGeom>
                    <a:noFill/>
                  </pic:spPr>
                </pic:pic>
              </a:graphicData>
            </a:graphic>
          </wp:anchor>
        </w:drawing>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250"/>
        </w:trPr>
        <w:tc>
          <w:tcPr>
            <w:tcW w:w="40" w:type="dxa"/>
            <w:vAlign w:val="bottom"/>
            <w:shd w:val="clear" w:color="auto" w:fill="62259D"/>
          </w:tcPr>
          <w:p>
            <w:pPr>
              <w:spacing w:after="0"/>
              <w:rPr>
                <w:sz w:val="21"/>
                <w:szCs w:val="21"/>
                <w:color w:val="auto"/>
              </w:rPr>
            </w:pPr>
          </w:p>
        </w:tc>
        <w:tc>
          <w:tcPr>
            <w:tcW w:w="1240" w:type="dxa"/>
            <w:vAlign w:val="bottom"/>
            <w:gridSpan w:val="2"/>
            <w:shd w:val="clear" w:color="auto" w:fill="62259D"/>
          </w:tcPr>
          <w:p>
            <w:pPr>
              <w:spacing w:after="0"/>
              <w:rPr>
                <w:sz w:val="20"/>
                <w:szCs w:val="20"/>
                <w:color w:val="auto"/>
              </w:rPr>
            </w:pPr>
            <w:r>
              <w:rPr>
                <w:rFonts w:ascii="Arial" w:cs="Arial" w:eastAsia="Arial" w:hAnsi="Arial"/>
                <w:sz w:val="14"/>
                <w:szCs w:val="14"/>
                <w:b w:val="1"/>
                <w:bCs w:val="1"/>
                <w:color w:val="FEFEFE"/>
              </w:rPr>
              <w:t>​​</w:t>
            </w:r>
          </w:p>
        </w:tc>
        <w:tc>
          <w:tcPr>
            <w:tcW w:w="560" w:type="dxa"/>
            <w:vAlign w:val="bottom"/>
            <w:shd w:val="clear" w:color="auto" w:fill="62259D"/>
          </w:tcPr>
          <w:p>
            <w:pPr>
              <w:spacing w:after="0"/>
              <w:rPr>
                <w:sz w:val="21"/>
                <w:szCs w:val="21"/>
                <w:color w:val="auto"/>
              </w:rPr>
            </w:pPr>
          </w:p>
        </w:tc>
        <w:tc>
          <w:tcPr>
            <w:tcW w:w="240" w:type="dxa"/>
            <w:vAlign w:val="bottom"/>
            <w:shd w:val="clear" w:color="auto" w:fill="62259D"/>
          </w:tcPr>
          <w:p>
            <w:pPr>
              <w:spacing w:after="0"/>
              <w:rPr>
                <w:sz w:val="21"/>
                <w:szCs w:val="21"/>
                <w:color w:val="auto"/>
              </w:rPr>
            </w:pPr>
          </w:p>
        </w:tc>
        <w:tc>
          <w:tcPr>
            <w:tcW w:w="300" w:type="dxa"/>
            <w:vAlign w:val="bottom"/>
            <w:shd w:val="clear" w:color="auto" w:fill="62259D"/>
          </w:tcPr>
          <w:p>
            <w:pPr>
              <w:ind w:left="200"/>
              <w:spacing w:after="0"/>
              <w:rPr>
                <w:sz w:val="20"/>
                <w:szCs w:val="20"/>
                <w:color w:val="auto"/>
              </w:rPr>
            </w:pPr>
            <w:r>
              <w:rPr>
                <w:rFonts w:ascii="Arial" w:cs="Arial" w:eastAsia="Arial" w:hAnsi="Arial"/>
                <w:sz w:val="14"/>
                <w:szCs w:val="14"/>
                <w:b w:val="1"/>
                <w:bCs w:val="1"/>
                <w:color w:val="FEFEFE"/>
              </w:rPr>
              <w:t>​</w:t>
            </w:r>
          </w:p>
        </w:tc>
        <w:tc>
          <w:tcPr>
            <w:tcW w:w="480" w:type="dxa"/>
            <w:vAlign w:val="bottom"/>
            <w:shd w:val="clear" w:color="auto" w:fill="62259D"/>
          </w:tcPr>
          <w:p>
            <w:pPr>
              <w:ind w:left="40"/>
              <w:spacing w:after="0"/>
              <w:rPr>
                <w:sz w:val="20"/>
                <w:szCs w:val="20"/>
                <w:color w:val="auto"/>
              </w:rPr>
            </w:pPr>
            <w:r>
              <w:rPr>
                <w:rFonts w:ascii="Arial" w:cs="Arial" w:eastAsia="Arial" w:hAnsi="Arial"/>
                <w:sz w:val="14"/>
                <w:szCs w:val="14"/>
                <w:b w:val="1"/>
                <w:bCs w:val="1"/>
                <w:color w:val="FEFEFE"/>
              </w:rPr>
              <w:t>​</w:t>
            </w:r>
          </w:p>
        </w:tc>
        <w:tc>
          <w:tcPr>
            <w:tcW w:w="600" w:type="dxa"/>
            <w:vAlign w:val="bottom"/>
            <w:shd w:val="clear" w:color="auto" w:fill="62259D"/>
          </w:tcPr>
          <w:p>
            <w:pPr>
              <w:ind w:left="100"/>
              <w:spacing w:after="0"/>
              <w:rPr>
                <w:sz w:val="20"/>
                <w:szCs w:val="20"/>
                <w:color w:val="auto"/>
              </w:rPr>
            </w:pPr>
            <w:r>
              <w:rPr>
                <w:rFonts w:ascii="Arial" w:cs="Arial" w:eastAsia="Arial" w:hAnsi="Arial"/>
                <w:sz w:val="14"/>
                <w:szCs w:val="14"/>
                <w:b w:val="1"/>
                <w:bCs w:val="1"/>
                <w:color w:val="FEFEFE"/>
              </w:rPr>
              <w:t>​</w:t>
            </w:r>
          </w:p>
        </w:tc>
        <w:tc>
          <w:tcPr>
            <w:tcW w:w="140" w:type="dxa"/>
            <w:vAlign w:val="bottom"/>
            <w:shd w:val="clear" w:color="auto" w:fill="62259D"/>
          </w:tcPr>
          <w:p>
            <w:pPr>
              <w:ind w:left="40"/>
              <w:spacing w:after="0"/>
              <w:rPr>
                <w:sz w:val="20"/>
                <w:szCs w:val="20"/>
                <w:color w:val="auto"/>
              </w:rPr>
            </w:pPr>
            <w:r>
              <w:rPr>
                <w:rFonts w:ascii="Arial" w:cs="Arial" w:eastAsia="Arial" w:hAnsi="Arial"/>
                <w:sz w:val="14"/>
                <w:szCs w:val="14"/>
                <w:b w:val="1"/>
                <w:bCs w:val="1"/>
                <w:color w:val="FEFEFE"/>
              </w:rPr>
              <w:t>​</w:t>
            </w:r>
          </w:p>
        </w:tc>
        <w:tc>
          <w:tcPr>
            <w:tcW w:w="100" w:type="dxa"/>
            <w:vAlign w:val="bottom"/>
            <w:shd w:val="clear" w:color="auto" w:fill="62259D"/>
          </w:tcPr>
          <w:p>
            <w:pPr>
              <w:ind w:left="40"/>
              <w:spacing w:after="0"/>
              <w:rPr>
                <w:sz w:val="20"/>
                <w:szCs w:val="20"/>
                <w:color w:val="auto"/>
              </w:rPr>
            </w:pPr>
            <w:r>
              <w:rPr>
                <w:rFonts w:ascii="Arial" w:cs="Arial" w:eastAsia="Arial" w:hAnsi="Arial"/>
                <w:sz w:val="14"/>
                <w:szCs w:val="14"/>
                <w:b w:val="1"/>
                <w:bCs w:val="1"/>
                <w:color w:val="FEFEFE"/>
              </w:rPr>
              <w:t>​</w:t>
            </w:r>
          </w:p>
        </w:tc>
        <w:tc>
          <w:tcPr>
            <w:tcW w:w="540" w:type="dxa"/>
            <w:vAlign w:val="bottom"/>
            <w:shd w:val="clear" w:color="auto" w:fill="62259D"/>
          </w:tcPr>
          <w:p>
            <w:pPr>
              <w:spacing w:after="0"/>
              <w:rPr>
                <w:sz w:val="21"/>
                <w:szCs w:val="21"/>
                <w:color w:val="auto"/>
              </w:rPr>
            </w:pPr>
          </w:p>
        </w:tc>
        <w:tc>
          <w:tcPr>
            <w:tcW w:w="180" w:type="dxa"/>
            <w:vAlign w:val="bottom"/>
            <w:shd w:val="clear" w:color="auto" w:fill="62259D"/>
          </w:tcPr>
          <w:p>
            <w:pPr>
              <w:spacing w:after="0"/>
              <w:rPr>
                <w:sz w:val="21"/>
                <w:szCs w:val="21"/>
                <w:color w:val="auto"/>
              </w:rPr>
            </w:pPr>
          </w:p>
        </w:tc>
        <w:tc>
          <w:tcPr>
            <w:tcW w:w="160" w:type="dxa"/>
            <w:vAlign w:val="bottom"/>
            <w:shd w:val="clear" w:color="auto" w:fill="62259D"/>
          </w:tcPr>
          <w:p>
            <w:pPr>
              <w:spacing w:after="0"/>
              <w:rPr>
                <w:sz w:val="21"/>
                <w:szCs w:val="21"/>
                <w:color w:val="auto"/>
              </w:rPr>
            </w:pPr>
          </w:p>
        </w:tc>
        <w:tc>
          <w:tcPr>
            <w:tcW w:w="360" w:type="dxa"/>
            <w:vAlign w:val="bottom"/>
            <w:shd w:val="clear" w:color="auto" w:fill="62259D"/>
          </w:tcPr>
          <w:p>
            <w:pPr>
              <w:spacing w:after="0"/>
              <w:rPr>
                <w:sz w:val="21"/>
                <w:szCs w:val="21"/>
                <w:color w:val="auto"/>
              </w:rPr>
            </w:pPr>
          </w:p>
        </w:tc>
        <w:tc>
          <w:tcPr>
            <w:tcW w:w="360" w:type="dxa"/>
            <w:vAlign w:val="bottom"/>
            <w:shd w:val="clear" w:color="auto" w:fill="62259D"/>
          </w:tcPr>
          <w:p>
            <w:pPr>
              <w:spacing w:after="0"/>
              <w:rPr>
                <w:sz w:val="21"/>
                <w:szCs w:val="21"/>
                <w:color w:val="auto"/>
              </w:rPr>
            </w:pPr>
          </w:p>
        </w:tc>
        <w:tc>
          <w:tcPr>
            <w:tcW w:w="2020" w:type="dxa"/>
            <w:vAlign w:val="bottom"/>
            <w:gridSpan w:val="5"/>
            <w:shd w:val="clear" w:color="auto" w:fill="62259D"/>
          </w:tcPr>
          <w:p>
            <w:pPr>
              <w:ind w:left="40"/>
              <w:spacing w:after="0"/>
              <w:rPr>
                <w:sz w:val="20"/>
                <w:szCs w:val="20"/>
                <w:color w:val="auto"/>
              </w:rPr>
            </w:pPr>
            <w:r>
              <w:rPr>
                <w:rFonts w:ascii="Arial" w:cs="Arial" w:eastAsia="Arial" w:hAnsi="Arial"/>
                <w:sz w:val="14"/>
                <w:szCs w:val="14"/>
                <w:b w:val="1"/>
                <w:bCs w:val="1"/>
                <w:color w:val="FEFEFE"/>
              </w:rPr>
              <w:t>Committee Membership</w:t>
            </w:r>
          </w:p>
        </w:tc>
        <w:tc>
          <w:tcPr>
            <w:tcW w:w="200" w:type="dxa"/>
            <w:vAlign w:val="bottom"/>
            <w:shd w:val="clear" w:color="auto" w:fill="62259D"/>
          </w:tcPr>
          <w:p>
            <w:pPr>
              <w:spacing w:after="0"/>
              <w:rPr>
                <w:sz w:val="21"/>
                <w:szCs w:val="21"/>
                <w:color w:val="auto"/>
              </w:rPr>
            </w:pPr>
          </w:p>
        </w:tc>
        <w:tc>
          <w:tcPr>
            <w:tcW w:w="160" w:type="dxa"/>
            <w:vAlign w:val="bottom"/>
            <w:shd w:val="clear" w:color="auto" w:fill="62259D"/>
          </w:tcPr>
          <w:p>
            <w:pPr>
              <w:spacing w:after="0"/>
              <w:rPr>
                <w:sz w:val="21"/>
                <w:szCs w:val="21"/>
                <w:color w:val="auto"/>
              </w:rPr>
            </w:pPr>
          </w:p>
        </w:tc>
        <w:tc>
          <w:tcPr>
            <w:tcW w:w="1080" w:type="dxa"/>
            <w:vAlign w:val="bottom"/>
            <w:shd w:val="clear" w:color="auto" w:fill="62259D"/>
          </w:tcPr>
          <w:p>
            <w:pPr>
              <w:spacing w:after="0"/>
              <w:rPr>
                <w:sz w:val="21"/>
                <w:szCs w:val="21"/>
                <w:color w:val="auto"/>
              </w:rPr>
            </w:pPr>
          </w:p>
        </w:tc>
        <w:tc>
          <w:tcPr>
            <w:tcW w:w="100" w:type="dxa"/>
            <w:vAlign w:val="bottom"/>
            <w:shd w:val="clear" w:color="auto" w:fill="62259D"/>
          </w:tcPr>
          <w:p>
            <w:pPr>
              <w:ind w:left="60"/>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shd w:val="clear" w:color="auto" w:fill="62259D"/>
          </w:tcPr>
          <w:p>
            <w:pPr>
              <w:spacing w:after="0"/>
              <w:rPr>
                <w:sz w:val="18"/>
                <w:szCs w:val="18"/>
                <w:color w:val="auto"/>
              </w:rPr>
            </w:pPr>
          </w:p>
        </w:tc>
        <w:tc>
          <w:tcPr>
            <w:tcW w:w="560" w:type="dxa"/>
            <w:vAlign w:val="bottom"/>
            <w:shd w:val="clear" w:color="auto" w:fill="62259D"/>
          </w:tcPr>
          <w:p>
            <w:pPr>
              <w:spacing w:after="0"/>
              <w:rPr>
                <w:sz w:val="18"/>
                <w:szCs w:val="18"/>
                <w:color w:val="auto"/>
              </w:rPr>
            </w:pPr>
          </w:p>
        </w:tc>
        <w:tc>
          <w:tcPr>
            <w:tcW w:w="240" w:type="dxa"/>
            <w:vAlign w:val="bottom"/>
            <w:shd w:val="clear" w:color="auto" w:fill="62259D"/>
          </w:tcPr>
          <w:p>
            <w:pPr>
              <w:spacing w:after="0"/>
              <w:rPr>
                <w:sz w:val="18"/>
                <w:szCs w:val="18"/>
                <w:color w:val="auto"/>
              </w:rPr>
            </w:pPr>
          </w:p>
        </w:tc>
        <w:tc>
          <w:tcPr>
            <w:tcW w:w="300" w:type="dxa"/>
            <w:vAlign w:val="bottom"/>
            <w:shd w:val="clear" w:color="auto" w:fill="62259D"/>
          </w:tcPr>
          <w:p>
            <w:pPr>
              <w:spacing w:after="0"/>
              <w:rPr>
                <w:sz w:val="18"/>
                <w:szCs w:val="18"/>
                <w:color w:val="auto"/>
              </w:rPr>
            </w:pPr>
          </w:p>
        </w:tc>
        <w:tc>
          <w:tcPr>
            <w:tcW w:w="480" w:type="dxa"/>
            <w:vAlign w:val="bottom"/>
            <w:shd w:val="clear" w:color="auto" w:fill="62259D"/>
          </w:tcPr>
          <w:p>
            <w:pPr>
              <w:spacing w:after="0"/>
              <w:rPr>
                <w:sz w:val="18"/>
                <w:szCs w:val="18"/>
                <w:color w:val="auto"/>
              </w:rPr>
            </w:pPr>
          </w:p>
        </w:tc>
        <w:tc>
          <w:tcPr>
            <w:tcW w:w="600" w:type="dxa"/>
            <w:vAlign w:val="bottom"/>
            <w:shd w:val="clear" w:color="auto" w:fill="62259D"/>
          </w:tcPr>
          <w:p>
            <w:pPr>
              <w:spacing w:after="0"/>
              <w:rPr>
                <w:sz w:val="18"/>
                <w:szCs w:val="18"/>
                <w:color w:val="auto"/>
              </w:rPr>
            </w:pPr>
          </w:p>
        </w:tc>
        <w:tc>
          <w:tcPr>
            <w:tcW w:w="140" w:type="dxa"/>
            <w:vAlign w:val="bottom"/>
            <w:shd w:val="clear" w:color="auto" w:fill="62259D"/>
          </w:tcPr>
          <w:p>
            <w:pPr>
              <w:spacing w:after="0"/>
              <w:rPr>
                <w:sz w:val="18"/>
                <w:szCs w:val="18"/>
                <w:color w:val="auto"/>
              </w:rPr>
            </w:pPr>
          </w:p>
        </w:tc>
        <w:tc>
          <w:tcPr>
            <w:tcW w:w="100" w:type="dxa"/>
            <w:vAlign w:val="bottom"/>
            <w:shd w:val="clear" w:color="auto" w:fill="62259D"/>
          </w:tcPr>
          <w:p>
            <w:pPr>
              <w:spacing w:after="0"/>
              <w:rPr>
                <w:sz w:val="18"/>
                <w:szCs w:val="18"/>
                <w:color w:val="auto"/>
              </w:rPr>
            </w:pPr>
          </w:p>
        </w:tc>
        <w:tc>
          <w:tcPr>
            <w:tcW w:w="540" w:type="dxa"/>
            <w:vAlign w:val="bottom"/>
            <w:shd w:val="clear" w:color="auto" w:fill="62259D"/>
          </w:tcPr>
          <w:p>
            <w:pPr>
              <w:spacing w:after="0"/>
              <w:rPr>
                <w:sz w:val="18"/>
                <w:szCs w:val="18"/>
                <w:color w:val="auto"/>
              </w:rPr>
            </w:pPr>
          </w:p>
        </w:tc>
        <w:tc>
          <w:tcPr>
            <w:tcW w:w="180" w:type="dxa"/>
            <w:vAlign w:val="bottom"/>
            <w:shd w:val="clear" w:color="auto" w:fill="62259D"/>
          </w:tcPr>
          <w:p>
            <w:pPr>
              <w:spacing w:after="0"/>
              <w:rPr>
                <w:sz w:val="18"/>
                <w:szCs w:val="18"/>
                <w:color w:val="auto"/>
              </w:rPr>
            </w:pPr>
          </w:p>
        </w:tc>
        <w:tc>
          <w:tcPr>
            <w:tcW w:w="160" w:type="dxa"/>
            <w:vAlign w:val="bottom"/>
            <w:shd w:val="clear" w:color="auto" w:fill="62259D"/>
          </w:tcPr>
          <w:p>
            <w:pPr>
              <w:spacing w:after="0"/>
              <w:rPr>
                <w:sz w:val="18"/>
                <w:szCs w:val="18"/>
                <w:color w:val="auto"/>
              </w:rPr>
            </w:pPr>
          </w:p>
        </w:tc>
        <w:tc>
          <w:tcPr>
            <w:tcW w:w="360" w:type="dxa"/>
            <w:vAlign w:val="bottom"/>
            <w:shd w:val="clear" w:color="auto" w:fill="62259D"/>
          </w:tcPr>
          <w:p>
            <w:pPr>
              <w:spacing w:after="0"/>
              <w:rPr>
                <w:sz w:val="18"/>
                <w:szCs w:val="18"/>
                <w:color w:val="auto"/>
              </w:rPr>
            </w:pPr>
          </w:p>
        </w:tc>
        <w:tc>
          <w:tcPr>
            <w:tcW w:w="360" w:type="dxa"/>
            <w:vAlign w:val="bottom"/>
            <w:shd w:val="clear" w:color="auto" w:fill="62259D"/>
          </w:tcPr>
          <w:p>
            <w:pPr>
              <w:spacing w:after="0"/>
              <w:rPr>
                <w:sz w:val="18"/>
                <w:szCs w:val="18"/>
                <w:color w:val="auto"/>
              </w:rPr>
            </w:pPr>
          </w:p>
        </w:tc>
        <w:tc>
          <w:tcPr>
            <w:tcW w:w="120" w:type="dxa"/>
            <w:vAlign w:val="bottom"/>
            <w:shd w:val="clear" w:color="auto" w:fill="62259D"/>
          </w:tcPr>
          <w:p>
            <w:pPr>
              <w:spacing w:after="0"/>
              <w:rPr>
                <w:sz w:val="18"/>
                <w:szCs w:val="18"/>
                <w:color w:val="auto"/>
              </w:rPr>
            </w:pPr>
          </w:p>
        </w:tc>
        <w:tc>
          <w:tcPr>
            <w:tcW w:w="380" w:type="dxa"/>
            <w:vAlign w:val="bottom"/>
            <w:shd w:val="clear" w:color="auto" w:fill="62259D"/>
          </w:tcPr>
          <w:p>
            <w:pPr>
              <w:spacing w:after="0"/>
              <w:rPr>
                <w:sz w:val="18"/>
                <w:szCs w:val="18"/>
                <w:color w:val="auto"/>
              </w:rPr>
            </w:pPr>
          </w:p>
        </w:tc>
        <w:tc>
          <w:tcPr>
            <w:tcW w:w="260" w:type="dxa"/>
            <w:vAlign w:val="bottom"/>
            <w:shd w:val="clear" w:color="auto" w:fill="62259D"/>
          </w:tcPr>
          <w:p>
            <w:pPr>
              <w:spacing w:after="0"/>
              <w:rPr>
                <w:sz w:val="18"/>
                <w:szCs w:val="18"/>
                <w:color w:val="auto"/>
              </w:rPr>
            </w:pPr>
          </w:p>
        </w:tc>
        <w:tc>
          <w:tcPr>
            <w:tcW w:w="1260" w:type="dxa"/>
            <w:vAlign w:val="bottom"/>
            <w:gridSpan w:val="2"/>
            <w:shd w:val="clear" w:color="auto" w:fill="62259D"/>
          </w:tcPr>
          <w:p>
            <w:pPr>
              <w:jc w:val="center"/>
              <w:ind w:right="108"/>
              <w:spacing w:after="0"/>
              <w:rPr>
                <w:sz w:val="20"/>
                <w:szCs w:val="20"/>
                <w:color w:val="auto"/>
              </w:rPr>
            </w:pPr>
            <w:r>
              <w:rPr>
                <w:rFonts w:ascii="Arial" w:cs="Arial" w:eastAsia="Arial" w:hAnsi="Arial"/>
                <w:sz w:val="14"/>
                <w:szCs w:val="14"/>
                <w:b w:val="1"/>
                <w:bCs w:val="1"/>
                <w:color w:val="FEFEFE"/>
              </w:rPr>
              <w:t>Nominating,</w:t>
            </w:r>
          </w:p>
        </w:tc>
        <w:tc>
          <w:tcPr>
            <w:tcW w:w="200" w:type="dxa"/>
            <w:vAlign w:val="bottom"/>
            <w:shd w:val="clear" w:color="auto" w:fill="62259D"/>
          </w:tcPr>
          <w:p>
            <w:pPr>
              <w:spacing w:after="0"/>
              <w:rPr>
                <w:sz w:val="18"/>
                <w:szCs w:val="18"/>
                <w:color w:val="auto"/>
              </w:rPr>
            </w:pPr>
          </w:p>
        </w:tc>
        <w:tc>
          <w:tcPr>
            <w:tcW w:w="160" w:type="dxa"/>
            <w:vAlign w:val="bottom"/>
            <w:shd w:val="clear" w:color="auto" w:fill="62259D"/>
          </w:tcPr>
          <w:p>
            <w:pPr>
              <w:spacing w:after="0"/>
              <w:rPr>
                <w:sz w:val="18"/>
                <w:szCs w:val="18"/>
                <w:color w:val="auto"/>
              </w:rPr>
            </w:pPr>
          </w:p>
        </w:tc>
        <w:tc>
          <w:tcPr>
            <w:tcW w:w="1080" w:type="dxa"/>
            <w:vAlign w:val="bottom"/>
            <w:shd w:val="clear" w:color="auto" w:fill="62259D"/>
          </w:tcPr>
          <w:p>
            <w:pPr>
              <w:spacing w:after="0"/>
              <w:rPr>
                <w:sz w:val="18"/>
                <w:szCs w:val="18"/>
                <w:color w:val="auto"/>
              </w:rPr>
            </w:pPr>
          </w:p>
        </w:tc>
        <w:tc>
          <w:tcPr>
            <w:tcW w:w="100" w:type="dxa"/>
            <w:vAlign w:val="bottom"/>
            <w:shd w:val="clear" w:color="auto" w:fill="62259D"/>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shd w:val="clear" w:color="auto" w:fill="62259D"/>
          </w:tcPr>
          <w:p>
            <w:pPr>
              <w:spacing w:after="0"/>
              <w:rPr>
                <w:sz w:val="14"/>
                <w:szCs w:val="14"/>
                <w:color w:val="auto"/>
              </w:rPr>
            </w:pPr>
          </w:p>
        </w:tc>
        <w:tc>
          <w:tcPr>
            <w:tcW w:w="560" w:type="dxa"/>
            <w:vAlign w:val="bottom"/>
            <w:shd w:val="clear" w:color="auto" w:fill="62259D"/>
          </w:tcPr>
          <w:p>
            <w:pPr>
              <w:spacing w:after="0"/>
              <w:rPr>
                <w:sz w:val="14"/>
                <w:szCs w:val="14"/>
                <w:color w:val="auto"/>
              </w:rPr>
            </w:pPr>
          </w:p>
        </w:tc>
        <w:tc>
          <w:tcPr>
            <w:tcW w:w="240" w:type="dxa"/>
            <w:vAlign w:val="bottom"/>
            <w:shd w:val="clear" w:color="auto" w:fill="62259D"/>
          </w:tcPr>
          <w:p>
            <w:pPr>
              <w:spacing w:after="0"/>
              <w:rPr>
                <w:sz w:val="14"/>
                <w:szCs w:val="14"/>
                <w:color w:val="auto"/>
              </w:rPr>
            </w:pPr>
          </w:p>
        </w:tc>
        <w:tc>
          <w:tcPr>
            <w:tcW w:w="300" w:type="dxa"/>
            <w:vAlign w:val="bottom"/>
            <w:shd w:val="clear" w:color="auto" w:fill="62259D"/>
          </w:tcPr>
          <w:p>
            <w:pPr>
              <w:spacing w:after="0"/>
              <w:rPr>
                <w:sz w:val="14"/>
                <w:szCs w:val="14"/>
                <w:color w:val="auto"/>
              </w:rPr>
            </w:pPr>
          </w:p>
        </w:tc>
        <w:tc>
          <w:tcPr>
            <w:tcW w:w="480" w:type="dxa"/>
            <w:vAlign w:val="bottom"/>
            <w:shd w:val="clear" w:color="auto" w:fill="62259D"/>
          </w:tcPr>
          <w:p>
            <w:pPr>
              <w:spacing w:after="0"/>
              <w:rPr>
                <w:sz w:val="14"/>
                <w:szCs w:val="14"/>
                <w:color w:val="auto"/>
              </w:rPr>
            </w:pPr>
          </w:p>
        </w:tc>
        <w:tc>
          <w:tcPr>
            <w:tcW w:w="600" w:type="dxa"/>
            <w:vAlign w:val="bottom"/>
            <w:shd w:val="clear" w:color="auto" w:fill="62259D"/>
          </w:tcPr>
          <w:p>
            <w:pPr>
              <w:spacing w:after="0"/>
              <w:rPr>
                <w:sz w:val="14"/>
                <w:szCs w:val="14"/>
                <w:color w:val="auto"/>
              </w:rPr>
            </w:pPr>
          </w:p>
        </w:tc>
        <w:tc>
          <w:tcPr>
            <w:tcW w:w="140" w:type="dxa"/>
            <w:vAlign w:val="bottom"/>
            <w:shd w:val="clear" w:color="auto" w:fill="62259D"/>
          </w:tcPr>
          <w:p>
            <w:pPr>
              <w:spacing w:after="0"/>
              <w:rPr>
                <w:sz w:val="14"/>
                <w:szCs w:val="14"/>
                <w:color w:val="auto"/>
              </w:rPr>
            </w:pPr>
          </w:p>
        </w:tc>
        <w:tc>
          <w:tcPr>
            <w:tcW w:w="100" w:type="dxa"/>
            <w:vAlign w:val="bottom"/>
            <w:shd w:val="clear" w:color="auto" w:fill="62259D"/>
          </w:tcPr>
          <w:p>
            <w:pPr>
              <w:spacing w:after="0"/>
              <w:rPr>
                <w:sz w:val="14"/>
                <w:szCs w:val="14"/>
                <w:color w:val="auto"/>
              </w:rPr>
            </w:pPr>
          </w:p>
        </w:tc>
        <w:tc>
          <w:tcPr>
            <w:tcW w:w="540" w:type="dxa"/>
            <w:vAlign w:val="bottom"/>
            <w:shd w:val="clear" w:color="auto" w:fill="62259D"/>
          </w:tcPr>
          <w:p>
            <w:pPr>
              <w:spacing w:after="0"/>
              <w:rPr>
                <w:sz w:val="14"/>
                <w:szCs w:val="14"/>
                <w:color w:val="auto"/>
              </w:rPr>
            </w:pPr>
          </w:p>
        </w:tc>
        <w:tc>
          <w:tcPr>
            <w:tcW w:w="180" w:type="dxa"/>
            <w:vAlign w:val="bottom"/>
            <w:shd w:val="clear" w:color="auto" w:fill="62259D"/>
          </w:tcPr>
          <w:p>
            <w:pPr>
              <w:spacing w:after="0"/>
              <w:rPr>
                <w:sz w:val="14"/>
                <w:szCs w:val="14"/>
                <w:color w:val="auto"/>
              </w:rPr>
            </w:pPr>
          </w:p>
        </w:tc>
        <w:tc>
          <w:tcPr>
            <w:tcW w:w="160" w:type="dxa"/>
            <w:vAlign w:val="bottom"/>
            <w:shd w:val="clear" w:color="auto" w:fill="62259D"/>
          </w:tcPr>
          <w:p>
            <w:pPr>
              <w:spacing w:after="0"/>
              <w:rPr>
                <w:sz w:val="14"/>
                <w:szCs w:val="14"/>
                <w:color w:val="auto"/>
              </w:rPr>
            </w:pPr>
          </w:p>
        </w:tc>
        <w:tc>
          <w:tcPr>
            <w:tcW w:w="360" w:type="dxa"/>
            <w:vAlign w:val="bottom"/>
            <w:shd w:val="clear" w:color="auto" w:fill="62259D"/>
          </w:tcPr>
          <w:p>
            <w:pPr>
              <w:spacing w:after="0"/>
              <w:rPr>
                <w:sz w:val="14"/>
                <w:szCs w:val="14"/>
                <w:color w:val="auto"/>
              </w:rPr>
            </w:pPr>
          </w:p>
        </w:tc>
        <w:tc>
          <w:tcPr>
            <w:tcW w:w="360" w:type="dxa"/>
            <w:vAlign w:val="bottom"/>
            <w:shd w:val="clear" w:color="auto" w:fill="62259D"/>
          </w:tcPr>
          <w:p>
            <w:pPr>
              <w:spacing w:after="0"/>
              <w:rPr>
                <w:sz w:val="14"/>
                <w:szCs w:val="14"/>
                <w:color w:val="auto"/>
              </w:rPr>
            </w:pPr>
          </w:p>
        </w:tc>
        <w:tc>
          <w:tcPr>
            <w:tcW w:w="120" w:type="dxa"/>
            <w:vAlign w:val="bottom"/>
            <w:shd w:val="clear" w:color="auto" w:fill="62259D"/>
          </w:tcPr>
          <w:p>
            <w:pPr>
              <w:spacing w:after="0"/>
              <w:rPr>
                <w:sz w:val="14"/>
                <w:szCs w:val="14"/>
                <w:color w:val="auto"/>
              </w:rPr>
            </w:pPr>
          </w:p>
        </w:tc>
        <w:tc>
          <w:tcPr>
            <w:tcW w:w="380" w:type="dxa"/>
            <w:vAlign w:val="bottom"/>
            <w:shd w:val="clear" w:color="auto" w:fill="62259D"/>
          </w:tcPr>
          <w:p>
            <w:pPr>
              <w:spacing w:after="0"/>
              <w:rPr>
                <w:sz w:val="14"/>
                <w:szCs w:val="14"/>
                <w:color w:val="auto"/>
              </w:rPr>
            </w:pPr>
          </w:p>
        </w:tc>
        <w:tc>
          <w:tcPr>
            <w:tcW w:w="1520" w:type="dxa"/>
            <w:vAlign w:val="bottom"/>
            <w:gridSpan w:val="3"/>
            <w:shd w:val="clear" w:color="auto" w:fill="62259D"/>
          </w:tcPr>
          <w:p>
            <w:pPr>
              <w:jc w:val="center"/>
              <w:ind w:left="1"/>
              <w:spacing w:after="0"/>
              <w:rPr>
                <w:sz w:val="20"/>
                <w:szCs w:val="20"/>
                <w:color w:val="auto"/>
              </w:rPr>
            </w:pPr>
            <w:r>
              <w:rPr>
                <w:rFonts w:ascii="Arial" w:cs="Arial" w:eastAsia="Arial" w:hAnsi="Arial"/>
                <w:sz w:val="14"/>
                <w:szCs w:val="14"/>
                <w:b w:val="1"/>
                <w:bCs w:val="1"/>
                <w:color w:val="FEFEFE"/>
              </w:rPr>
              <w:t>Sustainability and</w:t>
            </w:r>
          </w:p>
        </w:tc>
        <w:tc>
          <w:tcPr>
            <w:tcW w:w="200" w:type="dxa"/>
            <w:vAlign w:val="bottom"/>
            <w:shd w:val="clear" w:color="auto" w:fill="62259D"/>
          </w:tcPr>
          <w:p>
            <w:pPr>
              <w:spacing w:after="0"/>
              <w:rPr>
                <w:sz w:val="14"/>
                <w:szCs w:val="14"/>
                <w:color w:val="auto"/>
              </w:rPr>
            </w:pPr>
          </w:p>
        </w:tc>
        <w:tc>
          <w:tcPr>
            <w:tcW w:w="160" w:type="dxa"/>
            <w:vAlign w:val="bottom"/>
            <w:shd w:val="clear" w:color="auto" w:fill="62259D"/>
          </w:tcPr>
          <w:p>
            <w:pPr>
              <w:spacing w:after="0"/>
              <w:rPr>
                <w:sz w:val="14"/>
                <w:szCs w:val="14"/>
                <w:color w:val="auto"/>
              </w:rPr>
            </w:pPr>
          </w:p>
        </w:tc>
        <w:tc>
          <w:tcPr>
            <w:tcW w:w="1080" w:type="dxa"/>
            <w:vAlign w:val="bottom"/>
            <w:shd w:val="clear" w:color="auto" w:fill="62259D"/>
          </w:tcPr>
          <w:p>
            <w:pPr>
              <w:spacing w:after="0"/>
              <w:rPr>
                <w:sz w:val="14"/>
                <w:szCs w:val="14"/>
                <w:color w:val="auto"/>
              </w:rPr>
            </w:pPr>
          </w:p>
        </w:tc>
        <w:tc>
          <w:tcPr>
            <w:tcW w:w="100" w:type="dxa"/>
            <w:vAlign w:val="bottom"/>
            <w:shd w:val="clear" w:color="auto" w:fill="62259D"/>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shd w:val="clear" w:color="auto" w:fill="62259D"/>
          </w:tcPr>
          <w:p>
            <w:pPr>
              <w:spacing w:after="0"/>
              <w:rPr>
                <w:sz w:val="15"/>
                <w:szCs w:val="15"/>
                <w:color w:val="auto"/>
              </w:rPr>
            </w:pPr>
          </w:p>
        </w:tc>
        <w:tc>
          <w:tcPr>
            <w:tcW w:w="560" w:type="dxa"/>
            <w:vAlign w:val="bottom"/>
            <w:shd w:val="clear" w:color="auto" w:fill="62259D"/>
          </w:tcPr>
          <w:p>
            <w:pPr>
              <w:spacing w:after="0"/>
              <w:rPr>
                <w:sz w:val="15"/>
                <w:szCs w:val="15"/>
                <w:color w:val="auto"/>
              </w:rPr>
            </w:pPr>
          </w:p>
        </w:tc>
        <w:tc>
          <w:tcPr>
            <w:tcW w:w="240" w:type="dxa"/>
            <w:vAlign w:val="bottom"/>
            <w:shd w:val="clear" w:color="auto" w:fill="62259D"/>
          </w:tcPr>
          <w:p>
            <w:pPr>
              <w:spacing w:after="0"/>
              <w:rPr>
                <w:sz w:val="15"/>
                <w:szCs w:val="15"/>
                <w:color w:val="auto"/>
              </w:rPr>
            </w:pPr>
          </w:p>
        </w:tc>
        <w:tc>
          <w:tcPr>
            <w:tcW w:w="300" w:type="dxa"/>
            <w:vAlign w:val="bottom"/>
            <w:shd w:val="clear" w:color="auto" w:fill="62259D"/>
          </w:tcPr>
          <w:p>
            <w:pPr>
              <w:spacing w:after="0"/>
              <w:rPr>
                <w:sz w:val="15"/>
                <w:szCs w:val="15"/>
                <w:color w:val="auto"/>
              </w:rPr>
            </w:pPr>
          </w:p>
        </w:tc>
        <w:tc>
          <w:tcPr>
            <w:tcW w:w="480" w:type="dxa"/>
            <w:vAlign w:val="bottom"/>
            <w:shd w:val="clear" w:color="auto" w:fill="62259D"/>
          </w:tcPr>
          <w:p>
            <w:pPr>
              <w:spacing w:after="0"/>
              <w:rPr>
                <w:sz w:val="15"/>
                <w:szCs w:val="15"/>
                <w:color w:val="auto"/>
              </w:rPr>
            </w:pPr>
          </w:p>
        </w:tc>
        <w:tc>
          <w:tcPr>
            <w:tcW w:w="600" w:type="dxa"/>
            <w:vAlign w:val="bottom"/>
            <w:shd w:val="clear" w:color="auto" w:fill="62259D"/>
          </w:tcPr>
          <w:p>
            <w:pPr>
              <w:spacing w:after="0"/>
              <w:rPr>
                <w:sz w:val="15"/>
                <w:szCs w:val="15"/>
                <w:color w:val="auto"/>
              </w:rPr>
            </w:pPr>
          </w:p>
        </w:tc>
        <w:tc>
          <w:tcPr>
            <w:tcW w:w="140" w:type="dxa"/>
            <w:vAlign w:val="bottom"/>
            <w:shd w:val="clear" w:color="auto" w:fill="62259D"/>
          </w:tcPr>
          <w:p>
            <w:pPr>
              <w:spacing w:after="0"/>
              <w:rPr>
                <w:sz w:val="15"/>
                <w:szCs w:val="15"/>
                <w:color w:val="auto"/>
              </w:rPr>
            </w:pPr>
          </w:p>
        </w:tc>
        <w:tc>
          <w:tcPr>
            <w:tcW w:w="100" w:type="dxa"/>
            <w:vAlign w:val="bottom"/>
            <w:shd w:val="clear" w:color="auto" w:fill="62259D"/>
          </w:tcPr>
          <w:p>
            <w:pPr>
              <w:spacing w:after="0"/>
              <w:rPr>
                <w:sz w:val="15"/>
                <w:szCs w:val="15"/>
                <w:color w:val="auto"/>
              </w:rPr>
            </w:pPr>
          </w:p>
        </w:tc>
        <w:tc>
          <w:tcPr>
            <w:tcW w:w="540" w:type="dxa"/>
            <w:vAlign w:val="bottom"/>
            <w:shd w:val="clear" w:color="auto" w:fill="62259D"/>
          </w:tcPr>
          <w:p>
            <w:pPr>
              <w:spacing w:after="0"/>
              <w:rPr>
                <w:sz w:val="15"/>
                <w:szCs w:val="15"/>
                <w:color w:val="auto"/>
              </w:rPr>
            </w:pPr>
          </w:p>
        </w:tc>
        <w:tc>
          <w:tcPr>
            <w:tcW w:w="180" w:type="dxa"/>
            <w:vAlign w:val="bottom"/>
            <w:shd w:val="clear" w:color="auto" w:fill="62259D"/>
          </w:tcPr>
          <w:p>
            <w:pPr>
              <w:spacing w:after="0"/>
              <w:rPr>
                <w:sz w:val="15"/>
                <w:szCs w:val="15"/>
                <w:color w:val="auto"/>
              </w:rPr>
            </w:pPr>
          </w:p>
        </w:tc>
        <w:tc>
          <w:tcPr>
            <w:tcW w:w="160" w:type="dxa"/>
            <w:vAlign w:val="bottom"/>
            <w:shd w:val="clear" w:color="auto" w:fill="62259D"/>
          </w:tcPr>
          <w:p>
            <w:pPr>
              <w:spacing w:after="0"/>
              <w:rPr>
                <w:sz w:val="15"/>
                <w:szCs w:val="15"/>
                <w:color w:val="auto"/>
              </w:rPr>
            </w:pPr>
          </w:p>
        </w:tc>
        <w:tc>
          <w:tcPr>
            <w:tcW w:w="360" w:type="dxa"/>
            <w:vAlign w:val="bottom"/>
            <w:shd w:val="clear" w:color="auto" w:fill="62259D"/>
          </w:tcPr>
          <w:p>
            <w:pPr>
              <w:spacing w:after="0"/>
              <w:rPr>
                <w:sz w:val="15"/>
                <w:szCs w:val="15"/>
                <w:color w:val="auto"/>
              </w:rPr>
            </w:pPr>
          </w:p>
        </w:tc>
        <w:tc>
          <w:tcPr>
            <w:tcW w:w="360" w:type="dxa"/>
            <w:vAlign w:val="bottom"/>
            <w:shd w:val="clear" w:color="auto" w:fill="62259D"/>
          </w:tcPr>
          <w:p>
            <w:pPr>
              <w:spacing w:after="0"/>
              <w:rPr>
                <w:sz w:val="15"/>
                <w:szCs w:val="15"/>
                <w:color w:val="auto"/>
              </w:rPr>
            </w:pPr>
          </w:p>
        </w:tc>
        <w:tc>
          <w:tcPr>
            <w:tcW w:w="120" w:type="dxa"/>
            <w:vAlign w:val="bottom"/>
            <w:shd w:val="clear" w:color="auto" w:fill="62259D"/>
          </w:tcPr>
          <w:p>
            <w:pPr>
              <w:spacing w:after="0"/>
              <w:rPr>
                <w:sz w:val="15"/>
                <w:szCs w:val="15"/>
                <w:color w:val="auto"/>
              </w:rPr>
            </w:pPr>
          </w:p>
        </w:tc>
        <w:tc>
          <w:tcPr>
            <w:tcW w:w="380" w:type="dxa"/>
            <w:vAlign w:val="bottom"/>
            <w:shd w:val="clear" w:color="auto" w:fill="62259D"/>
          </w:tcPr>
          <w:p>
            <w:pPr>
              <w:spacing w:after="0"/>
              <w:rPr>
                <w:sz w:val="15"/>
                <w:szCs w:val="15"/>
                <w:color w:val="auto"/>
              </w:rPr>
            </w:pPr>
          </w:p>
        </w:tc>
        <w:tc>
          <w:tcPr>
            <w:tcW w:w="260" w:type="dxa"/>
            <w:vAlign w:val="bottom"/>
            <w:shd w:val="clear" w:color="auto" w:fill="62259D"/>
          </w:tcPr>
          <w:p>
            <w:pPr>
              <w:spacing w:after="0"/>
              <w:rPr>
                <w:sz w:val="15"/>
                <w:szCs w:val="15"/>
                <w:color w:val="auto"/>
              </w:rPr>
            </w:pPr>
          </w:p>
        </w:tc>
        <w:tc>
          <w:tcPr>
            <w:tcW w:w="1260" w:type="dxa"/>
            <w:vAlign w:val="bottom"/>
            <w:gridSpan w:val="2"/>
            <w:shd w:val="clear" w:color="auto" w:fill="62259D"/>
          </w:tcPr>
          <w:p>
            <w:pPr>
              <w:jc w:val="center"/>
              <w:ind w:right="108"/>
              <w:spacing w:after="0"/>
              <w:rPr>
                <w:sz w:val="20"/>
                <w:szCs w:val="20"/>
                <w:color w:val="auto"/>
              </w:rPr>
            </w:pPr>
            <w:r>
              <w:rPr>
                <w:rFonts w:ascii="Arial" w:cs="Arial" w:eastAsia="Arial" w:hAnsi="Arial"/>
                <w:sz w:val="14"/>
                <w:szCs w:val="14"/>
                <w:b w:val="1"/>
                <w:bCs w:val="1"/>
                <w:color w:val="FEFEFE"/>
              </w:rPr>
              <w:t>Corporate</w:t>
            </w:r>
          </w:p>
        </w:tc>
        <w:tc>
          <w:tcPr>
            <w:tcW w:w="200" w:type="dxa"/>
            <w:vAlign w:val="bottom"/>
            <w:shd w:val="clear" w:color="auto" w:fill="62259D"/>
          </w:tcPr>
          <w:p>
            <w:pPr>
              <w:spacing w:after="0"/>
              <w:rPr>
                <w:sz w:val="15"/>
                <w:szCs w:val="15"/>
                <w:color w:val="auto"/>
              </w:rPr>
            </w:pPr>
          </w:p>
        </w:tc>
        <w:tc>
          <w:tcPr>
            <w:tcW w:w="160" w:type="dxa"/>
            <w:vAlign w:val="bottom"/>
            <w:shd w:val="clear" w:color="auto" w:fill="62259D"/>
          </w:tcPr>
          <w:p>
            <w:pPr>
              <w:spacing w:after="0"/>
              <w:rPr>
                <w:sz w:val="15"/>
                <w:szCs w:val="15"/>
                <w:color w:val="auto"/>
              </w:rPr>
            </w:pPr>
          </w:p>
        </w:tc>
        <w:tc>
          <w:tcPr>
            <w:tcW w:w="1080" w:type="dxa"/>
            <w:vAlign w:val="bottom"/>
            <w:shd w:val="clear" w:color="auto" w:fill="62259D"/>
          </w:tcPr>
          <w:p>
            <w:pPr>
              <w:jc w:val="right"/>
              <w:ind w:right="80"/>
              <w:spacing w:after="0"/>
              <w:rPr>
                <w:sz w:val="20"/>
                <w:szCs w:val="20"/>
                <w:color w:val="auto"/>
              </w:rPr>
            </w:pPr>
            <w:r>
              <w:rPr>
                <w:rFonts w:ascii="Arial" w:cs="Arial" w:eastAsia="Arial" w:hAnsi="Arial"/>
                <w:sz w:val="14"/>
                <w:szCs w:val="14"/>
                <w:b w:val="1"/>
                <w:bCs w:val="1"/>
                <w:color w:val="FEFEFE"/>
              </w:rPr>
              <w:t>Technology</w:t>
            </w:r>
          </w:p>
        </w:tc>
        <w:tc>
          <w:tcPr>
            <w:tcW w:w="100" w:type="dxa"/>
            <w:vAlign w:val="bottom"/>
            <w:shd w:val="clear" w:color="auto" w:fill="62259D"/>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c>
          <w:tcPr>
            <w:tcW w:w="1200" w:type="dxa"/>
            <w:vAlign w:val="bottom"/>
            <w:shd w:val="clear" w:color="auto" w:fill="62259D"/>
          </w:tcPr>
          <w:p>
            <w:pPr>
              <w:spacing w:after="0"/>
              <w:rPr>
                <w:sz w:val="20"/>
                <w:szCs w:val="20"/>
                <w:color w:val="auto"/>
              </w:rPr>
            </w:pPr>
            <w:r>
              <w:rPr>
                <w:rFonts w:ascii="Arial" w:cs="Arial" w:eastAsia="Arial" w:hAnsi="Arial"/>
                <w:sz w:val="14"/>
                <w:szCs w:val="14"/>
                <w:b w:val="1"/>
                <w:bCs w:val="1"/>
                <w:color w:val="FEFEFE"/>
              </w:rPr>
              <w:t>Director</w:t>
            </w:r>
          </w:p>
        </w:tc>
        <w:tc>
          <w:tcPr>
            <w:tcW w:w="560" w:type="dxa"/>
            <w:vAlign w:val="bottom"/>
            <w:shd w:val="clear" w:color="auto" w:fill="62259D"/>
          </w:tcPr>
          <w:p>
            <w:pPr>
              <w:spacing w:after="0"/>
              <w:rPr>
                <w:sz w:val="18"/>
                <w:szCs w:val="18"/>
                <w:color w:val="auto"/>
              </w:rPr>
            </w:pPr>
          </w:p>
        </w:tc>
        <w:tc>
          <w:tcPr>
            <w:tcW w:w="240" w:type="dxa"/>
            <w:vAlign w:val="bottom"/>
            <w:shd w:val="clear" w:color="auto" w:fill="62259D"/>
          </w:tcPr>
          <w:p>
            <w:pPr>
              <w:spacing w:after="0"/>
              <w:rPr>
                <w:sz w:val="18"/>
                <w:szCs w:val="18"/>
                <w:color w:val="auto"/>
              </w:rPr>
            </w:pPr>
          </w:p>
        </w:tc>
        <w:tc>
          <w:tcPr>
            <w:tcW w:w="300" w:type="dxa"/>
            <w:vAlign w:val="bottom"/>
            <w:shd w:val="clear" w:color="auto" w:fill="62259D"/>
          </w:tcPr>
          <w:p>
            <w:pPr>
              <w:ind w:left="200"/>
              <w:spacing w:after="0"/>
              <w:rPr>
                <w:sz w:val="20"/>
                <w:szCs w:val="20"/>
                <w:color w:val="auto"/>
              </w:rPr>
            </w:pPr>
            <w:r>
              <w:rPr>
                <w:rFonts w:ascii="Arial" w:cs="Arial" w:eastAsia="Arial" w:hAnsi="Arial"/>
                <w:sz w:val="14"/>
                <w:szCs w:val="14"/>
                <w:b w:val="1"/>
                <w:bCs w:val="1"/>
                <w:color w:val="FEFEFE"/>
              </w:rPr>
              <w:t>​</w:t>
            </w:r>
          </w:p>
        </w:tc>
        <w:tc>
          <w:tcPr>
            <w:tcW w:w="1080" w:type="dxa"/>
            <w:vAlign w:val="bottom"/>
            <w:gridSpan w:val="2"/>
            <w:shd w:val="clear" w:color="auto" w:fill="62259D"/>
          </w:tcPr>
          <w:p>
            <w:pPr>
              <w:ind w:left="40"/>
              <w:spacing w:after="0" w:line="212" w:lineRule="exact"/>
              <w:rPr>
                <w:sz w:val="20"/>
                <w:szCs w:val="20"/>
                <w:color w:val="auto"/>
              </w:rPr>
            </w:pPr>
            <w:r>
              <w:rPr>
                <w:rFonts w:ascii="Arial" w:cs="Arial" w:eastAsia="Arial" w:hAnsi="Arial"/>
                <w:sz w:val="24"/>
                <w:szCs w:val="24"/>
                <w:b w:val="1"/>
                <w:bCs w:val="1"/>
                <w:color w:val="FEFEFE"/>
                <w:vertAlign w:val="subscript"/>
              </w:rPr>
              <w:t>​</w:t>
            </w:r>
            <w:r>
              <w:rPr>
                <w:rFonts w:ascii="Arial" w:cs="Arial" w:eastAsia="Arial" w:hAnsi="Arial"/>
                <w:sz w:val="13"/>
                <w:szCs w:val="13"/>
                <w:b w:val="1"/>
                <w:bCs w:val="1"/>
                <w:color w:val="FEFEFE"/>
              </w:rPr>
              <w:t xml:space="preserve"> Independent</w:t>
            </w:r>
          </w:p>
        </w:tc>
        <w:tc>
          <w:tcPr>
            <w:tcW w:w="140" w:type="dxa"/>
            <w:vAlign w:val="bottom"/>
            <w:shd w:val="clear" w:color="auto" w:fill="62259D"/>
          </w:tcPr>
          <w:p>
            <w:pPr>
              <w:ind w:left="40"/>
              <w:spacing w:after="0"/>
              <w:rPr>
                <w:sz w:val="20"/>
                <w:szCs w:val="20"/>
                <w:color w:val="auto"/>
              </w:rPr>
            </w:pPr>
            <w:r>
              <w:rPr>
                <w:rFonts w:ascii="Arial" w:cs="Arial" w:eastAsia="Arial" w:hAnsi="Arial"/>
                <w:sz w:val="14"/>
                <w:szCs w:val="14"/>
                <w:b w:val="1"/>
                <w:bCs w:val="1"/>
                <w:color w:val="FEFEFE"/>
              </w:rPr>
              <w:t>​</w:t>
            </w:r>
          </w:p>
        </w:tc>
        <w:tc>
          <w:tcPr>
            <w:tcW w:w="100" w:type="dxa"/>
            <w:vAlign w:val="bottom"/>
            <w:shd w:val="clear" w:color="auto" w:fill="62259D"/>
          </w:tcPr>
          <w:p>
            <w:pPr>
              <w:ind w:left="40"/>
              <w:spacing w:after="0"/>
              <w:rPr>
                <w:sz w:val="20"/>
                <w:szCs w:val="20"/>
                <w:color w:val="auto"/>
              </w:rPr>
            </w:pPr>
            <w:r>
              <w:rPr>
                <w:rFonts w:ascii="Arial" w:cs="Arial" w:eastAsia="Arial" w:hAnsi="Arial"/>
                <w:sz w:val="14"/>
                <w:szCs w:val="14"/>
                <w:b w:val="1"/>
                <w:bCs w:val="1"/>
                <w:color w:val="FEFEFE"/>
              </w:rPr>
              <w:t>​</w:t>
            </w:r>
          </w:p>
        </w:tc>
        <w:tc>
          <w:tcPr>
            <w:tcW w:w="540" w:type="dxa"/>
            <w:vAlign w:val="bottom"/>
            <w:shd w:val="clear" w:color="auto" w:fill="62259D"/>
          </w:tcPr>
          <w:p>
            <w:pPr>
              <w:jc w:val="right"/>
              <w:ind w:right="1"/>
              <w:spacing w:after="0"/>
              <w:rPr>
                <w:sz w:val="20"/>
                <w:szCs w:val="20"/>
                <w:color w:val="auto"/>
              </w:rPr>
            </w:pPr>
            <w:r>
              <w:rPr>
                <w:rFonts w:ascii="Arial" w:cs="Arial" w:eastAsia="Arial" w:hAnsi="Arial"/>
                <w:sz w:val="14"/>
                <w:szCs w:val="14"/>
                <w:b w:val="1"/>
                <w:bCs w:val="1"/>
                <w:color w:val="FEFEFE"/>
              </w:rPr>
              <w:t>Audit</w:t>
            </w:r>
          </w:p>
        </w:tc>
        <w:tc>
          <w:tcPr>
            <w:tcW w:w="180" w:type="dxa"/>
            <w:vAlign w:val="bottom"/>
            <w:shd w:val="clear" w:color="auto" w:fill="62259D"/>
          </w:tcPr>
          <w:p>
            <w:pPr>
              <w:ind w:left="80"/>
              <w:spacing w:after="0"/>
              <w:rPr>
                <w:sz w:val="20"/>
                <w:szCs w:val="20"/>
                <w:color w:val="auto"/>
              </w:rPr>
            </w:pPr>
            <w:r>
              <w:rPr>
                <w:rFonts w:ascii="Arial" w:cs="Arial" w:eastAsia="Arial" w:hAnsi="Arial"/>
                <w:sz w:val="14"/>
                <w:szCs w:val="14"/>
                <w:b w:val="1"/>
                <w:bCs w:val="1"/>
                <w:color w:val="FEFEFE"/>
              </w:rPr>
              <w:t>​</w:t>
            </w:r>
          </w:p>
        </w:tc>
        <w:tc>
          <w:tcPr>
            <w:tcW w:w="1380" w:type="dxa"/>
            <w:vAlign w:val="bottom"/>
            <w:gridSpan w:val="5"/>
            <w:shd w:val="clear" w:color="auto" w:fill="62259D"/>
          </w:tcPr>
          <w:p>
            <w:pPr>
              <w:ind w:left="40"/>
              <w:spacing w:after="0" w:line="212" w:lineRule="exact"/>
              <w:rPr>
                <w:sz w:val="20"/>
                <w:szCs w:val="20"/>
                <w:color w:val="auto"/>
              </w:rPr>
            </w:pPr>
            <w:r>
              <w:rPr>
                <w:rFonts w:ascii="Arial" w:cs="Arial" w:eastAsia="Arial" w:hAnsi="Arial"/>
                <w:sz w:val="24"/>
                <w:szCs w:val="24"/>
                <w:b w:val="1"/>
                <w:bCs w:val="1"/>
                <w:color w:val="FEFEFE"/>
                <w:vertAlign w:val="subscript"/>
              </w:rPr>
              <w:t>​</w:t>
            </w:r>
            <w:r>
              <w:rPr>
                <w:rFonts w:ascii="Arial" w:cs="Arial" w:eastAsia="Arial" w:hAnsi="Arial"/>
                <w:sz w:val="13"/>
                <w:szCs w:val="13"/>
                <w:b w:val="1"/>
                <w:bCs w:val="1"/>
                <w:color w:val="FEFEFE"/>
              </w:rPr>
              <w:t xml:space="preserve"> Compensation </w:t>
            </w:r>
            <w:r>
              <w:rPr>
                <w:rFonts w:ascii="Arial" w:cs="Arial" w:eastAsia="Arial" w:hAnsi="Arial"/>
                <w:sz w:val="24"/>
                <w:szCs w:val="24"/>
                <w:b w:val="1"/>
                <w:bCs w:val="1"/>
                <w:color w:val="FEFEFE"/>
                <w:vertAlign w:val="subscript"/>
              </w:rPr>
              <w:t>​</w:t>
            </w:r>
          </w:p>
        </w:tc>
        <w:tc>
          <w:tcPr>
            <w:tcW w:w="260" w:type="dxa"/>
            <w:vAlign w:val="bottom"/>
            <w:shd w:val="clear" w:color="auto" w:fill="62259D"/>
          </w:tcPr>
          <w:p>
            <w:pPr>
              <w:ind w:left="40"/>
              <w:spacing w:after="0"/>
              <w:rPr>
                <w:sz w:val="20"/>
                <w:szCs w:val="20"/>
                <w:color w:val="auto"/>
              </w:rPr>
            </w:pPr>
            <w:r>
              <w:rPr>
                <w:rFonts w:ascii="Arial" w:cs="Arial" w:eastAsia="Arial" w:hAnsi="Arial"/>
                <w:sz w:val="14"/>
                <w:szCs w:val="14"/>
                <w:b w:val="1"/>
                <w:bCs w:val="1"/>
                <w:color w:val="FEFEFE"/>
              </w:rPr>
              <w:t>​</w:t>
            </w:r>
          </w:p>
        </w:tc>
        <w:tc>
          <w:tcPr>
            <w:tcW w:w="1260" w:type="dxa"/>
            <w:vAlign w:val="bottom"/>
            <w:gridSpan w:val="2"/>
            <w:shd w:val="clear" w:color="auto" w:fill="62259D"/>
          </w:tcPr>
          <w:p>
            <w:pPr>
              <w:ind w:left="120"/>
              <w:spacing w:after="0"/>
              <w:rPr>
                <w:sz w:val="20"/>
                <w:szCs w:val="20"/>
                <w:color w:val="auto"/>
              </w:rPr>
            </w:pPr>
            <w:r>
              <w:rPr>
                <w:rFonts w:ascii="Arial" w:cs="Arial" w:eastAsia="Arial" w:hAnsi="Arial"/>
                <w:sz w:val="14"/>
                <w:szCs w:val="14"/>
                <w:b w:val="1"/>
                <w:bCs w:val="1"/>
                <w:color w:val="FEFEFE"/>
              </w:rPr>
              <w:t>Governance</w:t>
            </w:r>
          </w:p>
        </w:tc>
        <w:tc>
          <w:tcPr>
            <w:tcW w:w="200" w:type="dxa"/>
            <w:vAlign w:val="bottom"/>
            <w:shd w:val="clear" w:color="auto" w:fill="62259D"/>
          </w:tcPr>
          <w:p>
            <w:pPr>
              <w:jc w:val="center"/>
              <w:spacing w:after="0"/>
              <w:rPr>
                <w:sz w:val="20"/>
                <w:szCs w:val="20"/>
                <w:color w:val="auto"/>
              </w:rPr>
            </w:pPr>
            <w:r>
              <w:rPr>
                <w:rFonts w:ascii="Arial" w:cs="Arial" w:eastAsia="Arial" w:hAnsi="Arial"/>
                <w:sz w:val="14"/>
                <w:szCs w:val="14"/>
                <w:b w:val="1"/>
                <w:bCs w:val="1"/>
                <w:color w:val="FEFEFE"/>
              </w:rPr>
              <w:t>​</w:t>
            </w:r>
          </w:p>
        </w:tc>
        <w:tc>
          <w:tcPr>
            <w:tcW w:w="1340" w:type="dxa"/>
            <w:vAlign w:val="bottom"/>
            <w:gridSpan w:val="3"/>
            <w:shd w:val="clear" w:color="auto" w:fill="62259D"/>
          </w:tcPr>
          <w:p>
            <w:pPr>
              <w:ind w:left="40"/>
              <w:spacing w:after="0" w:line="212" w:lineRule="exact"/>
              <w:rPr>
                <w:sz w:val="20"/>
                <w:szCs w:val="20"/>
                <w:color w:val="auto"/>
              </w:rPr>
            </w:pPr>
            <w:r>
              <w:rPr>
                <w:rFonts w:ascii="Arial" w:cs="Arial" w:eastAsia="Arial" w:hAnsi="Arial"/>
                <w:sz w:val="24"/>
                <w:szCs w:val="24"/>
                <w:b w:val="1"/>
                <w:bCs w:val="1"/>
                <w:color w:val="FEFEFE"/>
                <w:vertAlign w:val="subscript"/>
              </w:rPr>
              <w:t>​</w:t>
            </w:r>
            <w:r>
              <w:rPr>
                <w:rFonts w:ascii="Arial" w:cs="Arial" w:eastAsia="Arial" w:hAnsi="Arial"/>
                <w:sz w:val="13"/>
                <w:szCs w:val="13"/>
                <w:b w:val="1"/>
                <w:bCs w:val="1"/>
                <w:color w:val="FEFEFE"/>
              </w:rPr>
              <w:t xml:space="preserve"> and Innovation </w:t>
            </w:r>
            <w:r>
              <w:rPr>
                <w:rFonts w:ascii="Arial" w:cs="Arial" w:eastAsia="Arial" w:hAnsi="Arial"/>
                <w:sz w:val="24"/>
                <w:szCs w:val="24"/>
                <w:b w:val="1"/>
                <w:bCs w:val="1"/>
                <w:color w:val="FEFEFE"/>
                <w:vertAlign w:val="subscript"/>
              </w:rPr>
              <w:t>​</w:t>
            </w: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Arial" w:cs="Arial" w:eastAsia="Arial" w:hAnsi="Arial"/>
                <w:sz w:val="16"/>
                <w:szCs w:val="16"/>
                <w:color w:val="auto"/>
              </w:rPr>
              <w:t>​R. Stewart Ewing, Jr.</w:t>
            </w:r>
          </w:p>
        </w:tc>
        <w:tc>
          <w:tcPr>
            <w:tcW w:w="24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6"/>
                <w:szCs w:val="16"/>
                <w:color w:val="auto"/>
              </w:rPr>
              <w:t>​</w:t>
            </w: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jc w:val="right"/>
              <w:ind w:right="181"/>
              <w:spacing w:after="0"/>
              <w:rPr>
                <w:sz w:val="20"/>
                <w:szCs w:val="20"/>
                <w:color w:val="auto"/>
              </w:rPr>
            </w:pPr>
            <w:r>
              <w:rPr>
                <w:rFonts w:ascii="Arial" w:cs="Arial" w:eastAsia="Arial" w:hAnsi="Arial"/>
                <w:sz w:val="16"/>
                <w:szCs w:val="16"/>
                <w:color w:val="auto"/>
              </w:rPr>
              <w:t> </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3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380" w:type="dxa"/>
            <w:vAlign w:val="bottom"/>
          </w:tcPr>
          <w:p>
            <w:pPr>
              <w:jc w:val="center"/>
              <w:ind w:left="141"/>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jc w:val="center"/>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40" w:type="dxa"/>
            <w:vAlign w:val="bottom"/>
            <w:tcBorders>
              <w:bottom w:val="single" w:sz="8" w:color="E7417A"/>
            </w:tcBorders>
          </w:tcPr>
          <w:p>
            <w:pPr>
              <w:spacing w:after="0"/>
              <w:rPr>
                <w:sz w:val="3"/>
                <w:szCs w:val="3"/>
                <w:color w:val="auto"/>
              </w:rPr>
            </w:pPr>
          </w:p>
        </w:tc>
        <w:tc>
          <w:tcPr>
            <w:tcW w:w="1800" w:type="dxa"/>
            <w:vAlign w:val="bottom"/>
            <w:tcBorders>
              <w:bottom w:val="single" w:sz="8" w:color="E7417A"/>
            </w:tcBorders>
            <w:gridSpan w:val="3"/>
          </w:tcPr>
          <w:p>
            <w:pPr>
              <w:spacing w:after="0"/>
              <w:rPr>
                <w:sz w:val="3"/>
                <w:szCs w:val="3"/>
                <w:color w:val="auto"/>
              </w:rPr>
            </w:pPr>
          </w:p>
        </w:tc>
        <w:tc>
          <w:tcPr>
            <w:tcW w:w="240" w:type="dxa"/>
            <w:vAlign w:val="bottom"/>
            <w:tcBorders>
              <w:bottom w:val="single" w:sz="8" w:color="E7417A"/>
            </w:tcBorders>
          </w:tcPr>
          <w:p>
            <w:pPr>
              <w:spacing w:after="0"/>
              <w:rPr>
                <w:sz w:val="3"/>
                <w:szCs w:val="3"/>
                <w:color w:val="auto"/>
              </w:rPr>
            </w:pPr>
          </w:p>
        </w:tc>
        <w:tc>
          <w:tcPr>
            <w:tcW w:w="300" w:type="dxa"/>
            <w:vAlign w:val="bottom"/>
            <w:tcBorders>
              <w:bottom w:val="single" w:sz="8" w:color="E7417A"/>
            </w:tcBorders>
          </w:tcPr>
          <w:p>
            <w:pPr>
              <w:spacing w:after="0"/>
              <w:rPr>
                <w:sz w:val="3"/>
                <w:szCs w:val="3"/>
                <w:color w:val="auto"/>
              </w:rPr>
            </w:pPr>
          </w:p>
        </w:tc>
        <w:tc>
          <w:tcPr>
            <w:tcW w:w="480" w:type="dxa"/>
            <w:vAlign w:val="bottom"/>
            <w:tcBorders>
              <w:bottom w:val="single" w:sz="8" w:color="E7417A"/>
            </w:tcBorders>
          </w:tcPr>
          <w:p>
            <w:pPr>
              <w:spacing w:after="0"/>
              <w:rPr>
                <w:sz w:val="3"/>
                <w:szCs w:val="3"/>
                <w:color w:val="auto"/>
              </w:rPr>
            </w:pPr>
          </w:p>
        </w:tc>
        <w:tc>
          <w:tcPr>
            <w:tcW w:w="600" w:type="dxa"/>
            <w:vAlign w:val="bottom"/>
            <w:tcBorders>
              <w:bottom w:val="single" w:sz="8" w:color="E7417A"/>
            </w:tcBorders>
          </w:tcPr>
          <w:p>
            <w:pPr>
              <w:spacing w:after="0"/>
              <w:rPr>
                <w:sz w:val="3"/>
                <w:szCs w:val="3"/>
                <w:color w:val="auto"/>
              </w:rPr>
            </w:pPr>
          </w:p>
        </w:tc>
        <w:tc>
          <w:tcPr>
            <w:tcW w:w="140" w:type="dxa"/>
            <w:vAlign w:val="bottom"/>
            <w:tcBorders>
              <w:bottom w:val="single" w:sz="8" w:color="E7417A"/>
            </w:tcBorders>
          </w:tcPr>
          <w:p>
            <w:pPr>
              <w:spacing w:after="0"/>
              <w:rPr>
                <w:sz w:val="3"/>
                <w:szCs w:val="3"/>
                <w:color w:val="auto"/>
              </w:rPr>
            </w:pPr>
          </w:p>
        </w:tc>
        <w:tc>
          <w:tcPr>
            <w:tcW w:w="100" w:type="dxa"/>
            <w:vAlign w:val="bottom"/>
            <w:tcBorders>
              <w:bottom w:val="single" w:sz="8" w:color="E7417A"/>
            </w:tcBorders>
          </w:tcPr>
          <w:p>
            <w:pPr>
              <w:spacing w:after="0"/>
              <w:rPr>
                <w:sz w:val="3"/>
                <w:szCs w:val="3"/>
                <w:color w:val="auto"/>
              </w:rPr>
            </w:pPr>
          </w:p>
        </w:tc>
        <w:tc>
          <w:tcPr>
            <w:tcW w:w="540" w:type="dxa"/>
            <w:vAlign w:val="bottom"/>
            <w:tcBorders>
              <w:bottom w:val="single" w:sz="8" w:color="E7417A"/>
            </w:tcBorders>
          </w:tcPr>
          <w:p>
            <w:pPr>
              <w:spacing w:after="0"/>
              <w:rPr>
                <w:sz w:val="3"/>
                <w:szCs w:val="3"/>
                <w:color w:val="auto"/>
              </w:rPr>
            </w:pPr>
          </w:p>
        </w:tc>
        <w:tc>
          <w:tcPr>
            <w:tcW w:w="180" w:type="dxa"/>
            <w:vAlign w:val="bottom"/>
            <w:tcBorders>
              <w:bottom w:val="single" w:sz="8" w:color="E7417A"/>
            </w:tcBorders>
          </w:tcPr>
          <w:p>
            <w:pPr>
              <w:spacing w:after="0"/>
              <w:rPr>
                <w:sz w:val="3"/>
                <w:szCs w:val="3"/>
                <w:color w:val="auto"/>
              </w:rPr>
            </w:pPr>
          </w:p>
        </w:tc>
        <w:tc>
          <w:tcPr>
            <w:tcW w:w="160" w:type="dxa"/>
            <w:vAlign w:val="bottom"/>
            <w:tcBorders>
              <w:bottom w:val="single" w:sz="8" w:color="E7417A"/>
            </w:tcBorders>
          </w:tcPr>
          <w:p>
            <w:pPr>
              <w:spacing w:after="0"/>
              <w:rPr>
                <w:sz w:val="3"/>
                <w:szCs w:val="3"/>
                <w:color w:val="auto"/>
              </w:rPr>
            </w:pPr>
          </w:p>
        </w:tc>
        <w:tc>
          <w:tcPr>
            <w:tcW w:w="360" w:type="dxa"/>
            <w:vAlign w:val="bottom"/>
            <w:tcBorders>
              <w:bottom w:val="single" w:sz="8" w:color="E7417A"/>
            </w:tcBorders>
          </w:tcPr>
          <w:p>
            <w:pPr>
              <w:spacing w:after="0"/>
              <w:rPr>
                <w:sz w:val="3"/>
                <w:szCs w:val="3"/>
                <w:color w:val="auto"/>
              </w:rPr>
            </w:pPr>
          </w:p>
        </w:tc>
        <w:tc>
          <w:tcPr>
            <w:tcW w:w="360" w:type="dxa"/>
            <w:vAlign w:val="bottom"/>
            <w:tcBorders>
              <w:bottom w:val="single" w:sz="8" w:color="E7417A"/>
            </w:tcBorders>
          </w:tcPr>
          <w:p>
            <w:pPr>
              <w:spacing w:after="0"/>
              <w:rPr>
                <w:sz w:val="3"/>
                <w:szCs w:val="3"/>
                <w:color w:val="auto"/>
              </w:rPr>
            </w:pPr>
          </w:p>
        </w:tc>
        <w:tc>
          <w:tcPr>
            <w:tcW w:w="120" w:type="dxa"/>
            <w:vAlign w:val="bottom"/>
            <w:tcBorders>
              <w:bottom w:val="single" w:sz="8" w:color="E7417A"/>
            </w:tcBorders>
          </w:tcPr>
          <w:p>
            <w:pPr>
              <w:spacing w:after="0"/>
              <w:rPr>
                <w:sz w:val="3"/>
                <w:szCs w:val="3"/>
                <w:color w:val="auto"/>
              </w:rPr>
            </w:pPr>
          </w:p>
        </w:tc>
        <w:tc>
          <w:tcPr>
            <w:tcW w:w="380" w:type="dxa"/>
            <w:vAlign w:val="bottom"/>
            <w:tcBorders>
              <w:bottom w:val="single" w:sz="8" w:color="E7417A"/>
            </w:tcBorders>
          </w:tcPr>
          <w:p>
            <w:pPr>
              <w:spacing w:after="0"/>
              <w:rPr>
                <w:sz w:val="3"/>
                <w:szCs w:val="3"/>
                <w:color w:val="auto"/>
              </w:rPr>
            </w:pPr>
          </w:p>
        </w:tc>
        <w:tc>
          <w:tcPr>
            <w:tcW w:w="260" w:type="dxa"/>
            <w:vAlign w:val="bottom"/>
            <w:tcBorders>
              <w:bottom w:val="single" w:sz="8" w:color="E7417A"/>
            </w:tcBorders>
          </w:tcPr>
          <w:p>
            <w:pPr>
              <w:spacing w:after="0"/>
              <w:rPr>
                <w:sz w:val="3"/>
                <w:szCs w:val="3"/>
                <w:color w:val="auto"/>
              </w:rPr>
            </w:pPr>
          </w:p>
        </w:tc>
        <w:tc>
          <w:tcPr>
            <w:tcW w:w="640" w:type="dxa"/>
            <w:vAlign w:val="bottom"/>
            <w:tcBorders>
              <w:bottom w:val="single" w:sz="8" w:color="E7417A"/>
            </w:tcBorders>
          </w:tcPr>
          <w:p>
            <w:pPr>
              <w:spacing w:after="0"/>
              <w:rPr>
                <w:sz w:val="3"/>
                <w:szCs w:val="3"/>
                <w:color w:val="auto"/>
              </w:rPr>
            </w:pPr>
          </w:p>
        </w:tc>
        <w:tc>
          <w:tcPr>
            <w:tcW w:w="620" w:type="dxa"/>
            <w:vAlign w:val="bottom"/>
            <w:tcBorders>
              <w:bottom w:val="single" w:sz="8" w:color="E7417A"/>
            </w:tcBorders>
          </w:tcPr>
          <w:p>
            <w:pPr>
              <w:spacing w:after="0"/>
              <w:rPr>
                <w:sz w:val="3"/>
                <w:szCs w:val="3"/>
                <w:color w:val="auto"/>
              </w:rPr>
            </w:pPr>
          </w:p>
        </w:tc>
        <w:tc>
          <w:tcPr>
            <w:tcW w:w="200" w:type="dxa"/>
            <w:vAlign w:val="bottom"/>
            <w:tcBorders>
              <w:bottom w:val="single" w:sz="8" w:color="E7417A"/>
            </w:tcBorders>
          </w:tcPr>
          <w:p>
            <w:pPr>
              <w:spacing w:after="0"/>
              <w:rPr>
                <w:sz w:val="3"/>
                <w:szCs w:val="3"/>
                <w:color w:val="auto"/>
              </w:rPr>
            </w:pPr>
          </w:p>
        </w:tc>
        <w:tc>
          <w:tcPr>
            <w:tcW w:w="160" w:type="dxa"/>
            <w:vAlign w:val="bottom"/>
            <w:tcBorders>
              <w:bottom w:val="single" w:sz="8" w:color="E7417A"/>
            </w:tcBorders>
          </w:tcPr>
          <w:p>
            <w:pPr>
              <w:spacing w:after="0"/>
              <w:rPr>
                <w:sz w:val="3"/>
                <w:szCs w:val="3"/>
                <w:color w:val="auto"/>
              </w:rPr>
            </w:pPr>
          </w:p>
        </w:tc>
        <w:tc>
          <w:tcPr>
            <w:tcW w:w="1080" w:type="dxa"/>
            <w:vAlign w:val="bottom"/>
            <w:tcBorders>
              <w:bottom w:val="single" w:sz="8" w:color="E7417A"/>
            </w:tcBorders>
          </w:tcPr>
          <w:p>
            <w:pPr>
              <w:spacing w:after="0"/>
              <w:rPr>
                <w:sz w:val="3"/>
                <w:szCs w:val="3"/>
                <w:color w:val="auto"/>
              </w:rPr>
            </w:pPr>
          </w:p>
        </w:tc>
        <w:tc>
          <w:tcPr>
            <w:tcW w:w="100" w:type="dxa"/>
            <w:vAlign w:val="bottom"/>
            <w:tcBorders>
              <w:bottom w:val="single" w:sz="8" w:color="E7417A"/>
            </w:tcBorders>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40" w:type="dxa"/>
            <w:vAlign w:val="bottom"/>
            <w:tcBorders>
              <w:bottom w:val="single" w:sz="8" w:color="E7417A"/>
            </w:tcBorders>
          </w:tcPr>
          <w:p>
            <w:pPr>
              <w:spacing w:after="0"/>
              <w:rPr>
                <w:sz w:val="24"/>
                <w:szCs w:val="24"/>
                <w:color w:val="auto"/>
              </w:rPr>
            </w:pPr>
          </w:p>
        </w:tc>
        <w:tc>
          <w:tcPr>
            <w:tcW w:w="1800" w:type="dxa"/>
            <w:vAlign w:val="bottom"/>
            <w:tcBorders>
              <w:bottom w:val="single" w:sz="8" w:color="E7417A"/>
            </w:tcBorders>
            <w:gridSpan w:val="3"/>
          </w:tcPr>
          <w:p>
            <w:pPr>
              <w:spacing w:after="0" w:line="35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Bruns H. Grayson  </w:t>
            </w:r>
          </w:p>
        </w:tc>
        <w:tc>
          <w:tcPr>
            <w:tcW w:w="240" w:type="dxa"/>
            <w:vAlign w:val="bottom"/>
            <w:tcBorders>
              <w:bottom w:val="single" w:sz="8" w:color="E7417A"/>
            </w:tcBorders>
          </w:tcPr>
          <w:p>
            <w:pPr>
              <w:spacing w:after="0"/>
              <w:rPr>
                <w:sz w:val="24"/>
                <w:szCs w:val="24"/>
                <w:color w:val="auto"/>
              </w:rPr>
            </w:pPr>
          </w:p>
        </w:tc>
        <w:tc>
          <w:tcPr>
            <w:tcW w:w="30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E7417A"/>
            </w:tcBorders>
          </w:tcPr>
          <w:p>
            <w:pPr>
              <w:spacing w:after="0"/>
              <w:rPr>
                <w:sz w:val="24"/>
                <w:szCs w:val="24"/>
                <w:color w:val="auto"/>
              </w:rPr>
            </w:pPr>
          </w:p>
        </w:tc>
        <w:tc>
          <w:tcPr>
            <w:tcW w:w="14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E7417A"/>
            </w:tcBorders>
          </w:tcPr>
          <w:p>
            <w:pPr>
              <w:jc w:val="right"/>
              <w:ind w:right="14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E7417A"/>
            </w:tcBorders>
          </w:tcPr>
          <w:p>
            <w:pPr>
              <w:spacing w:after="0"/>
              <w:rPr>
                <w:sz w:val="24"/>
                <w:szCs w:val="24"/>
                <w:color w:val="auto"/>
              </w:rPr>
            </w:pPr>
          </w:p>
        </w:tc>
        <w:tc>
          <w:tcPr>
            <w:tcW w:w="360" w:type="dxa"/>
            <w:vAlign w:val="bottom"/>
            <w:tcBorders>
              <w:bottom w:val="single" w:sz="8" w:color="E7417A"/>
            </w:tcBorders>
          </w:tcPr>
          <w:p>
            <w:pPr>
              <w:spacing w:after="0"/>
              <w:rPr>
                <w:sz w:val="24"/>
                <w:szCs w:val="24"/>
                <w:color w:val="auto"/>
              </w:rPr>
            </w:pPr>
          </w:p>
        </w:tc>
        <w:tc>
          <w:tcPr>
            <w:tcW w:w="120" w:type="dxa"/>
            <w:vAlign w:val="bottom"/>
            <w:tcBorders>
              <w:bottom w:val="single" w:sz="8" w:color="E7417A"/>
            </w:tcBorders>
          </w:tcPr>
          <w:p>
            <w:pPr>
              <w:spacing w:after="0"/>
              <w:rPr>
                <w:sz w:val="24"/>
                <w:szCs w:val="24"/>
                <w:color w:val="auto"/>
              </w:rPr>
            </w:pPr>
          </w:p>
        </w:tc>
        <w:tc>
          <w:tcPr>
            <w:tcW w:w="380" w:type="dxa"/>
            <w:vAlign w:val="bottom"/>
            <w:tcBorders>
              <w:bottom w:val="single" w:sz="8" w:color="E7417A"/>
            </w:tcBorders>
          </w:tcPr>
          <w:p>
            <w:pPr>
              <w:jc w:val="center"/>
              <w:ind w:left="1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7417A"/>
            </w:tcBorders>
          </w:tcPr>
          <w:p>
            <w:pPr>
              <w:spacing w:after="0"/>
              <w:rPr>
                <w:sz w:val="24"/>
                <w:szCs w:val="24"/>
                <w:color w:val="auto"/>
              </w:rPr>
            </w:pPr>
          </w:p>
        </w:tc>
        <w:tc>
          <w:tcPr>
            <w:tcW w:w="620" w:type="dxa"/>
            <w:vAlign w:val="bottom"/>
            <w:tcBorders>
              <w:bottom w:val="single" w:sz="8" w:color="E7417A"/>
            </w:tcBorders>
          </w:tcPr>
          <w:p>
            <w:pPr>
              <w:spacing w:after="0"/>
              <w:rPr>
                <w:sz w:val="24"/>
                <w:szCs w:val="24"/>
                <w:color w:val="auto"/>
              </w:rPr>
            </w:pPr>
          </w:p>
        </w:tc>
        <w:tc>
          <w:tcPr>
            <w:tcW w:w="2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7417A"/>
            </w:tcBorders>
          </w:tcPr>
          <w:p>
            <w:pPr>
              <w:jc w:val="right"/>
              <w:ind w:right="4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417A"/>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Arial" w:cs="Arial" w:eastAsia="Arial" w:hAnsi="Arial"/>
                <w:sz w:val="16"/>
                <w:szCs w:val="16"/>
                <w:color w:val="auto"/>
              </w:rPr>
              <w:t>​Beatriz V. Infante</w:t>
            </w:r>
          </w:p>
        </w:tc>
        <w:tc>
          <w:tcPr>
            <w:tcW w:w="24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6"/>
                <w:szCs w:val="16"/>
                <w:color w:val="auto"/>
              </w:rPr>
              <w:t>​</w:t>
            </w: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jc w:val="right"/>
              <w:ind w:right="201"/>
              <w:spacing w:after="0"/>
              <w:rPr>
                <w:sz w:val="20"/>
                <w:szCs w:val="20"/>
                <w:color w:val="auto"/>
              </w:rPr>
            </w:pPr>
            <w:r>
              <w:rPr>
                <w:rFonts w:ascii="Arial" w:cs="Arial" w:eastAsia="Arial" w:hAnsi="Arial"/>
                <w:sz w:val="16"/>
                <w:szCs w:val="16"/>
                <w:color w:val="auto"/>
              </w:rPr>
              <w:t> </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center"/>
              <w:ind w:left="141"/>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4"/>
                <w:szCs w:val="24"/>
                <w:color w:val="auto"/>
              </w:rPr>
            </w:pPr>
          </w:p>
        </w:tc>
        <w:tc>
          <w:tcPr>
            <w:tcW w:w="200" w:type="dxa"/>
            <w:vAlign w:val="bottom"/>
          </w:tcPr>
          <w:p>
            <w:pPr>
              <w:jc w:val="center"/>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4"/>
                <w:szCs w:val="24"/>
                <w:color w:val="auto"/>
              </w:rPr>
            </w:pP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40" w:type="dxa"/>
            <w:vAlign w:val="bottom"/>
            <w:tcBorders>
              <w:bottom w:val="single" w:sz="8" w:color="E7417A"/>
            </w:tcBorders>
          </w:tcPr>
          <w:p>
            <w:pPr>
              <w:spacing w:after="0"/>
              <w:rPr>
                <w:sz w:val="2"/>
                <w:szCs w:val="2"/>
                <w:color w:val="auto"/>
              </w:rPr>
            </w:pPr>
          </w:p>
        </w:tc>
        <w:tc>
          <w:tcPr>
            <w:tcW w:w="1800" w:type="dxa"/>
            <w:vAlign w:val="bottom"/>
            <w:tcBorders>
              <w:bottom w:val="single" w:sz="8" w:color="E7417A"/>
            </w:tcBorders>
            <w:gridSpan w:val="3"/>
          </w:tcPr>
          <w:p>
            <w:pPr>
              <w:spacing w:after="0"/>
              <w:rPr>
                <w:sz w:val="2"/>
                <w:szCs w:val="2"/>
                <w:color w:val="auto"/>
              </w:rPr>
            </w:pPr>
          </w:p>
        </w:tc>
        <w:tc>
          <w:tcPr>
            <w:tcW w:w="240" w:type="dxa"/>
            <w:vAlign w:val="bottom"/>
            <w:tcBorders>
              <w:bottom w:val="single" w:sz="8" w:color="E7417A"/>
            </w:tcBorders>
          </w:tcPr>
          <w:p>
            <w:pPr>
              <w:spacing w:after="0"/>
              <w:rPr>
                <w:sz w:val="2"/>
                <w:szCs w:val="2"/>
                <w:color w:val="auto"/>
              </w:rPr>
            </w:pPr>
          </w:p>
        </w:tc>
        <w:tc>
          <w:tcPr>
            <w:tcW w:w="300" w:type="dxa"/>
            <w:vAlign w:val="bottom"/>
            <w:tcBorders>
              <w:bottom w:val="single" w:sz="8" w:color="E7417A"/>
            </w:tcBorders>
          </w:tcPr>
          <w:p>
            <w:pPr>
              <w:spacing w:after="0"/>
              <w:rPr>
                <w:sz w:val="2"/>
                <w:szCs w:val="2"/>
                <w:color w:val="auto"/>
              </w:rPr>
            </w:pPr>
          </w:p>
        </w:tc>
        <w:tc>
          <w:tcPr>
            <w:tcW w:w="480" w:type="dxa"/>
            <w:vAlign w:val="bottom"/>
            <w:tcBorders>
              <w:bottom w:val="single" w:sz="8" w:color="E7417A"/>
            </w:tcBorders>
          </w:tcPr>
          <w:p>
            <w:pPr>
              <w:spacing w:after="0"/>
              <w:rPr>
                <w:sz w:val="2"/>
                <w:szCs w:val="2"/>
                <w:color w:val="auto"/>
              </w:rPr>
            </w:pPr>
          </w:p>
        </w:tc>
        <w:tc>
          <w:tcPr>
            <w:tcW w:w="600" w:type="dxa"/>
            <w:vAlign w:val="bottom"/>
            <w:tcBorders>
              <w:bottom w:val="single" w:sz="8" w:color="E7417A"/>
            </w:tcBorders>
          </w:tcPr>
          <w:p>
            <w:pPr>
              <w:spacing w:after="0"/>
              <w:rPr>
                <w:sz w:val="2"/>
                <w:szCs w:val="2"/>
                <w:color w:val="auto"/>
              </w:rPr>
            </w:pPr>
          </w:p>
        </w:tc>
        <w:tc>
          <w:tcPr>
            <w:tcW w:w="140" w:type="dxa"/>
            <w:vAlign w:val="bottom"/>
            <w:tcBorders>
              <w:bottom w:val="single" w:sz="8" w:color="E7417A"/>
            </w:tcBorders>
          </w:tcPr>
          <w:p>
            <w:pPr>
              <w:spacing w:after="0"/>
              <w:rPr>
                <w:sz w:val="2"/>
                <w:szCs w:val="2"/>
                <w:color w:val="auto"/>
              </w:rPr>
            </w:pPr>
          </w:p>
        </w:tc>
        <w:tc>
          <w:tcPr>
            <w:tcW w:w="100" w:type="dxa"/>
            <w:vAlign w:val="bottom"/>
            <w:tcBorders>
              <w:bottom w:val="single" w:sz="8" w:color="E7417A"/>
            </w:tcBorders>
          </w:tcPr>
          <w:p>
            <w:pPr>
              <w:spacing w:after="0"/>
              <w:rPr>
                <w:sz w:val="2"/>
                <w:szCs w:val="2"/>
                <w:color w:val="auto"/>
              </w:rPr>
            </w:pPr>
          </w:p>
        </w:tc>
        <w:tc>
          <w:tcPr>
            <w:tcW w:w="540" w:type="dxa"/>
            <w:vAlign w:val="bottom"/>
            <w:tcBorders>
              <w:bottom w:val="single" w:sz="8" w:color="E7417A"/>
            </w:tcBorders>
          </w:tcPr>
          <w:p>
            <w:pPr>
              <w:spacing w:after="0"/>
              <w:rPr>
                <w:sz w:val="2"/>
                <w:szCs w:val="2"/>
                <w:color w:val="auto"/>
              </w:rPr>
            </w:pPr>
          </w:p>
        </w:tc>
        <w:tc>
          <w:tcPr>
            <w:tcW w:w="180" w:type="dxa"/>
            <w:vAlign w:val="bottom"/>
            <w:tcBorders>
              <w:bottom w:val="single" w:sz="8" w:color="E7417A"/>
            </w:tcBorders>
          </w:tcPr>
          <w:p>
            <w:pPr>
              <w:spacing w:after="0"/>
              <w:rPr>
                <w:sz w:val="2"/>
                <w:szCs w:val="2"/>
                <w:color w:val="auto"/>
              </w:rPr>
            </w:pPr>
          </w:p>
        </w:tc>
        <w:tc>
          <w:tcPr>
            <w:tcW w:w="160" w:type="dxa"/>
            <w:vAlign w:val="bottom"/>
            <w:tcBorders>
              <w:bottom w:val="single" w:sz="8" w:color="E7417A"/>
            </w:tcBorders>
          </w:tcPr>
          <w:p>
            <w:pPr>
              <w:spacing w:after="0"/>
              <w:rPr>
                <w:sz w:val="2"/>
                <w:szCs w:val="2"/>
                <w:color w:val="auto"/>
              </w:rPr>
            </w:pPr>
          </w:p>
        </w:tc>
        <w:tc>
          <w:tcPr>
            <w:tcW w:w="360" w:type="dxa"/>
            <w:vAlign w:val="bottom"/>
            <w:tcBorders>
              <w:bottom w:val="single" w:sz="8" w:color="E7417A"/>
            </w:tcBorders>
          </w:tcPr>
          <w:p>
            <w:pPr>
              <w:spacing w:after="0"/>
              <w:rPr>
                <w:sz w:val="2"/>
                <w:szCs w:val="2"/>
                <w:color w:val="auto"/>
              </w:rPr>
            </w:pPr>
          </w:p>
        </w:tc>
        <w:tc>
          <w:tcPr>
            <w:tcW w:w="360" w:type="dxa"/>
            <w:vAlign w:val="bottom"/>
            <w:tcBorders>
              <w:bottom w:val="single" w:sz="8" w:color="E7417A"/>
            </w:tcBorders>
          </w:tcPr>
          <w:p>
            <w:pPr>
              <w:spacing w:after="0"/>
              <w:rPr>
                <w:sz w:val="2"/>
                <w:szCs w:val="2"/>
                <w:color w:val="auto"/>
              </w:rPr>
            </w:pPr>
          </w:p>
        </w:tc>
        <w:tc>
          <w:tcPr>
            <w:tcW w:w="120" w:type="dxa"/>
            <w:vAlign w:val="bottom"/>
            <w:tcBorders>
              <w:bottom w:val="single" w:sz="8" w:color="E7417A"/>
            </w:tcBorders>
          </w:tcPr>
          <w:p>
            <w:pPr>
              <w:spacing w:after="0"/>
              <w:rPr>
                <w:sz w:val="2"/>
                <w:szCs w:val="2"/>
                <w:color w:val="auto"/>
              </w:rPr>
            </w:pPr>
          </w:p>
        </w:tc>
        <w:tc>
          <w:tcPr>
            <w:tcW w:w="380" w:type="dxa"/>
            <w:vAlign w:val="bottom"/>
            <w:tcBorders>
              <w:bottom w:val="single" w:sz="8" w:color="E7417A"/>
            </w:tcBorders>
          </w:tcPr>
          <w:p>
            <w:pPr>
              <w:spacing w:after="0"/>
              <w:rPr>
                <w:sz w:val="2"/>
                <w:szCs w:val="2"/>
                <w:color w:val="auto"/>
              </w:rPr>
            </w:pPr>
          </w:p>
        </w:tc>
        <w:tc>
          <w:tcPr>
            <w:tcW w:w="260" w:type="dxa"/>
            <w:vAlign w:val="bottom"/>
            <w:tcBorders>
              <w:bottom w:val="single" w:sz="8" w:color="E7417A"/>
            </w:tcBorders>
          </w:tcPr>
          <w:p>
            <w:pPr>
              <w:spacing w:after="0"/>
              <w:rPr>
                <w:sz w:val="2"/>
                <w:szCs w:val="2"/>
                <w:color w:val="auto"/>
              </w:rPr>
            </w:pPr>
          </w:p>
        </w:tc>
        <w:tc>
          <w:tcPr>
            <w:tcW w:w="640" w:type="dxa"/>
            <w:vAlign w:val="bottom"/>
            <w:tcBorders>
              <w:bottom w:val="single" w:sz="8" w:color="E7417A"/>
            </w:tcBorders>
          </w:tcPr>
          <w:p>
            <w:pPr>
              <w:spacing w:after="0"/>
              <w:rPr>
                <w:sz w:val="2"/>
                <w:szCs w:val="2"/>
                <w:color w:val="auto"/>
              </w:rPr>
            </w:pPr>
          </w:p>
        </w:tc>
        <w:tc>
          <w:tcPr>
            <w:tcW w:w="620" w:type="dxa"/>
            <w:vAlign w:val="bottom"/>
            <w:tcBorders>
              <w:bottom w:val="single" w:sz="8" w:color="E7417A"/>
            </w:tcBorders>
          </w:tcPr>
          <w:p>
            <w:pPr>
              <w:spacing w:after="0"/>
              <w:rPr>
                <w:sz w:val="2"/>
                <w:szCs w:val="2"/>
                <w:color w:val="auto"/>
              </w:rPr>
            </w:pPr>
          </w:p>
        </w:tc>
        <w:tc>
          <w:tcPr>
            <w:tcW w:w="200" w:type="dxa"/>
            <w:vAlign w:val="bottom"/>
            <w:tcBorders>
              <w:bottom w:val="single" w:sz="8" w:color="E7417A"/>
            </w:tcBorders>
          </w:tcPr>
          <w:p>
            <w:pPr>
              <w:spacing w:after="0"/>
              <w:rPr>
                <w:sz w:val="2"/>
                <w:szCs w:val="2"/>
                <w:color w:val="auto"/>
              </w:rPr>
            </w:pPr>
          </w:p>
        </w:tc>
        <w:tc>
          <w:tcPr>
            <w:tcW w:w="160" w:type="dxa"/>
            <w:vAlign w:val="bottom"/>
            <w:tcBorders>
              <w:bottom w:val="single" w:sz="8" w:color="E7417A"/>
            </w:tcBorders>
          </w:tcPr>
          <w:p>
            <w:pPr>
              <w:spacing w:after="0"/>
              <w:rPr>
                <w:sz w:val="2"/>
                <w:szCs w:val="2"/>
                <w:color w:val="auto"/>
              </w:rPr>
            </w:pPr>
          </w:p>
        </w:tc>
        <w:tc>
          <w:tcPr>
            <w:tcW w:w="1080" w:type="dxa"/>
            <w:vAlign w:val="bottom"/>
            <w:tcBorders>
              <w:bottom w:val="single" w:sz="8" w:color="E7417A"/>
            </w:tcBorders>
          </w:tcPr>
          <w:p>
            <w:pPr>
              <w:spacing w:after="0"/>
              <w:rPr>
                <w:sz w:val="2"/>
                <w:szCs w:val="2"/>
                <w:color w:val="auto"/>
              </w:rPr>
            </w:pPr>
          </w:p>
        </w:tc>
        <w:tc>
          <w:tcPr>
            <w:tcW w:w="100" w:type="dxa"/>
            <w:vAlign w:val="bottom"/>
            <w:tcBorders>
              <w:bottom w:val="single" w:sz="8" w:color="E7417A"/>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4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Arial" w:cs="Arial" w:eastAsia="Arial" w:hAnsi="Arial"/>
                <w:sz w:val="16"/>
                <w:szCs w:val="16"/>
                <w:color w:val="auto"/>
              </w:rPr>
              <w:t>​Bruce W. McClelland</w:t>
            </w:r>
          </w:p>
        </w:tc>
        <w:tc>
          <w:tcPr>
            <w:tcW w:w="24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6"/>
                <w:szCs w:val="16"/>
                <w:color w:val="auto"/>
              </w:rPr>
              <w:t>​</w:t>
            </w: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600" w:type="dxa"/>
            <w:vAlign w:val="bottom"/>
          </w:tcPr>
          <w:p>
            <w:pPr>
              <w:ind w:left="10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3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380" w:type="dxa"/>
            <w:vAlign w:val="bottom"/>
          </w:tcPr>
          <w:p>
            <w:pPr>
              <w:jc w:val="center"/>
              <w:ind w:left="141"/>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4"/>
                <w:szCs w:val="24"/>
                <w:color w:val="auto"/>
              </w:rPr>
            </w:pPr>
          </w:p>
        </w:tc>
        <w:tc>
          <w:tcPr>
            <w:tcW w:w="200" w:type="dxa"/>
            <w:vAlign w:val="bottom"/>
          </w:tcPr>
          <w:p>
            <w:pPr>
              <w:jc w:val="center"/>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6"/>
        </w:trPr>
        <w:tc>
          <w:tcPr>
            <w:tcW w:w="40" w:type="dxa"/>
            <w:vAlign w:val="bottom"/>
            <w:tcBorders>
              <w:bottom w:val="single" w:sz="8" w:color="E7417A"/>
            </w:tcBorders>
          </w:tcPr>
          <w:p>
            <w:pPr>
              <w:spacing w:after="0"/>
              <w:rPr>
                <w:sz w:val="8"/>
                <w:szCs w:val="8"/>
                <w:color w:val="auto"/>
              </w:rPr>
            </w:pPr>
          </w:p>
        </w:tc>
        <w:tc>
          <w:tcPr>
            <w:tcW w:w="1240" w:type="dxa"/>
            <w:vAlign w:val="bottom"/>
            <w:tcBorders>
              <w:bottom w:val="single" w:sz="8" w:color="E7417A"/>
            </w:tcBorders>
            <w:gridSpan w:val="2"/>
          </w:tcPr>
          <w:p>
            <w:pPr>
              <w:spacing w:after="0"/>
              <w:rPr>
                <w:sz w:val="8"/>
                <w:szCs w:val="8"/>
                <w:color w:val="auto"/>
              </w:rPr>
            </w:pPr>
          </w:p>
        </w:tc>
        <w:tc>
          <w:tcPr>
            <w:tcW w:w="560" w:type="dxa"/>
            <w:vAlign w:val="bottom"/>
            <w:tcBorders>
              <w:bottom w:val="single" w:sz="8" w:color="E7417A"/>
            </w:tcBorders>
          </w:tcPr>
          <w:p>
            <w:pPr>
              <w:spacing w:after="0"/>
              <w:rPr>
                <w:sz w:val="8"/>
                <w:szCs w:val="8"/>
                <w:color w:val="auto"/>
              </w:rPr>
            </w:pPr>
          </w:p>
        </w:tc>
        <w:tc>
          <w:tcPr>
            <w:tcW w:w="240" w:type="dxa"/>
            <w:vAlign w:val="bottom"/>
            <w:tcBorders>
              <w:bottom w:val="single" w:sz="8" w:color="E7417A"/>
            </w:tcBorders>
          </w:tcPr>
          <w:p>
            <w:pPr>
              <w:spacing w:after="0"/>
              <w:rPr>
                <w:sz w:val="8"/>
                <w:szCs w:val="8"/>
                <w:color w:val="auto"/>
              </w:rPr>
            </w:pPr>
          </w:p>
        </w:tc>
        <w:tc>
          <w:tcPr>
            <w:tcW w:w="300" w:type="dxa"/>
            <w:vAlign w:val="bottom"/>
            <w:tcBorders>
              <w:bottom w:val="single" w:sz="8" w:color="E7417A"/>
            </w:tcBorders>
          </w:tcPr>
          <w:p>
            <w:pPr>
              <w:spacing w:after="0"/>
              <w:rPr>
                <w:sz w:val="8"/>
                <w:szCs w:val="8"/>
                <w:color w:val="auto"/>
              </w:rPr>
            </w:pPr>
          </w:p>
        </w:tc>
        <w:tc>
          <w:tcPr>
            <w:tcW w:w="480" w:type="dxa"/>
            <w:vAlign w:val="bottom"/>
            <w:tcBorders>
              <w:bottom w:val="single" w:sz="8" w:color="E7417A"/>
            </w:tcBorders>
          </w:tcPr>
          <w:p>
            <w:pPr>
              <w:spacing w:after="0"/>
              <w:rPr>
                <w:sz w:val="8"/>
                <w:szCs w:val="8"/>
                <w:color w:val="auto"/>
              </w:rPr>
            </w:pPr>
          </w:p>
        </w:tc>
        <w:tc>
          <w:tcPr>
            <w:tcW w:w="600" w:type="dxa"/>
            <w:vAlign w:val="bottom"/>
            <w:tcBorders>
              <w:bottom w:val="single" w:sz="8" w:color="E7417A"/>
            </w:tcBorders>
          </w:tcPr>
          <w:p>
            <w:pPr>
              <w:spacing w:after="0"/>
              <w:rPr>
                <w:sz w:val="8"/>
                <w:szCs w:val="8"/>
                <w:color w:val="auto"/>
              </w:rPr>
            </w:pPr>
          </w:p>
        </w:tc>
        <w:tc>
          <w:tcPr>
            <w:tcW w:w="140" w:type="dxa"/>
            <w:vAlign w:val="bottom"/>
            <w:tcBorders>
              <w:bottom w:val="single" w:sz="8" w:color="E7417A"/>
            </w:tcBorders>
          </w:tcPr>
          <w:p>
            <w:pPr>
              <w:spacing w:after="0"/>
              <w:rPr>
                <w:sz w:val="8"/>
                <w:szCs w:val="8"/>
                <w:color w:val="auto"/>
              </w:rPr>
            </w:pPr>
          </w:p>
        </w:tc>
        <w:tc>
          <w:tcPr>
            <w:tcW w:w="100" w:type="dxa"/>
            <w:vAlign w:val="bottom"/>
            <w:tcBorders>
              <w:bottom w:val="single" w:sz="8" w:color="E7417A"/>
            </w:tcBorders>
          </w:tcPr>
          <w:p>
            <w:pPr>
              <w:spacing w:after="0"/>
              <w:rPr>
                <w:sz w:val="8"/>
                <w:szCs w:val="8"/>
                <w:color w:val="auto"/>
              </w:rPr>
            </w:pPr>
          </w:p>
        </w:tc>
        <w:tc>
          <w:tcPr>
            <w:tcW w:w="540" w:type="dxa"/>
            <w:vAlign w:val="bottom"/>
            <w:tcBorders>
              <w:bottom w:val="single" w:sz="8" w:color="E7417A"/>
            </w:tcBorders>
          </w:tcPr>
          <w:p>
            <w:pPr>
              <w:spacing w:after="0"/>
              <w:rPr>
                <w:sz w:val="8"/>
                <w:szCs w:val="8"/>
                <w:color w:val="auto"/>
              </w:rPr>
            </w:pPr>
          </w:p>
        </w:tc>
        <w:tc>
          <w:tcPr>
            <w:tcW w:w="180" w:type="dxa"/>
            <w:vAlign w:val="bottom"/>
            <w:tcBorders>
              <w:bottom w:val="single" w:sz="8" w:color="E7417A"/>
            </w:tcBorders>
          </w:tcPr>
          <w:p>
            <w:pPr>
              <w:spacing w:after="0"/>
              <w:rPr>
                <w:sz w:val="8"/>
                <w:szCs w:val="8"/>
                <w:color w:val="auto"/>
              </w:rPr>
            </w:pPr>
          </w:p>
        </w:tc>
        <w:tc>
          <w:tcPr>
            <w:tcW w:w="160" w:type="dxa"/>
            <w:vAlign w:val="bottom"/>
            <w:tcBorders>
              <w:bottom w:val="single" w:sz="8" w:color="E7417A"/>
            </w:tcBorders>
          </w:tcPr>
          <w:p>
            <w:pPr>
              <w:spacing w:after="0"/>
              <w:rPr>
                <w:sz w:val="8"/>
                <w:szCs w:val="8"/>
                <w:color w:val="auto"/>
              </w:rPr>
            </w:pPr>
          </w:p>
        </w:tc>
        <w:tc>
          <w:tcPr>
            <w:tcW w:w="360" w:type="dxa"/>
            <w:vAlign w:val="bottom"/>
            <w:tcBorders>
              <w:bottom w:val="single" w:sz="8" w:color="E7417A"/>
            </w:tcBorders>
          </w:tcPr>
          <w:p>
            <w:pPr>
              <w:spacing w:after="0"/>
              <w:rPr>
                <w:sz w:val="8"/>
                <w:szCs w:val="8"/>
                <w:color w:val="auto"/>
              </w:rPr>
            </w:pPr>
          </w:p>
        </w:tc>
        <w:tc>
          <w:tcPr>
            <w:tcW w:w="360" w:type="dxa"/>
            <w:vAlign w:val="bottom"/>
            <w:tcBorders>
              <w:bottom w:val="single" w:sz="8" w:color="E7417A"/>
            </w:tcBorders>
          </w:tcPr>
          <w:p>
            <w:pPr>
              <w:spacing w:after="0"/>
              <w:rPr>
                <w:sz w:val="8"/>
                <w:szCs w:val="8"/>
                <w:color w:val="auto"/>
              </w:rPr>
            </w:pPr>
          </w:p>
        </w:tc>
        <w:tc>
          <w:tcPr>
            <w:tcW w:w="120" w:type="dxa"/>
            <w:vAlign w:val="bottom"/>
            <w:tcBorders>
              <w:bottom w:val="single" w:sz="8" w:color="E7417A"/>
            </w:tcBorders>
          </w:tcPr>
          <w:p>
            <w:pPr>
              <w:spacing w:after="0"/>
              <w:rPr>
                <w:sz w:val="8"/>
                <w:szCs w:val="8"/>
                <w:color w:val="auto"/>
              </w:rPr>
            </w:pPr>
          </w:p>
        </w:tc>
        <w:tc>
          <w:tcPr>
            <w:tcW w:w="380" w:type="dxa"/>
            <w:vAlign w:val="bottom"/>
            <w:tcBorders>
              <w:bottom w:val="single" w:sz="8" w:color="E7417A"/>
            </w:tcBorders>
          </w:tcPr>
          <w:p>
            <w:pPr>
              <w:spacing w:after="0"/>
              <w:rPr>
                <w:sz w:val="8"/>
                <w:szCs w:val="8"/>
                <w:color w:val="auto"/>
              </w:rPr>
            </w:pPr>
          </w:p>
        </w:tc>
        <w:tc>
          <w:tcPr>
            <w:tcW w:w="260" w:type="dxa"/>
            <w:vAlign w:val="bottom"/>
            <w:tcBorders>
              <w:bottom w:val="single" w:sz="8" w:color="E7417A"/>
            </w:tcBorders>
          </w:tcPr>
          <w:p>
            <w:pPr>
              <w:spacing w:after="0"/>
              <w:rPr>
                <w:sz w:val="8"/>
                <w:szCs w:val="8"/>
                <w:color w:val="auto"/>
              </w:rPr>
            </w:pPr>
          </w:p>
        </w:tc>
        <w:tc>
          <w:tcPr>
            <w:tcW w:w="640" w:type="dxa"/>
            <w:vAlign w:val="bottom"/>
            <w:tcBorders>
              <w:bottom w:val="single" w:sz="8" w:color="E7417A"/>
            </w:tcBorders>
          </w:tcPr>
          <w:p>
            <w:pPr>
              <w:spacing w:after="0"/>
              <w:rPr>
                <w:sz w:val="8"/>
                <w:szCs w:val="8"/>
                <w:color w:val="auto"/>
              </w:rPr>
            </w:pPr>
          </w:p>
        </w:tc>
        <w:tc>
          <w:tcPr>
            <w:tcW w:w="620" w:type="dxa"/>
            <w:vAlign w:val="bottom"/>
            <w:tcBorders>
              <w:bottom w:val="single" w:sz="8" w:color="E7417A"/>
            </w:tcBorders>
          </w:tcPr>
          <w:p>
            <w:pPr>
              <w:spacing w:after="0"/>
              <w:rPr>
                <w:sz w:val="8"/>
                <w:szCs w:val="8"/>
                <w:color w:val="auto"/>
              </w:rPr>
            </w:pPr>
          </w:p>
        </w:tc>
        <w:tc>
          <w:tcPr>
            <w:tcW w:w="200" w:type="dxa"/>
            <w:vAlign w:val="bottom"/>
            <w:tcBorders>
              <w:bottom w:val="single" w:sz="8" w:color="E7417A"/>
            </w:tcBorders>
          </w:tcPr>
          <w:p>
            <w:pPr>
              <w:spacing w:after="0"/>
              <w:rPr>
                <w:sz w:val="8"/>
                <w:szCs w:val="8"/>
                <w:color w:val="auto"/>
              </w:rPr>
            </w:pPr>
          </w:p>
        </w:tc>
        <w:tc>
          <w:tcPr>
            <w:tcW w:w="160" w:type="dxa"/>
            <w:vAlign w:val="bottom"/>
            <w:tcBorders>
              <w:bottom w:val="single" w:sz="8" w:color="E7417A"/>
            </w:tcBorders>
          </w:tcPr>
          <w:p>
            <w:pPr>
              <w:spacing w:after="0"/>
              <w:rPr>
                <w:sz w:val="8"/>
                <w:szCs w:val="8"/>
                <w:color w:val="auto"/>
              </w:rPr>
            </w:pPr>
          </w:p>
        </w:tc>
        <w:tc>
          <w:tcPr>
            <w:tcW w:w="1080" w:type="dxa"/>
            <w:vAlign w:val="bottom"/>
            <w:tcBorders>
              <w:bottom w:val="single" w:sz="8" w:color="E7417A"/>
            </w:tcBorders>
          </w:tcPr>
          <w:p>
            <w:pPr>
              <w:spacing w:after="0"/>
              <w:rPr>
                <w:sz w:val="8"/>
                <w:szCs w:val="8"/>
                <w:color w:val="auto"/>
              </w:rPr>
            </w:pPr>
          </w:p>
        </w:tc>
        <w:tc>
          <w:tcPr>
            <w:tcW w:w="100" w:type="dxa"/>
            <w:vAlign w:val="bottom"/>
            <w:tcBorders>
              <w:bottom w:val="single" w:sz="8" w:color="E7417A"/>
            </w:tcBorders>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6"/>
                <w:szCs w:val="16"/>
                <w:color w:val="auto"/>
              </w:rPr>
              <w:t>​Scott Mair</w:t>
            </w: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ind w:left="200"/>
              <w:spacing w:after="0"/>
              <w:rPr>
                <w:sz w:val="20"/>
                <w:szCs w:val="20"/>
                <w:color w:val="auto"/>
              </w:rPr>
            </w:pPr>
            <w:r>
              <w:rPr>
                <w:rFonts w:ascii="Arial" w:cs="Arial" w:eastAsia="Arial" w:hAnsi="Arial"/>
                <w:sz w:val="16"/>
                <w:szCs w:val="16"/>
                <w:color w:val="auto"/>
              </w:rPr>
              <w:t>​</w:t>
            </w: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3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380" w:type="dxa"/>
            <w:vAlign w:val="bottom"/>
          </w:tcPr>
          <w:p>
            <w:pPr>
              <w:jc w:val="center"/>
              <w:ind w:left="141"/>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3"/>
                <w:szCs w:val="23"/>
                <w:color w:val="auto"/>
              </w:rPr>
            </w:pPr>
          </w:p>
        </w:tc>
        <w:tc>
          <w:tcPr>
            <w:tcW w:w="200" w:type="dxa"/>
            <w:vAlign w:val="bottom"/>
          </w:tcPr>
          <w:p>
            <w:pPr>
              <w:jc w:val="center"/>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3"/>
                <w:szCs w:val="23"/>
                <w:color w:val="auto"/>
              </w:rPr>
            </w:pP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3"/>
        </w:trPr>
        <w:tc>
          <w:tcPr>
            <w:tcW w:w="40" w:type="dxa"/>
            <w:vAlign w:val="bottom"/>
            <w:tcBorders>
              <w:bottom w:val="single" w:sz="8" w:color="E7417A"/>
            </w:tcBorders>
          </w:tcPr>
          <w:p>
            <w:pPr>
              <w:spacing w:after="0"/>
              <w:rPr>
                <w:sz w:val="7"/>
                <w:szCs w:val="7"/>
                <w:color w:val="auto"/>
              </w:rPr>
            </w:pPr>
          </w:p>
        </w:tc>
        <w:tc>
          <w:tcPr>
            <w:tcW w:w="1240" w:type="dxa"/>
            <w:vAlign w:val="bottom"/>
            <w:tcBorders>
              <w:bottom w:val="single" w:sz="8" w:color="E7417A"/>
            </w:tcBorders>
            <w:gridSpan w:val="2"/>
          </w:tcPr>
          <w:p>
            <w:pPr>
              <w:spacing w:after="0"/>
              <w:rPr>
                <w:sz w:val="7"/>
                <w:szCs w:val="7"/>
                <w:color w:val="auto"/>
              </w:rPr>
            </w:pPr>
          </w:p>
        </w:tc>
        <w:tc>
          <w:tcPr>
            <w:tcW w:w="560" w:type="dxa"/>
            <w:vAlign w:val="bottom"/>
            <w:tcBorders>
              <w:bottom w:val="single" w:sz="8" w:color="E7417A"/>
            </w:tcBorders>
          </w:tcPr>
          <w:p>
            <w:pPr>
              <w:spacing w:after="0"/>
              <w:rPr>
                <w:sz w:val="7"/>
                <w:szCs w:val="7"/>
                <w:color w:val="auto"/>
              </w:rPr>
            </w:pPr>
          </w:p>
        </w:tc>
        <w:tc>
          <w:tcPr>
            <w:tcW w:w="240" w:type="dxa"/>
            <w:vAlign w:val="bottom"/>
            <w:tcBorders>
              <w:bottom w:val="single" w:sz="8" w:color="E7417A"/>
            </w:tcBorders>
          </w:tcPr>
          <w:p>
            <w:pPr>
              <w:spacing w:after="0"/>
              <w:rPr>
                <w:sz w:val="7"/>
                <w:szCs w:val="7"/>
                <w:color w:val="auto"/>
              </w:rPr>
            </w:pPr>
          </w:p>
        </w:tc>
        <w:tc>
          <w:tcPr>
            <w:tcW w:w="300" w:type="dxa"/>
            <w:vAlign w:val="bottom"/>
            <w:tcBorders>
              <w:bottom w:val="single" w:sz="8" w:color="E7417A"/>
            </w:tcBorders>
          </w:tcPr>
          <w:p>
            <w:pPr>
              <w:spacing w:after="0"/>
              <w:rPr>
                <w:sz w:val="7"/>
                <w:szCs w:val="7"/>
                <w:color w:val="auto"/>
              </w:rPr>
            </w:pPr>
          </w:p>
        </w:tc>
        <w:tc>
          <w:tcPr>
            <w:tcW w:w="480" w:type="dxa"/>
            <w:vAlign w:val="bottom"/>
            <w:tcBorders>
              <w:bottom w:val="single" w:sz="8" w:color="E7417A"/>
            </w:tcBorders>
          </w:tcPr>
          <w:p>
            <w:pPr>
              <w:spacing w:after="0"/>
              <w:rPr>
                <w:sz w:val="7"/>
                <w:szCs w:val="7"/>
                <w:color w:val="auto"/>
              </w:rPr>
            </w:pPr>
          </w:p>
        </w:tc>
        <w:tc>
          <w:tcPr>
            <w:tcW w:w="600" w:type="dxa"/>
            <w:vAlign w:val="bottom"/>
            <w:tcBorders>
              <w:bottom w:val="single" w:sz="8" w:color="E7417A"/>
            </w:tcBorders>
          </w:tcPr>
          <w:p>
            <w:pPr>
              <w:spacing w:after="0"/>
              <w:rPr>
                <w:sz w:val="7"/>
                <w:szCs w:val="7"/>
                <w:color w:val="auto"/>
              </w:rPr>
            </w:pPr>
          </w:p>
        </w:tc>
        <w:tc>
          <w:tcPr>
            <w:tcW w:w="140" w:type="dxa"/>
            <w:vAlign w:val="bottom"/>
            <w:tcBorders>
              <w:bottom w:val="single" w:sz="8" w:color="E7417A"/>
            </w:tcBorders>
          </w:tcPr>
          <w:p>
            <w:pPr>
              <w:spacing w:after="0"/>
              <w:rPr>
                <w:sz w:val="7"/>
                <w:szCs w:val="7"/>
                <w:color w:val="auto"/>
              </w:rPr>
            </w:pPr>
          </w:p>
        </w:tc>
        <w:tc>
          <w:tcPr>
            <w:tcW w:w="100" w:type="dxa"/>
            <w:vAlign w:val="bottom"/>
            <w:tcBorders>
              <w:bottom w:val="single" w:sz="8" w:color="E7417A"/>
            </w:tcBorders>
          </w:tcPr>
          <w:p>
            <w:pPr>
              <w:spacing w:after="0"/>
              <w:rPr>
                <w:sz w:val="7"/>
                <w:szCs w:val="7"/>
                <w:color w:val="auto"/>
              </w:rPr>
            </w:pPr>
          </w:p>
        </w:tc>
        <w:tc>
          <w:tcPr>
            <w:tcW w:w="540" w:type="dxa"/>
            <w:vAlign w:val="bottom"/>
            <w:tcBorders>
              <w:bottom w:val="single" w:sz="8" w:color="E7417A"/>
            </w:tcBorders>
          </w:tcPr>
          <w:p>
            <w:pPr>
              <w:spacing w:after="0"/>
              <w:rPr>
                <w:sz w:val="7"/>
                <w:szCs w:val="7"/>
                <w:color w:val="auto"/>
              </w:rPr>
            </w:pPr>
          </w:p>
        </w:tc>
        <w:tc>
          <w:tcPr>
            <w:tcW w:w="180" w:type="dxa"/>
            <w:vAlign w:val="bottom"/>
            <w:tcBorders>
              <w:bottom w:val="single" w:sz="8" w:color="E7417A"/>
            </w:tcBorders>
          </w:tcPr>
          <w:p>
            <w:pPr>
              <w:spacing w:after="0"/>
              <w:rPr>
                <w:sz w:val="7"/>
                <w:szCs w:val="7"/>
                <w:color w:val="auto"/>
              </w:rPr>
            </w:pPr>
          </w:p>
        </w:tc>
        <w:tc>
          <w:tcPr>
            <w:tcW w:w="160" w:type="dxa"/>
            <w:vAlign w:val="bottom"/>
            <w:tcBorders>
              <w:bottom w:val="single" w:sz="8" w:color="E7417A"/>
            </w:tcBorders>
          </w:tcPr>
          <w:p>
            <w:pPr>
              <w:spacing w:after="0"/>
              <w:rPr>
                <w:sz w:val="7"/>
                <w:szCs w:val="7"/>
                <w:color w:val="auto"/>
              </w:rPr>
            </w:pPr>
          </w:p>
        </w:tc>
        <w:tc>
          <w:tcPr>
            <w:tcW w:w="360" w:type="dxa"/>
            <w:vAlign w:val="bottom"/>
            <w:tcBorders>
              <w:bottom w:val="single" w:sz="8" w:color="E7417A"/>
            </w:tcBorders>
          </w:tcPr>
          <w:p>
            <w:pPr>
              <w:spacing w:after="0"/>
              <w:rPr>
                <w:sz w:val="7"/>
                <w:szCs w:val="7"/>
                <w:color w:val="auto"/>
              </w:rPr>
            </w:pPr>
          </w:p>
        </w:tc>
        <w:tc>
          <w:tcPr>
            <w:tcW w:w="360" w:type="dxa"/>
            <w:vAlign w:val="bottom"/>
            <w:tcBorders>
              <w:bottom w:val="single" w:sz="8" w:color="E7417A"/>
            </w:tcBorders>
          </w:tcPr>
          <w:p>
            <w:pPr>
              <w:spacing w:after="0"/>
              <w:rPr>
                <w:sz w:val="7"/>
                <w:szCs w:val="7"/>
                <w:color w:val="auto"/>
              </w:rPr>
            </w:pPr>
          </w:p>
        </w:tc>
        <w:tc>
          <w:tcPr>
            <w:tcW w:w="120" w:type="dxa"/>
            <w:vAlign w:val="bottom"/>
            <w:tcBorders>
              <w:bottom w:val="single" w:sz="8" w:color="E7417A"/>
            </w:tcBorders>
          </w:tcPr>
          <w:p>
            <w:pPr>
              <w:spacing w:after="0"/>
              <w:rPr>
                <w:sz w:val="7"/>
                <w:szCs w:val="7"/>
                <w:color w:val="auto"/>
              </w:rPr>
            </w:pPr>
          </w:p>
        </w:tc>
        <w:tc>
          <w:tcPr>
            <w:tcW w:w="380" w:type="dxa"/>
            <w:vAlign w:val="bottom"/>
            <w:tcBorders>
              <w:bottom w:val="single" w:sz="8" w:color="E7417A"/>
            </w:tcBorders>
          </w:tcPr>
          <w:p>
            <w:pPr>
              <w:spacing w:after="0"/>
              <w:rPr>
                <w:sz w:val="7"/>
                <w:szCs w:val="7"/>
                <w:color w:val="auto"/>
              </w:rPr>
            </w:pPr>
          </w:p>
        </w:tc>
        <w:tc>
          <w:tcPr>
            <w:tcW w:w="260" w:type="dxa"/>
            <w:vAlign w:val="bottom"/>
            <w:tcBorders>
              <w:bottom w:val="single" w:sz="8" w:color="E7417A"/>
            </w:tcBorders>
          </w:tcPr>
          <w:p>
            <w:pPr>
              <w:spacing w:after="0"/>
              <w:rPr>
                <w:sz w:val="7"/>
                <w:szCs w:val="7"/>
                <w:color w:val="auto"/>
              </w:rPr>
            </w:pPr>
          </w:p>
        </w:tc>
        <w:tc>
          <w:tcPr>
            <w:tcW w:w="640" w:type="dxa"/>
            <w:vAlign w:val="bottom"/>
            <w:tcBorders>
              <w:bottom w:val="single" w:sz="8" w:color="E7417A"/>
            </w:tcBorders>
          </w:tcPr>
          <w:p>
            <w:pPr>
              <w:spacing w:after="0"/>
              <w:rPr>
                <w:sz w:val="7"/>
                <w:szCs w:val="7"/>
                <w:color w:val="auto"/>
              </w:rPr>
            </w:pPr>
          </w:p>
        </w:tc>
        <w:tc>
          <w:tcPr>
            <w:tcW w:w="620" w:type="dxa"/>
            <w:vAlign w:val="bottom"/>
            <w:tcBorders>
              <w:bottom w:val="single" w:sz="8" w:color="E7417A"/>
            </w:tcBorders>
          </w:tcPr>
          <w:p>
            <w:pPr>
              <w:spacing w:after="0"/>
              <w:rPr>
                <w:sz w:val="7"/>
                <w:szCs w:val="7"/>
                <w:color w:val="auto"/>
              </w:rPr>
            </w:pPr>
          </w:p>
        </w:tc>
        <w:tc>
          <w:tcPr>
            <w:tcW w:w="200" w:type="dxa"/>
            <w:vAlign w:val="bottom"/>
            <w:tcBorders>
              <w:bottom w:val="single" w:sz="8" w:color="E7417A"/>
            </w:tcBorders>
          </w:tcPr>
          <w:p>
            <w:pPr>
              <w:spacing w:after="0"/>
              <w:rPr>
                <w:sz w:val="7"/>
                <w:szCs w:val="7"/>
                <w:color w:val="auto"/>
              </w:rPr>
            </w:pPr>
          </w:p>
        </w:tc>
        <w:tc>
          <w:tcPr>
            <w:tcW w:w="160" w:type="dxa"/>
            <w:vAlign w:val="bottom"/>
            <w:tcBorders>
              <w:bottom w:val="single" w:sz="8" w:color="E7417A"/>
            </w:tcBorders>
          </w:tcPr>
          <w:p>
            <w:pPr>
              <w:spacing w:after="0"/>
              <w:rPr>
                <w:sz w:val="7"/>
                <w:szCs w:val="7"/>
                <w:color w:val="auto"/>
              </w:rPr>
            </w:pPr>
          </w:p>
        </w:tc>
        <w:tc>
          <w:tcPr>
            <w:tcW w:w="1080" w:type="dxa"/>
            <w:vAlign w:val="bottom"/>
            <w:tcBorders>
              <w:bottom w:val="single" w:sz="8" w:color="E7417A"/>
            </w:tcBorders>
          </w:tcPr>
          <w:p>
            <w:pPr>
              <w:spacing w:after="0"/>
              <w:rPr>
                <w:sz w:val="7"/>
                <w:szCs w:val="7"/>
                <w:color w:val="auto"/>
              </w:rPr>
            </w:pPr>
          </w:p>
        </w:tc>
        <w:tc>
          <w:tcPr>
            <w:tcW w:w="100" w:type="dxa"/>
            <w:vAlign w:val="bottom"/>
            <w:tcBorders>
              <w:bottom w:val="single" w:sz="8" w:color="E7417A"/>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E7417A"/>
            </w:tcBorders>
          </w:tcPr>
          <w:p>
            <w:pPr>
              <w:spacing w:after="0"/>
              <w:rPr>
                <w:sz w:val="24"/>
                <w:szCs w:val="24"/>
                <w:color w:val="auto"/>
              </w:rPr>
            </w:pPr>
          </w:p>
        </w:tc>
        <w:tc>
          <w:tcPr>
            <w:tcW w:w="1240" w:type="dxa"/>
            <w:vAlign w:val="bottom"/>
            <w:tcBorders>
              <w:bottom w:val="single" w:sz="8" w:color="E7417A"/>
            </w:tcBorders>
            <w:gridSpan w:val="2"/>
          </w:tcPr>
          <w:p>
            <w:pPr>
              <w:spacing w:after="0" w:line="31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Shaul Shani </w:t>
            </w:r>
          </w:p>
        </w:tc>
        <w:tc>
          <w:tcPr>
            <w:tcW w:w="560" w:type="dxa"/>
            <w:vAlign w:val="bottom"/>
            <w:tcBorders>
              <w:bottom w:val="single" w:sz="8" w:color="E7417A"/>
            </w:tcBorders>
          </w:tcPr>
          <w:p>
            <w:pPr>
              <w:spacing w:after="0"/>
              <w:rPr>
                <w:sz w:val="24"/>
                <w:szCs w:val="24"/>
                <w:color w:val="auto"/>
              </w:rPr>
            </w:pPr>
          </w:p>
        </w:tc>
        <w:tc>
          <w:tcPr>
            <w:tcW w:w="240" w:type="dxa"/>
            <w:vAlign w:val="bottom"/>
            <w:tcBorders>
              <w:bottom w:val="single" w:sz="8" w:color="E7417A"/>
            </w:tcBorders>
          </w:tcPr>
          <w:p>
            <w:pPr>
              <w:spacing w:after="0"/>
              <w:rPr>
                <w:sz w:val="24"/>
                <w:szCs w:val="24"/>
                <w:color w:val="auto"/>
              </w:rPr>
            </w:pPr>
          </w:p>
        </w:tc>
        <w:tc>
          <w:tcPr>
            <w:tcW w:w="30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E7417A"/>
            </w:tcBorders>
          </w:tcPr>
          <w:p>
            <w:pPr>
              <w:jc w:val="right"/>
              <w:ind w:right="14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E7417A"/>
            </w:tcBorders>
          </w:tcPr>
          <w:p>
            <w:pPr>
              <w:spacing w:after="0"/>
              <w:rPr>
                <w:sz w:val="24"/>
                <w:szCs w:val="24"/>
                <w:color w:val="auto"/>
              </w:rPr>
            </w:pPr>
          </w:p>
        </w:tc>
        <w:tc>
          <w:tcPr>
            <w:tcW w:w="360" w:type="dxa"/>
            <w:vAlign w:val="bottom"/>
            <w:tcBorders>
              <w:bottom w:val="single" w:sz="8" w:color="E7417A"/>
            </w:tcBorders>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7417A"/>
            </w:tcBorders>
          </w:tcPr>
          <w:p>
            <w:pPr>
              <w:spacing w:after="0"/>
              <w:rPr>
                <w:sz w:val="24"/>
                <w:szCs w:val="24"/>
                <w:color w:val="auto"/>
              </w:rPr>
            </w:pPr>
          </w:p>
        </w:tc>
        <w:tc>
          <w:tcPr>
            <w:tcW w:w="380" w:type="dxa"/>
            <w:vAlign w:val="bottom"/>
            <w:tcBorders>
              <w:bottom w:val="single" w:sz="8" w:color="E7417A"/>
            </w:tcBorders>
          </w:tcPr>
          <w:p>
            <w:pPr>
              <w:jc w:val="center"/>
              <w:ind w:left="1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E7417A"/>
            </w:tcBorders>
          </w:tcPr>
          <w:p>
            <w:pPr>
              <w:spacing w:after="0"/>
              <w:rPr>
                <w:sz w:val="24"/>
                <w:szCs w:val="24"/>
                <w:color w:val="auto"/>
              </w:rPr>
            </w:pPr>
          </w:p>
        </w:tc>
        <w:tc>
          <w:tcPr>
            <w:tcW w:w="2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7417A"/>
            </w:tcBorders>
          </w:tcPr>
          <w:p>
            <w:pPr>
              <w:jc w:val="right"/>
              <w:ind w:right="4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417A"/>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5"/>
        </w:trPr>
        <w:tc>
          <w:tcPr>
            <w:tcW w:w="4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Arial" w:cs="Arial" w:eastAsia="Arial" w:hAnsi="Arial"/>
                <w:sz w:val="16"/>
                <w:szCs w:val="16"/>
                <w:color w:val="auto"/>
              </w:rPr>
              <w:t>​Richard W. Smith</w:t>
            </w:r>
          </w:p>
        </w:tc>
        <w:tc>
          <w:tcPr>
            <w:tcW w:w="24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6"/>
                <w:szCs w:val="16"/>
                <w:color w:val="auto"/>
              </w:rPr>
              <w:t>​</w:t>
            </w: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600" w:type="dxa"/>
            <w:vAlign w:val="bottom"/>
          </w:tcPr>
          <w:p>
            <w:pPr>
              <w:ind w:left="10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3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380" w:type="dxa"/>
            <w:vAlign w:val="bottom"/>
          </w:tcPr>
          <w:p>
            <w:pPr>
              <w:jc w:val="center"/>
              <w:ind w:left="141"/>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4"/>
                <w:szCs w:val="24"/>
                <w:color w:val="auto"/>
              </w:rPr>
            </w:pPr>
          </w:p>
        </w:tc>
        <w:tc>
          <w:tcPr>
            <w:tcW w:w="200" w:type="dxa"/>
            <w:vAlign w:val="bottom"/>
          </w:tcPr>
          <w:p>
            <w:pPr>
              <w:jc w:val="center"/>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6"/>
        </w:trPr>
        <w:tc>
          <w:tcPr>
            <w:tcW w:w="40" w:type="dxa"/>
            <w:vAlign w:val="bottom"/>
            <w:tcBorders>
              <w:bottom w:val="single" w:sz="8" w:color="E7417A"/>
            </w:tcBorders>
          </w:tcPr>
          <w:p>
            <w:pPr>
              <w:spacing w:after="0"/>
              <w:rPr>
                <w:sz w:val="8"/>
                <w:szCs w:val="8"/>
                <w:color w:val="auto"/>
              </w:rPr>
            </w:pPr>
          </w:p>
        </w:tc>
        <w:tc>
          <w:tcPr>
            <w:tcW w:w="1240" w:type="dxa"/>
            <w:vAlign w:val="bottom"/>
            <w:tcBorders>
              <w:bottom w:val="single" w:sz="8" w:color="E7417A"/>
            </w:tcBorders>
            <w:gridSpan w:val="2"/>
          </w:tcPr>
          <w:p>
            <w:pPr>
              <w:spacing w:after="0"/>
              <w:rPr>
                <w:sz w:val="8"/>
                <w:szCs w:val="8"/>
                <w:color w:val="auto"/>
              </w:rPr>
            </w:pPr>
          </w:p>
        </w:tc>
        <w:tc>
          <w:tcPr>
            <w:tcW w:w="560" w:type="dxa"/>
            <w:vAlign w:val="bottom"/>
            <w:tcBorders>
              <w:bottom w:val="single" w:sz="8" w:color="E7417A"/>
            </w:tcBorders>
          </w:tcPr>
          <w:p>
            <w:pPr>
              <w:spacing w:after="0"/>
              <w:rPr>
                <w:sz w:val="8"/>
                <w:szCs w:val="8"/>
                <w:color w:val="auto"/>
              </w:rPr>
            </w:pPr>
          </w:p>
        </w:tc>
        <w:tc>
          <w:tcPr>
            <w:tcW w:w="240" w:type="dxa"/>
            <w:vAlign w:val="bottom"/>
            <w:tcBorders>
              <w:bottom w:val="single" w:sz="8" w:color="E7417A"/>
            </w:tcBorders>
          </w:tcPr>
          <w:p>
            <w:pPr>
              <w:spacing w:after="0"/>
              <w:rPr>
                <w:sz w:val="8"/>
                <w:szCs w:val="8"/>
                <w:color w:val="auto"/>
              </w:rPr>
            </w:pPr>
          </w:p>
        </w:tc>
        <w:tc>
          <w:tcPr>
            <w:tcW w:w="300" w:type="dxa"/>
            <w:vAlign w:val="bottom"/>
            <w:tcBorders>
              <w:bottom w:val="single" w:sz="8" w:color="E7417A"/>
            </w:tcBorders>
          </w:tcPr>
          <w:p>
            <w:pPr>
              <w:spacing w:after="0"/>
              <w:rPr>
                <w:sz w:val="8"/>
                <w:szCs w:val="8"/>
                <w:color w:val="auto"/>
              </w:rPr>
            </w:pPr>
          </w:p>
        </w:tc>
        <w:tc>
          <w:tcPr>
            <w:tcW w:w="480" w:type="dxa"/>
            <w:vAlign w:val="bottom"/>
            <w:tcBorders>
              <w:bottom w:val="single" w:sz="8" w:color="E7417A"/>
            </w:tcBorders>
          </w:tcPr>
          <w:p>
            <w:pPr>
              <w:spacing w:after="0"/>
              <w:rPr>
                <w:sz w:val="8"/>
                <w:szCs w:val="8"/>
                <w:color w:val="auto"/>
              </w:rPr>
            </w:pPr>
          </w:p>
        </w:tc>
        <w:tc>
          <w:tcPr>
            <w:tcW w:w="600" w:type="dxa"/>
            <w:vAlign w:val="bottom"/>
            <w:tcBorders>
              <w:bottom w:val="single" w:sz="8" w:color="E7417A"/>
            </w:tcBorders>
          </w:tcPr>
          <w:p>
            <w:pPr>
              <w:spacing w:after="0"/>
              <w:rPr>
                <w:sz w:val="8"/>
                <w:szCs w:val="8"/>
                <w:color w:val="auto"/>
              </w:rPr>
            </w:pPr>
          </w:p>
        </w:tc>
        <w:tc>
          <w:tcPr>
            <w:tcW w:w="140" w:type="dxa"/>
            <w:vAlign w:val="bottom"/>
            <w:tcBorders>
              <w:bottom w:val="single" w:sz="8" w:color="E7417A"/>
            </w:tcBorders>
          </w:tcPr>
          <w:p>
            <w:pPr>
              <w:spacing w:after="0"/>
              <w:rPr>
                <w:sz w:val="8"/>
                <w:szCs w:val="8"/>
                <w:color w:val="auto"/>
              </w:rPr>
            </w:pPr>
          </w:p>
        </w:tc>
        <w:tc>
          <w:tcPr>
            <w:tcW w:w="100" w:type="dxa"/>
            <w:vAlign w:val="bottom"/>
            <w:tcBorders>
              <w:bottom w:val="single" w:sz="8" w:color="E7417A"/>
            </w:tcBorders>
          </w:tcPr>
          <w:p>
            <w:pPr>
              <w:spacing w:after="0"/>
              <w:rPr>
                <w:sz w:val="8"/>
                <w:szCs w:val="8"/>
                <w:color w:val="auto"/>
              </w:rPr>
            </w:pPr>
          </w:p>
        </w:tc>
        <w:tc>
          <w:tcPr>
            <w:tcW w:w="540" w:type="dxa"/>
            <w:vAlign w:val="bottom"/>
            <w:tcBorders>
              <w:bottom w:val="single" w:sz="8" w:color="E7417A"/>
            </w:tcBorders>
          </w:tcPr>
          <w:p>
            <w:pPr>
              <w:spacing w:after="0"/>
              <w:rPr>
                <w:sz w:val="8"/>
                <w:szCs w:val="8"/>
                <w:color w:val="auto"/>
              </w:rPr>
            </w:pPr>
          </w:p>
        </w:tc>
        <w:tc>
          <w:tcPr>
            <w:tcW w:w="180" w:type="dxa"/>
            <w:vAlign w:val="bottom"/>
            <w:tcBorders>
              <w:bottom w:val="single" w:sz="8" w:color="E7417A"/>
            </w:tcBorders>
          </w:tcPr>
          <w:p>
            <w:pPr>
              <w:spacing w:after="0"/>
              <w:rPr>
                <w:sz w:val="8"/>
                <w:szCs w:val="8"/>
                <w:color w:val="auto"/>
              </w:rPr>
            </w:pPr>
          </w:p>
        </w:tc>
        <w:tc>
          <w:tcPr>
            <w:tcW w:w="160" w:type="dxa"/>
            <w:vAlign w:val="bottom"/>
            <w:tcBorders>
              <w:bottom w:val="single" w:sz="8" w:color="E7417A"/>
            </w:tcBorders>
          </w:tcPr>
          <w:p>
            <w:pPr>
              <w:spacing w:after="0"/>
              <w:rPr>
                <w:sz w:val="8"/>
                <w:szCs w:val="8"/>
                <w:color w:val="auto"/>
              </w:rPr>
            </w:pPr>
          </w:p>
        </w:tc>
        <w:tc>
          <w:tcPr>
            <w:tcW w:w="360" w:type="dxa"/>
            <w:vAlign w:val="bottom"/>
            <w:tcBorders>
              <w:bottom w:val="single" w:sz="8" w:color="E7417A"/>
            </w:tcBorders>
          </w:tcPr>
          <w:p>
            <w:pPr>
              <w:spacing w:after="0"/>
              <w:rPr>
                <w:sz w:val="8"/>
                <w:szCs w:val="8"/>
                <w:color w:val="auto"/>
              </w:rPr>
            </w:pPr>
          </w:p>
        </w:tc>
        <w:tc>
          <w:tcPr>
            <w:tcW w:w="360" w:type="dxa"/>
            <w:vAlign w:val="bottom"/>
            <w:tcBorders>
              <w:bottom w:val="single" w:sz="8" w:color="E7417A"/>
            </w:tcBorders>
          </w:tcPr>
          <w:p>
            <w:pPr>
              <w:spacing w:after="0"/>
              <w:rPr>
                <w:sz w:val="8"/>
                <w:szCs w:val="8"/>
                <w:color w:val="auto"/>
              </w:rPr>
            </w:pPr>
          </w:p>
        </w:tc>
        <w:tc>
          <w:tcPr>
            <w:tcW w:w="120" w:type="dxa"/>
            <w:vAlign w:val="bottom"/>
            <w:tcBorders>
              <w:bottom w:val="single" w:sz="8" w:color="E7417A"/>
            </w:tcBorders>
          </w:tcPr>
          <w:p>
            <w:pPr>
              <w:spacing w:after="0"/>
              <w:rPr>
                <w:sz w:val="8"/>
                <w:szCs w:val="8"/>
                <w:color w:val="auto"/>
              </w:rPr>
            </w:pPr>
          </w:p>
        </w:tc>
        <w:tc>
          <w:tcPr>
            <w:tcW w:w="380" w:type="dxa"/>
            <w:vAlign w:val="bottom"/>
            <w:tcBorders>
              <w:bottom w:val="single" w:sz="8" w:color="E7417A"/>
            </w:tcBorders>
          </w:tcPr>
          <w:p>
            <w:pPr>
              <w:spacing w:after="0"/>
              <w:rPr>
                <w:sz w:val="8"/>
                <w:szCs w:val="8"/>
                <w:color w:val="auto"/>
              </w:rPr>
            </w:pPr>
          </w:p>
        </w:tc>
        <w:tc>
          <w:tcPr>
            <w:tcW w:w="260" w:type="dxa"/>
            <w:vAlign w:val="bottom"/>
            <w:tcBorders>
              <w:bottom w:val="single" w:sz="8" w:color="E7417A"/>
            </w:tcBorders>
          </w:tcPr>
          <w:p>
            <w:pPr>
              <w:spacing w:after="0"/>
              <w:rPr>
                <w:sz w:val="8"/>
                <w:szCs w:val="8"/>
                <w:color w:val="auto"/>
              </w:rPr>
            </w:pPr>
          </w:p>
        </w:tc>
        <w:tc>
          <w:tcPr>
            <w:tcW w:w="640" w:type="dxa"/>
            <w:vAlign w:val="bottom"/>
            <w:tcBorders>
              <w:bottom w:val="single" w:sz="8" w:color="E7417A"/>
            </w:tcBorders>
          </w:tcPr>
          <w:p>
            <w:pPr>
              <w:spacing w:after="0"/>
              <w:rPr>
                <w:sz w:val="8"/>
                <w:szCs w:val="8"/>
                <w:color w:val="auto"/>
              </w:rPr>
            </w:pPr>
          </w:p>
        </w:tc>
        <w:tc>
          <w:tcPr>
            <w:tcW w:w="620" w:type="dxa"/>
            <w:vAlign w:val="bottom"/>
            <w:tcBorders>
              <w:bottom w:val="single" w:sz="8" w:color="E7417A"/>
            </w:tcBorders>
          </w:tcPr>
          <w:p>
            <w:pPr>
              <w:spacing w:after="0"/>
              <w:rPr>
                <w:sz w:val="8"/>
                <w:szCs w:val="8"/>
                <w:color w:val="auto"/>
              </w:rPr>
            </w:pPr>
          </w:p>
        </w:tc>
        <w:tc>
          <w:tcPr>
            <w:tcW w:w="200" w:type="dxa"/>
            <w:vAlign w:val="bottom"/>
            <w:tcBorders>
              <w:bottom w:val="single" w:sz="8" w:color="E7417A"/>
            </w:tcBorders>
          </w:tcPr>
          <w:p>
            <w:pPr>
              <w:spacing w:after="0"/>
              <w:rPr>
                <w:sz w:val="8"/>
                <w:szCs w:val="8"/>
                <w:color w:val="auto"/>
              </w:rPr>
            </w:pPr>
          </w:p>
        </w:tc>
        <w:tc>
          <w:tcPr>
            <w:tcW w:w="160" w:type="dxa"/>
            <w:vAlign w:val="bottom"/>
            <w:tcBorders>
              <w:bottom w:val="single" w:sz="8" w:color="E7417A"/>
            </w:tcBorders>
          </w:tcPr>
          <w:p>
            <w:pPr>
              <w:spacing w:after="0"/>
              <w:rPr>
                <w:sz w:val="8"/>
                <w:szCs w:val="8"/>
                <w:color w:val="auto"/>
              </w:rPr>
            </w:pPr>
          </w:p>
        </w:tc>
        <w:tc>
          <w:tcPr>
            <w:tcW w:w="1080" w:type="dxa"/>
            <w:vAlign w:val="bottom"/>
            <w:tcBorders>
              <w:bottom w:val="single" w:sz="8" w:color="E7417A"/>
            </w:tcBorders>
          </w:tcPr>
          <w:p>
            <w:pPr>
              <w:spacing w:after="0"/>
              <w:rPr>
                <w:sz w:val="8"/>
                <w:szCs w:val="8"/>
                <w:color w:val="auto"/>
              </w:rPr>
            </w:pPr>
          </w:p>
        </w:tc>
        <w:tc>
          <w:tcPr>
            <w:tcW w:w="100" w:type="dxa"/>
            <w:vAlign w:val="bottom"/>
            <w:tcBorders>
              <w:bottom w:val="single" w:sz="8" w:color="E7417A"/>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6"/>
                <w:szCs w:val="16"/>
                <w:color w:val="auto"/>
              </w:rPr>
              <w:t>​Tanya Tamone</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6"/>
                <w:szCs w:val="16"/>
                <w:color w:val="auto"/>
              </w:rPr>
              <w:t>​</w:t>
            </w: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center"/>
              <w:ind w:left="141"/>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jc w:val="center"/>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6"/>
        </w:trPr>
        <w:tc>
          <w:tcPr>
            <w:tcW w:w="40" w:type="dxa"/>
            <w:vAlign w:val="bottom"/>
            <w:tcBorders>
              <w:bottom w:val="single" w:sz="8" w:color="E7417A"/>
            </w:tcBorders>
          </w:tcPr>
          <w:p>
            <w:pPr>
              <w:spacing w:after="0"/>
              <w:rPr>
                <w:sz w:val="4"/>
                <w:szCs w:val="4"/>
                <w:color w:val="auto"/>
              </w:rPr>
            </w:pPr>
          </w:p>
        </w:tc>
        <w:tc>
          <w:tcPr>
            <w:tcW w:w="1800" w:type="dxa"/>
            <w:vAlign w:val="bottom"/>
            <w:tcBorders>
              <w:bottom w:val="single" w:sz="8" w:color="E7417A"/>
            </w:tcBorders>
            <w:gridSpan w:val="3"/>
          </w:tcPr>
          <w:p>
            <w:pPr>
              <w:spacing w:after="0"/>
              <w:rPr>
                <w:sz w:val="4"/>
                <w:szCs w:val="4"/>
                <w:color w:val="auto"/>
              </w:rPr>
            </w:pPr>
          </w:p>
        </w:tc>
        <w:tc>
          <w:tcPr>
            <w:tcW w:w="240" w:type="dxa"/>
            <w:vAlign w:val="bottom"/>
            <w:tcBorders>
              <w:bottom w:val="single" w:sz="8" w:color="E7417A"/>
            </w:tcBorders>
          </w:tcPr>
          <w:p>
            <w:pPr>
              <w:spacing w:after="0"/>
              <w:rPr>
                <w:sz w:val="4"/>
                <w:szCs w:val="4"/>
                <w:color w:val="auto"/>
              </w:rPr>
            </w:pPr>
          </w:p>
        </w:tc>
        <w:tc>
          <w:tcPr>
            <w:tcW w:w="300" w:type="dxa"/>
            <w:vAlign w:val="bottom"/>
            <w:tcBorders>
              <w:bottom w:val="single" w:sz="8" w:color="E7417A"/>
            </w:tcBorders>
          </w:tcPr>
          <w:p>
            <w:pPr>
              <w:spacing w:after="0"/>
              <w:rPr>
                <w:sz w:val="4"/>
                <w:szCs w:val="4"/>
                <w:color w:val="auto"/>
              </w:rPr>
            </w:pPr>
          </w:p>
        </w:tc>
        <w:tc>
          <w:tcPr>
            <w:tcW w:w="1080" w:type="dxa"/>
            <w:vAlign w:val="bottom"/>
            <w:tcBorders>
              <w:bottom w:val="single" w:sz="8" w:color="E7417A"/>
            </w:tcBorders>
            <w:gridSpan w:val="2"/>
          </w:tcPr>
          <w:p>
            <w:pPr>
              <w:spacing w:after="0"/>
              <w:rPr>
                <w:sz w:val="4"/>
                <w:szCs w:val="4"/>
                <w:color w:val="auto"/>
              </w:rPr>
            </w:pPr>
          </w:p>
        </w:tc>
        <w:tc>
          <w:tcPr>
            <w:tcW w:w="140" w:type="dxa"/>
            <w:vAlign w:val="bottom"/>
            <w:tcBorders>
              <w:bottom w:val="single" w:sz="8" w:color="E7417A"/>
            </w:tcBorders>
          </w:tcPr>
          <w:p>
            <w:pPr>
              <w:spacing w:after="0"/>
              <w:rPr>
                <w:sz w:val="4"/>
                <w:szCs w:val="4"/>
                <w:color w:val="auto"/>
              </w:rPr>
            </w:pPr>
          </w:p>
        </w:tc>
        <w:tc>
          <w:tcPr>
            <w:tcW w:w="100" w:type="dxa"/>
            <w:vAlign w:val="bottom"/>
            <w:tcBorders>
              <w:bottom w:val="single" w:sz="8" w:color="E7417A"/>
            </w:tcBorders>
          </w:tcPr>
          <w:p>
            <w:pPr>
              <w:spacing w:after="0"/>
              <w:rPr>
                <w:sz w:val="4"/>
                <w:szCs w:val="4"/>
                <w:color w:val="auto"/>
              </w:rPr>
            </w:pPr>
          </w:p>
        </w:tc>
        <w:tc>
          <w:tcPr>
            <w:tcW w:w="540" w:type="dxa"/>
            <w:vAlign w:val="bottom"/>
            <w:tcBorders>
              <w:bottom w:val="single" w:sz="8" w:color="E7417A"/>
            </w:tcBorders>
          </w:tcPr>
          <w:p>
            <w:pPr>
              <w:spacing w:after="0"/>
              <w:rPr>
                <w:sz w:val="4"/>
                <w:szCs w:val="4"/>
                <w:color w:val="auto"/>
              </w:rPr>
            </w:pPr>
          </w:p>
        </w:tc>
        <w:tc>
          <w:tcPr>
            <w:tcW w:w="180" w:type="dxa"/>
            <w:vAlign w:val="bottom"/>
            <w:tcBorders>
              <w:bottom w:val="single" w:sz="8" w:color="E7417A"/>
            </w:tcBorders>
          </w:tcPr>
          <w:p>
            <w:pPr>
              <w:spacing w:after="0"/>
              <w:rPr>
                <w:sz w:val="4"/>
                <w:szCs w:val="4"/>
                <w:color w:val="auto"/>
              </w:rPr>
            </w:pPr>
          </w:p>
        </w:tc>
        <w:tc>
          <w:tcPr>
            <w:tcW w:w="160" w:type="dxa"/>
            <w:vAlign w:val="bottom"/>
            <w:tcBorders>
              <w:bottom w:val="single" w:sz="8" w:color="E7417A"/>
            </w:tcBorders>
          </w:tcPr>
          <w:p>
            <w:pPr>
              <w:spacing w:after="0"/>
              <w:rPr>
                <w:sz w:val="4"/>
                <w:szCs w:val="4"/>
                <w:color w:val="auto"/>
              </w:rPr>
            </w:pPr>
          </w:p>
        </w:tc>
        <w:tc>
          <w:tcPr>
            <w:tcW w:w="360" w:type="dxa"/>
            <w:vAlign w:val="bottom"/>
            <w:tcBorders>
              <w:bottom w:val="single" w:sz="8" w:color="E7417A"/>
            </w:tcBorders>
          </w:tcPr>
          <w:p>
            <w:pPr>
              <w:spacing w:after="0"/>
              <w:rPr>
                <w:sz w:val="4"/>
                <w:szCs w:val="4"/>
                <w:color w:val="auto"/>
              </w:rPr>
            </w:pPr>
          </w:p>
        </w:tc>
        <w:tc>
          <w:tcPr>
            <w:tcW w:w="360" w:type="dxa"/>
            <w:vAlign w:val="bottom"/>
            <w:tcBorders>
              <w:bottom w:val="single" w:sz="8" w:color="E7417A"/>
            </w:tcBorders>
          </w:tcPr>
          <w:p>
            <w:pPr>
              <w:spacing w:after="0"/>
              <w:rPr>
                <w:sz w:val="4"/>
                <w:szCs w:val="4"/>
                <w:color w:val="auto"/>
              </w:rPr>
            </w:pPr>
          </w:p>
        </w:tc>
        <w:tc>
          <w:tcPr>
            <w:tcW w:w="120" w:type="dxa"/>
            <w:vAlign w:val="bottom"/>
            <w:tcBorders>
              <w:bottom w:val="single" w:sz="8" w:color="E7417A"/>
            </w:tcBorders>
          </w:tcPr>
          <w:p>
            <w:pPr>
              <w:spacing w:after="0"/>
              <w:rPr>
                <w:sz w:val="4"/>
                <w:szCs w:val="4"/>
                <w:color w:val="auto"/>
              </w:rPr>
            </w:pPr>
          </w:p>
        </w:tc>
        <w:tc>
          <w:tcPr>
            <w:tcW w:w="380" w:type="dxa"/>
            <w:vAlign w:val="bottom"/>
            <w:tcBorders>
              <w:bottom w:val="single" w:sz="8" w:color="E7417A"/>
            </w:tcBorders>
          </w:tcPr>
          <w:p>
            <w:pPr>
              <w:spacing w:after="0"/>
              <w:rPr>
                <w:sz w:val="4"/>
                <w:szCs w:val="4"/>
                <w:color w:val="auto"/>
              </w:rPr>
            </w:pPr>
          </w:p>
        </w:tc>
        <w:tc>
          <w:tcPr>
            <w:tcW w:w="260" w:type="dxa"/>
            <w:vAlign w:val="bottom"/>
            <w:tcBorders>
              <w:bottom w:val="single" w:sz="8" w:color="E7417A"/>
            </w:tcBorders>
          </w:tcPr>
          <w:p>
            <w:pPr>
              <w:spacing w:after="0"/>
              <w:rPr>
                <w:sz w:val="4"/>
                <w:szCs w:val="4"/>
                <w:color w:val="auto"/>
              </w:rPr>
            </w:pPr>
          </w:p>
        </w:tc>
        <w:tc>
          <w:tcPr>
            <w:tcW w:w="640" w:type="dxa"/>
            <w:vAlign w:val="bottom"/>
            <w:tcBorders>
              <w:bottom w:val="single" w:sz="8" w:color="E7417A"/>
            </w:tcBorders>
          </w:tcPr>
          <w:p>
            <w:pPr>
              <w:spacing w:after="0"/>
              <w:rPr>
                <w:sz w:val="4"/>
                <w:szCs w:val="4"/>
                <w:color w:val="auto"/>
              </w:rPr>
            </w:pPr>
          </w:p>
        </w:tc>
        <w:tc>
          <w:tcPr>
            <w:tcW w:w="620" w:type="dxa"/>
            <w:vAlign w:val="bottom"/>
            <w:tcBorders>
              <w:bottom w:val="single" w:sz="8" w:color="E7417A"/>
            </w:tcBorders>
          </w:tcPr>
          <w:p>
            <w:pPr>
              <w:spacing w:after="0"/>
              <w:rPr>
                <w:sz w:val="4"/>
                <w:szCs w:val="4"/>
                <w:color w:val="auto"/>
              </w:rPr>
            </w:pPr>
          </w:p>
        </w:tc>
        <w:tc>
          <w:tcPr>
            <w:tcW w:w="200" w:type="dxa"/>
            <w:vAlign w:val="bottom"/>
            <w:tcBorders>
              <w:bottom w:val="single" w:sz="8" w:color="E7417A"/>
            </w:tcBorders>
          </w:tcPr>
          <w:p>
            <w:pPr>
              <w:spacing w:after="0"/>
              <w:rPr>
                <w:sz w:val="4"/>
                <w:szCs w:val="4"/>
                <w:color w:val="auto"/>
              </w:rPr>
            </w:pPr>
          </w:p>
        </w:tc>
        <w:tc>
          <w:tcPr>
            <w:tcW w:w="160" w:type="dxa"/>
            <w:vAlign w:val="bottom"/>
            <w:tcBorders>
              <w:bottom w:val="single" w:sz="8" w:color="E7417A"/>
            </w:tcBorders>
          </w:tcPr>
          <w:p>
            <w:pPr>
              <w:spacing w:after="0"/>
              <w:rPr>
                <w:sz w:val="4"/>
                <w:szCs w:val="4"/>
                <w:color w:val="auto"/>
              </w:rPr>
            </w:pPr>
          </w:p>
        </w:tc>
        <w:tc>
          <w:tcPr>
            <w:tcW w:w="1080" w:type="dxa"/>
            <w:vAlign w:val="bottom"/>
            <w:tcBorders>
              <w:bottom w:val="single" w:sz="8" w:color="E7417A"/>
            </w:tcBorders>
          </w:tcPr>
          <w:p>
            <w:pPr>
              <w:spacing w:after="0"/>
              <w:rPr>
                <w:sz w:val="4"/>
                <w:szCs w:val="4"/>
                <w:color w:val="auto"/>
              </w:rPr>
            </w:pPr>
          </w:p>
        </w:tc>
        <w:tc>
          <w:tcPr>
            <w:tcW w:w="100" w:type="dxa"/>
            <w:vAlign w:val="bottom"/>
            <w:tcBorders>
              <w:bottom w:val="single" w:sz="8" w:color="E7417A"/>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1800" w:type="dxa"/>
            <w:vAlign w:val="bottom"/>
            <w:gridSpan w:val="3"/>
          </w:tcPr>
          <w:p>
            <w:pPr>
              <w:spacing w:after="0" w:line="304" w:lineRule="exact"/>
              <w:rPr>
                <w:sz w:val="20"/>
                <w:szCs w:val="20"/>
                <w:color w:val="auto"/>
              </w:rPr>
            </w:pPr>
            <w:r>
              <w:rPr>
                <w:rFonts w:ascii="Arial" w:cs="Arial" w:eastAsia="Arial" w:hAnsi="Arial"/>
                <w:sz w:val="32"/>
                <w:szCs w:val="32"/>
                <w:i w:val="1"/>
                <w:iCs w:val="1"/>
                <w:color w:val="auto"/>
                <w:vertAlign w:val="subscript"/>
              </w:rPr>
              <w:t>​</w:t>
            </w:r>
            <w:r>
              <w:rPr>
                <w:rFonts w:ascii="Arial" w:cs="Arial" w:eastAsia="Arial" w:hAnsi="Arial"/>
                <w:sz w:val="16"/>
                <w:szCs w:val="16"/>
                <w:i w:val="1"/>
                <w:iCs w:val="1"/>
                <w:color w:val="auto"/>
              </w:rPr>
              <w:t>Number of Meetings in</w:t>
            </w:r>
          </w:p>
        </w:tc>
        <w:tc>
          <w:tcPr>
            <w:tcW w:w="24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6"/>
                <w:szCs w:val="16"/>
                <w:i w:val="1"/>
                <w:iCs w:val="1"/>
                <w:color w:val="auto"/>
              </w:rPr>
              <w:t>​</w:t>
            </w:r>
          </w:p>
        </w:tc>
        <w:tc>
          <w:tcPr>
            <w:tcW w:w="1080" w:type="dxa"/>
            <w:vAlign w:val="bottom"/>
            <w:gridSpan w:val="2"/>
          </w:tcPr>
          <w:p>
            <w:pPr>
              <w:ind w:left="40"/>
              <w:spacing w:after="0" w:line="304" w:lineRule="exact"/>
              <w:rPr>
                <w:sz w:val="20"/>
                <w:szCs w:val="20"/>
                <w:color w:val="auto"/>
              </w:rPr>
            </w:pPr>
            <w:r>
              <w:rPr>
                <w:rFonts w:ascii="Arial" w:cs="Arial" w:eastAsia="Arial" w:hAnsi="Arial"/>
                <w:sz w:val="32"/>
                <w:szCs w:val="32"/>
                <w:i w:val="1"/>
                <w:iCs w:val="1"/>
                <w:color w:val="auto"/>
                <w:vertAlign w:val="superscript"/>
              </w:rPr>
              <w:t>​</w:t>
            </w:r>
            <w:r>
              <w:rPr>
                <w:rFonts w:ascii="Arial" w:cs="Arial" w:eastAsia="Arial" w:hAnsi="Arial"/>
                <w:sz w:val="16"/>
                <w:szCs w:val="16"/>
                <w:i w:val="1"/>
                <w:iCs w:val="1"/>
                <w:color w:val="auto"/>
              </w:rPr>
              <w:t xml:space="preserve"> Board — 7</w:t>
            </w:r>
          </w:p>
        </w:tc>
        <w:tc>
          <w:tcPr>
            <w:tcW w:w="140" w:type="dxa"/>
            <w:vAlign w:val="bottom"/>
          </w:tcPr>
          <w:p>
            <w:pPr>
              <w:ind w:left="40"/>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ind w:left="40"/>
              <w:spacing w:after="0"/>
              <w:rPr>
                <w:sz w:val="20"/>
                <w:szCs w:val="20"/>
                <w:color w:val="auto"/>
              </w:rPr>
            </w:pPr>
            <w:r>
              <w:rPr>
                <w:rFonts w:ascii="Arial" w:cs="Arial" w:eastAsia="Arial" w:hAnsi="Arial"/>
                <w:sz w:val="16"/>
                <w:szCs w:val="16"/>
                <w:i w:val="1"/>
                <w:iCs w:val="1"/>
                <w:color w:val="auto"/>
              </w:rPr>
              <w:t>​</w:t>
            </w:r>
          </w:p>
        </w:tc>
        <w:tc>
          <w:tcPr>
            <w:tcW w:w="540" w:type="dxa"/>
            <w:vAlign w:val="bottom"/>
          </w:tcPr>
          <w:p>
            <w:pPr>
              <w:jc w:val="right"/>
              <w:ind w:right="141"/>
              <w:spacing w:after="0"/>
              <w:rPr>
                <w:sz w:val="20"/>
                <w:szCs w:val="20"/>
                <w:color w:val="auto"/>
              </w:rPr>
            </w:pPr>
            <w:r>
              <w:rPr>
                <w:rFonts w:ascii="Arial" w:cs="Arial" w:eastAsia="Arial" w:hAnsi="Arial"/>
                <w:sz w:val="16"/>
                <w:szCs w:val="16"/>
                <w:i w:val="1"/>
                <w:iCs w:val="1"/>
                <w:color w:val="auto"/>
              </w:rPr>
              <w:t>9</w:t>
            </w:r>
          </w:p>
        </w:tc>
        <w:tc>
          <w:tcPr>
            <w:tcW w:w="180" w:type="dxa"/>
            <w:vAlign w:val="bottom"/>
          </w:tcPr>
          <w:p>
            <w:pPr>
              <w:ind w:left="80"/>
              <w:spacing w:after="0"/>
              <w:rPr>
                <w:sz w:val="20"/>
                <w:szCs w:val="20"/>
                <w:color w:val="auto"/>
              </w:rPr>
            </w:pPr>
            <w:r>
              <w:rPr>
                <w:rFonts w:ascii="Arial" w:cs="Arial" w:eastAsia="Arial" w:hAnsi="Arial"/>
                <w:sz w:val="16"/>
                <w:szCs w:val="16"/>
                <w:i w:val="1"/>
                <w:iCs w:val="1"/>
                <w:color w:val="auto"/>
              </w:rPr>
              <w:t>​</w:t>
            </w:r>
          </w:p>
        </w:tc>
        <w:tc>
          <w:tcPr>
            <w:tcW w:w="160" w:type="dxa"/>
            <w:vAlign w:val="bottom"/>
          </w:tcPr>
          <w:p>
            <w:pPr>
              <w:ind w:left="40"/>
              <w:spacing w:after="0"/>
              <w:rPr>
                <w:sz w:val="20"/>
                <w:szCs w:val="20"/>
                <w:color w:val="auto"/>
              </w:rPr>
            </w:pPr>
            <w:r>
              <w:rPr>
                <w:rFonts w:ascii="Arial" w:cs="Arial" w:eastAsia="Arial" w:hAnsi="Arial"/>
                <w:sz w:val="16"/>
                <w:szCs w:val="16"/>
                <w:i w:val="1"/>
                <w:iCs w:val="1"/>
                <w:color w:val="auto"/>
              </w:rPr>
              <w:t>​</w:t>
            </w:r>
          </w:p>
        </w:tc>
        <w:tc>
          <w:tcPr>
            <w:tcW w:w="360" w:type="dxa"/>
            <w:vAlign w:val="bottom"/>
          </w:tcPr>
          <w:p>
            <w:pPr>
              <w:spacing w:after="0"/>
              <w:rPr>
                <w:sz w:val="24"/>
                <w:szCs w:val="24"/>
                <w:color w:val="auto"/>
              </w:rPr>
            </w:pPr>
          </w:p>
        </w:tc>
        <w:tc>
          <w:tcPr>
            <w:tcW w:w="360" w:type="dxa"/>
            <w:vAlign w:val="bottom"/>
          </w:tcPr>
          <w:p>
            <w:pPr>
              <w:jc w:val="right"/>
              <w:ind w:right="100"/>
              <w:spacing w:after="0"/>
              <w:rPr>
                <w:sz w:val="20"/>
                <w:szCs w:val="20"/>
                <w:color w:val="auto"/>
              </w:rPr>
            </w:pPr>
            <w:r>
              <w:rPr>
                <w:rFonts w:ascii="Arial" w:cs="Arial" w:eastAsia="Arial" w:hAnsi="Arial"/>
                <w:sz w:val="16"/>
                <w:szCs w:val="16"/>
                <w:i w:val="1"/>
                <w:iCs w:val="1"/>
                <w:color w:val="auto"/>
              </w:rPr>
              <w:t>6</w:t>
            </w:r>
          </w:p>
        </w:tc>
        <w:tc>
          <w:tcPr>
            <w:tcW w:w="120" w:type="dxa"/>
            <w:vAlign w:val="bottom"/>
          </w:tcPr>
          <w:p>
            <w:pPr>
              <w:spacing w:after="0"/>
              <w:rPr>
                <w:sz w:val="24"/>
                <w:szCs w:val="24"/>
                <w:color w:val="auto"/>
              </w:rPr>
            </w:pPr>
          </w:p>
        </w:tc>
        <w:tc>
          <w:tcPr>
            <w:tcW w:w="380" w:type="dxa"/>
            <w:vAlign w:val="bottom"/>
          </w:tcPr>
          <w:p>
            <w:pPr>
              <w:jc w:val="center"/>
              <w:ind w:left="141"/>
              <w:spacing w:after="0"/>
              <w:rPr>
                <w:sz w:val="20"/>
                <w:szCs w:val="20"/>
                <w:color w:val="auto"/>
              </w:rPr>
            </w:pPr>
            <w:r>
              <w:rPr>
                <w:rFonts w:ascii="Arial" w:cs="Arial" w:eastAsia="Arial" w:hAnsi="Arial"/>
                <w:sz w:val="16"/>
                <w:szCs w:val="16"/>
                <w:i w:val="1"/>
                <w:iCs w:val="1"/>
                <w:color w:val="auto"/>
              </w:rPr>
              <w:t>​</w:t>
            </w:r>
          </w:p>
        </w:tc>
        <w:tc>
          <w:tcPr>
            <w:tcW w:w="260" w:type="dxa"/>
            <w:vAlign w:val="bottom"/>
          </w:tcPr>
          <w:p>
            <w:pPr>
              <w:ind w:left="40"/>
              <w:spacing w:after="0"/>
              <w:rPr>
                <w:sz w:val="20"/>
                <w:szCs w:val="20"/>
                <w:color w:val="auto"/>
              </w:rPr>
            </w:pPr>
            <w:r>
              <w:rPr>
                <w:rFonts w:ascii="Arial" w:cs="Arial" w:eastAsia="Arial" w:hAnsi="Arial"/>
                <w:sz w:val="16"/>
                <w:szCs w:val="16"/>
                <w:i w:val="1"/>
                <w:i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i w:val="1"/>
                <w:iCs w:val="1"/>
                <w:color w:val="auto"/>
              </w:rPr>
              <w:t>4</w:t>
            </w:r>
          </w:p>
        </w:tc>
        <w:tc>
          <w:tcPr>
            <w:tcW w:w="620" w:type="dxa"/>
            <w:vAlign w:val="bottom"/>
          </w:tcPr>
          <w:p>
            <w:pPr>
              <w:spacing w:after="0"/>
              <w:rPr>
                <w:sz w:val="24"/>
                <w:szCs w:val="24"/>
                <w:color w:val="auto"/>
              </w:rPr>
            </w:pPr>
          </w:p>
        </w:tc>
        <w:tc>
          <w:tcPr>
            <w:tcW w:w="200" w:type="dxa"/>
            <w:vAlign w:val="bottom"/>
          </w:tcPr>
          <w:p>
            <w:pPr>
              <w:jc w:val="center"/>
              <w:spacing w:after="0"/>
              <w:rPr>
                <w:sz w:val="20"/>
                <w:szCs w:val="20"/>
                <w:color w:val="auto"/>
              </w:rPr>
            </w:pPr>
            <w:r>
              <w:rPr>
                <w:rFonts w:ascii="Arial" w:cs="Arial" w:eastAsia="Arial" w:hAnsi="Arial"/>
                <w:sz w:val="16"/>
                <w:szCs w:val="16"/>
                <w:i w:val="1"/>
                <w:iCs w:val="1"/>
                <w:color w:val="auto"/>
              </w:rPr>
              <w:t>​</w:t>
            </w:r>
          </w:p>
        </w:tc>
        <w:tc>
          <w:tcPr>
            <w:tcW w:w="160" w:type="dxa"/>
            <w:vAlign w:val="bottom"/>
          </w:tcPr>
          <w:p>
            <w:pPr>
              <w:ind w:left="40"/>
              <w:spacing w:after="0"/>
              <w:rPr>
                <w:sz w:val="20"/>
                <w:szCs w:val="20"/>
                <w:color w:val="auto"/>
              </w:rPr>
            </w:pPr>
            <w:r>
              <w:rPr>
                <w:rFonts w:ascii="Arial" w:cs="Arial" w:eastAsia="Arial" w:hAnsi="Arial"/>
                <w:sz w:val="16"/>
                <w:szCs w:val="16"/>
                <w:i w:val="1"/>
                <w:iCs w:val="1"/>
                <w:color w:val="auto"/>
              </w:rPr>
              <w:t>​</w:t>
            </w:r>
          </w:p>
        </w:tc>
        <w:tc>
          <w:tcPr>
            <w:tcW w:w="1080" w:type="dxa"/>
            <w:vAlign w:val="bottom"/>
          </w:tcPr>
          <w:p>
            <w:pPr>
              <w:jc w:val="right"/>
              <w:ind w:right="440"/>
              <w:spacing w:after="0"/>
              <w:rPr>
                <w:sz w:val="20"/>
                <w:szCs w:val="20"/>
                <w:color w:val="auto"/>
              </w:rPr>
            </w:pPr>
            <w:r>
              <w:rPr>
                <w:rFonts w:ascii="Arial" w:cs="Arial" w:eastAsia="Arial" w:hAnsi="Arial"/>
                <w:sz w:val="16"/>
                <w:szCs w:val="16"/>
                <w:i w:val="1"/>
                <w:iCs w:val="1"/>
                <w:color w:val="auto"/>
              </w:rPr>
              <w:t>3</w:t>
            </w:r>
          </w:p>
        </w:tc>
        <w:tc>
          <w:tcPr>
            <w:tcW w:w="100" w:type="dxa"/>
            <w:vAlign w:val="bottom"/>
          </w:tcPr>
          <w:p>
            <w:pPr>
              <w:ind w:left="60"/>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135"/>
        </w:trPr>
        <w:tc>
          <w:tcPr>
            <w:tcW w:w="40" w:type="dxa"/>
            <w:vAlign w:val="bottom"/>
            <w:tcBorders>
              <w:bottom w:val="single" w:sz="8" w:color="62259D"/>
            </w:tcBorders>
          </w:tcPr>
          <w:p>
            <w:pPr>
              <w:spacing w:after="0"/>
              <w:rPr>
                <w:sz w:val="11"/>
                <w:szCs w:val="11"/>
                <w:color w:val="auto"/>
              </w:rPr>
            </w:pPr>
          </w:p>
        </w:tc>
        <w:tc>
          <w:tcPr>
            <w:tcW w:w="1240" w:type="dxa"/>
            <w:vAlign w:val="bottom"/>
            <w:tcBorders>
              <w:bottom w:val="single" w:sz="8" w:color="62259D"/>
            </w:tcBorders>
            <w:gridSpan w:val="2"/>
          </w:tcPr>
          <w:p>
            <w:pPr>
              <w:ind w:left="40"/>
              <w:spacing w:after="0" w:line="135" w:lineRule="exact"/>
              <w:rPr>
                <w:sz w:val="20"/>
                <w:szCs w:val="20"/>
                <w:color w:val="auto"/>
              </w:rPr>
            </w:pPr>
            <w:r>
              <w:rPr>
                <w:rFonts w:ascii="Arial" w:cs="Arial" w:eastAsia="Arial" w:hAnsi="Arial"/>
                <w:sz w:val="15"/>
                <w:szCs w:val="15"/>
                <w:i w:val="1"/>
                <w:iCs w:val="1"/>
                <w:color w:val="auto"/>
              </w:rPr>
              <w:t>2024</w:t>
            </w:r>
          </w:p>
        </w:tc>
        <w:tc>
          <w:tcPr>
            <w:tcW w:w="560" w:type="dxa"/>
            <w:vAlign w:val="bottom"/>
            <w:tcBorders>
              <w:bottom w:val="single" w:sz="8" w:color="62259D"/>
            </w:tcBorders>
          </w:tcPr>
          <w:p>
            <w:pPr>
              <w:spacing w:after="0"/>
              <w:rPr>
                <w:sz w:val="11"/>
                <w:szCs w:val="11"/>
                <w:color w:val="auto"/>
              </w:rPr>
            </w:pPr>
          </w:p>
        </w:tc>
        <w:tc>
          <w:tcPr>
            <w:tcW w:w="240" w:type="dxa"/>
            <w:vAlign w:val="bottom"/>
            <w:tcBorders>
              <w:bottom w:val="single" w:sz="8" w:color="62259D"/>
            </w:tcBorders>
          </w:tcPr>
          <w:p>
            <w:pPr>
              <w:spacing w:after="0"/>
              <w:rPr>
                <w:sz w:val="11"/>
                <w:szCs w:val="11"/>
                <w:color w:val="auto"/>
              </w:rPr>
            </w:pPr>
          </w:p>
        </w:tc>
        <w:tc>
          <w:tcPr>
            <w:tcW w:w="300" w:type="dxa"/>
            <w:vAlign w:val="bottom"/>
            <w:tcBorders>
              <w:bottom w:val="single" w:sz="8" w:color="62259D"/>
            </w:tcBorders>
          </w:tcPr>
          <w:p>
            <w:pPr>
              <w:spacing w:after="0"/>
              <w:rPr>
                <w:sz w:val="11"/>
                <w:szCs w:val="11"/>
                <w:color w:val="auto"/>
              </w:rPr>
            </w:pPr>
          </w:p>
        </w:tc>
        <w:tc>
          <w:tcPr>
            <w:tcW w:w="480" w:type="dxa"/>
            <w:vAlign w:val="bottom"/>
            <w:tcBorders>
              <w:bottom w:val="single" w:sz="8" w:color="62259D"/>
            </w:tcBorders>
          </w:tcPr>
          <w:p>
            <w:pPr>
              <w:spacing w:after="0"/>
              <w:rPr>
                <w:sz w:val="11"/>
                <w:szCs w:val="11"/>
                <w:color w:val="auto"/>
              </w:rPr>
            </w:pPr>
          </w:p>
        </w:tc>
        <w:tc>
          <w:tcPr>
            <w:tcW w:w="600" w:type="dxa"/>
            <w:vAlign w:val="bottom"/>
            <w:tcBorders>
              <w:bottom w:val="single" w:sz="8" w:color="62259D"/>
            </w:tcBorders>
          </w:tcPr>
          <w:p>
            <w:pPr>
              <w:spacing w:after="0"/>
              <w:rPr>
                <w:sz w:val="11"/>
                <w:szCs w:val="11"/>
                <w:color w:val="auto"/>
              </w:rPr>
            </w:pPr>
          </w:p>
        </w:tc>
        <w:tc>
          <w:tcPr>
            <w:tcW w:w="140" w:type="dxa"/>
            <w:vAlign w:val="bottom"/>
            <w:tcBorders>
              <w:bottom w:val="single" w:sz="8" w:color="62259D"/>
            </w:tcBorders>
          </w:tcPr>
          <w:p>
            <w:pPr>
              <w:spacing w:after="0"/>
              <w:rPr>
                <w:sz w:val="11"/>
                <w:szCs w:val="11"/>
                <w:color w:val="auto"/>
              </w:rPr>
            </w:pPr>
          </w:p>
        </w:tc>
        <w:tc>
          <w:tcPr>
            <w:tcW w:w="100" w:type="dxa"/>
            <w:vAlign w:val="bottom"/>
            <w:tcBorders>
              <w:bottom w:val="single" w:sz="8" w:color="62259D"/>
            </w:tcBorders>
          </w:tcPr>
          <w:p>
            <w:pPr>
              <w:spacing w:after="0"/>
              <w:rPr>
                <w:sz w:val="11"/>
                <w:szCs w:val="11"/>
                <w:color w:val="auto"/>
              </w:rPr>
            </w:pPr>
          </w:p>
        </w:tc>
        <w:tc>
          <w:tcPr>
            <w:tcW w:w="540" w:type="dxa"/>
            <w:vAlign w:val="bottom"/>
            <w:tcBorders>
              <w:bottom w:val="single" w:sz="8" w:color="62259D"/>
            </w:tcBorders>
          </w:tcPr>
          <w:p>
            <w:pPr>
              <w:spacing w:after="0"/>
              <w:rPr>
                <w:sz w:val="11"/>
                <w:szCs w:val="11"/>
                <w:color w:val="auto"/>
              </w:rPr>
            </w:pPr>
          </w:p>
        </w:tc>
        <w:tc>
          <w:tcPr>
            <w:tcW w:w="180" w:type="dxa"/>
            <w:vAlign w:val="bottom"/>
            <w:tcBorders>
              <w:bottom w:val="single" w:sz="8" w:color="62259D"/>
            </w:tcBorders>
          </w:tcPr>
          <w:p>
            <w:pPr>
              <w:spacing w:after="0"/>
              <w:rPr>
                <w:sz w:val="11"/>
                <w:szCs w:val="11"/>
                <w:color w:val="auto"/>
              </w:rPr>
            </w:pPr>
          </w:p>
        </w:tc>
        <w:tc>
          <w:tcPr>
            <w:tcW w:w="160" w:type="dxa"/>
            <w:vAlign w:val="bottom"/>
            <w:tcBorders>
              <w:bottom w:val="single" w:sz="8" w:color="62259D"/>
            </w:tcBorders>
          </w:tcPr>
          <w:p>
            <w:pPr>
              <w:spacing w:after="0"/>
              <w:rPr>
                <w:sz w:val="11"/>
                <w:szCs w:val="11"/>
                <w:color w:val="auto"/>
              </w:rPr>
            </w:pPr>
          </w:p>
        </w:tc>
        <w:tc>
          <w:tcPr>
            <w:tcW w:w="360" w:type="dxa"/>
            <w:vAlign w:val="bottom"/>
            <w:tcBorders>
              <w:bottom w:val="single" w:sz="8" w:color="62259D"/>
            </w:tcBorders>
          </w:tcPr>
          <w:p>
            <w:pPr>
              <w:spacing w:after="0"/>
              <w:rPr>
                <w:sz w:val="11"/>
                <w:szCs w:val="11"/>
                <w:color w:val="auto"/>
              </w:rPr>
            </w:pPr>
          </w:p>
        </w:tc>
        <w:tc>
          <w:tcPr>
            <w:tcW w:w="360" w:type="dxa"/>
            <w:vAlign w:val="bottom"/>
            <w:tcBorders>
              <w:bottom w:val="single" w:sz="8" w:color="62259D"/>
            </w:tcBorders>
          </w:tcPr>
          <w:p>
            <w:pPr>
              <w:spacing w:after="0"/>
              <w:rPr>
                <w:sz w:val="11"/>
                <w:szCs w:val="11"/>
                <w:color w:val="auto"/>
              </w:rPr>
            </w:pPr>
          </w:p>
        </w:tc>
        <w:tc>
          <w:tcPr>
            <w:tcW w:w="120" w:type="dxa"/>
            <w:vAlign w:val="bottom"/>
            <w:tcBorders>
              <w:bottom w:val="single" w:sz="8" w:color="62259D"/>
            </w:tcBorders>
          </w:tcPr>
          <w:p>
            <w:pPr>
              <w:spacing w:after="0"/>
              <w:rPr>
                <w:sz w:val="11"/>
                <w:szCs w:val="11"/>
                <w:color w:val="auto"/>
              </w:rPr>
            </w:pPr>
          </w:p>
        </w:tc>
        <w:tc>
          <w:tcPr>
            <w:tcW w:w="380" w:type="dxa"/>
            <w:vAlign w:val="bottom"/>
            <w:tcBorders>
              <w:bottom w:val="single" w:sz="8" w:color="62259D"/>
            </w:tcBorders>
          </w:tcPr>
          <w:p>
            <w:pPr>
              <w:spacing w:after="0"/>
              <w:rPr>
                <w:sz w:val="11"/>
                <w:szCs w:val="11"/>
                <w:color w:val="auto"/>
              </w:rPr>
            </w:pPr>
          </w:p>
        </w:tc>
        <w:tc>
          <w:tcPr>
            <w:tcW w:w="260" w:type="dxa"/>
            <w:vAlign w:val="bottom"/>
            <w:tcBorders>
              <w:bottom w:val="single" w:sz="8" w:color="62259D"/>
            </w:tcBorders>
          </w:tcPr>
          <w:p>
            <w:pPr>
              <w:spacing w:after="0"/>
              <w:rPr>
                <w:sz w:val="11"/>
                <w:szCs w:val="11"/>
                <w:color w:val="auto"/>
              </w:rPr>
            </w:pPr>
          </w:p>
        </w:tc>
        <w:tc>
          <w:tcPr>
            <w:tcW w:w="640" w:type="dxa"/>
            <w:vAlign w:val="bottom"/>
            <w:tcBorders>
              <w:bottom w:val="single" w:sz="8" w:color="62259D"/>
            </w:tcBorders>
          </w:tcPr>
          <w:p>
            <w:pPr>
              <w:spacing w:after="0"/>
              <w:rPr>
                <w:sz w:val="11"/>
                <w:szCs w:val="11"/>
                <w:color w:val="auto"/>
              </w:rPr>
            </w:pPr>
          </w:p>
        </w:tc>
        <w:tc>
          <w:tcPr>
            <w:tcW w:w="620" w:type="dxa"/>
            <w:vAlign w:val="bottom"/>
            <w:tcBorders>
              <w:bottom w:val="single" w:sz="8" w:color="62259D"/>
            </w:tcBorders>
          </w:tcPr>
          <w:p>
            <w:pPr>
              <w:spacing w:after="0"/>
              <w:rPr>
                <w:sz w:val="11"/>
                <w:szCs w:val="11"/>
                <w:color w:val="auto"/>
              </w:rPr>
            </w:pPr>
          </w:p>
        </w:tc>
        <w:tc>
          <w:tcPr>
            <w:tcW w:w="200" w:type="dxa"/>
            <w:vAlign w:val="bottom"/>
            <w:tcBorders>
              <w:bottom w:val="single" w:sz="8" w:color="62259D"/>
            </w:tcBorders>
          </w:tcPr>
          <w:p>
            <w:pPr>
              <w:spacing w:after="0"/>
              <w:rPr>
                <w:sz w:val="11"/>
                <w:szCs w:val="11"/>
                <w:color w:val="auto"/>
              </w:rPr>
            </w:pPr>
          </w:p>
        </w:tc>
        <w:tc>
          <w:tcPr>
            <w:tcW w:w="160" w:type="dxa"/>
            <w:vAlign w:val="bottom"/>
            <w:tcBorders>
              <w:bottom w:val="single" w:sz="8" w:color="62259D"/>
            </w:tcBorders>
          </w:tcPr>
          <w:p>
            <w:pPr>
              <w:spacing w:after="0"/>
              <w:rPr>
                <w:sz w:val="11"/>
                <w:szCs w:val="11"/>
                <w:color w:val="auto"/>
              </w:rPr>
            </w:pPr>
          </w:p>
        </w:tc>
        <w:tc>
          <w:tcPr>
            <w:tcW w:w="1080" w:type="dxa"/>
            <w:vAlign w:val="bottom"/>
            <w:tcBorders>
              <w:bottom w:val="single" w:sz="8" w:color="62259D"/>
            </w:tcBorders>
          </w:tcPr>
          <w:p>
            <w:pPr>
              <w:spacing w:after="0"/>
              <w:rPr>
                <w:sz w:val="11"/>
                <w:szCs w:val="11"/>
                <w:color w:val="auto"/>
              </w:rPr>
            </w:pPr>
          </w:p>
        </w:tc>
        <w:tc>
          <w:tcPr>
            <w:tcW w:w="100" w:type="dxa"/>
            <w:vAlign w:val="bottom"/>
            <w:tcBorders>
              <w:bottom w:val="single" w:sz="8" w:color="62259D"/>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ind w:left="460"/>
              <w:spacing w:after="0"/>
              <w:rPr>
                <w:sz w:val="20"/>
                <w:szCs w:val="20"/>
                <w:color w:val="auto"/>
              </w:rPr>
            </w:pPr>
            <w:r>
              <w:rPr>
                <w:rFonts w:ascii="Arial" w:cs="Arial" w:eastAsia="Arial" w:hAnsi="Arial"/>
                <w:sz w:val="14"/>
                <w:szCs w:val="14"/>
                <w:color w:val="auto"/>
              </w:rPr>
              <w:t>Committee</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Committee</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color w:val="auto"/>
              </w:rPr>
              <w:t>Chairman of</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Lead Independent</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color w:val="auto"/>
              </w:rPr>
              <w:t>Audit Committee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0" w:type="dxa"/>
            <w:vAlign w:val="bottom"/>
          </w:tcPr>
          <w:p>
            <w:pP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200" w:type="dxa"/>
            <w:vAlign w:val="bottom"/>
          </w:tcPr>
          <w:p>
            <w:pPr>
              <w:ind w:left="240"/>
              <w:spacing w:after="0"/>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xml:space="preserve"> Chair</w:t>
            </w:r>
          </w:p>
        </w:tc>
        <w:tc>
          <w:tcPr>
            <w:tcW w:w="560" w:type="dxa"/>
            <w:vAlign w:val="bottom"/>
          </w:tcPr>
          <w:p>
            <w:pPr>
              <w:ind w:left="40"/>
              <w:spacing w:after="0"/>
              <w:rPr>
                <w:sz w:val="20"/>
                <w:szCs w:val="20"/>
                <w:color w:val="auto"/>
              </w:rPr>
            </w:pPr>
            <w:r>
              <w:rPr>
                <w:rFonts w:ascii="Arial" w:cs="Arial" w:eastAsia="Arial" w:hAnsi="Arial"/>
                <w:sz w:val="14"/>
                <w:szCs w:val="14"/>
                <w:color w:val="auto"/>
              </w:rPr>
              <w:t>​  ​</w:t>
            </w:r>
          </w:p>
        </w:tc>
        <w:tc>
          <w:tcPr>
            <w:tcW w:w="240" w:type="dxa"/>
            <w:vAlign w:val="bottom"/>
          </w:tcPr>
          <w:p>
            <w:pPr>
              <w:ind w:left="60"/>
              <w:spacing w:after="0"/>
              <w:rPr>
                <w:sz w:val="20"/>
                <w:szCs w:val="20"/>
                <w:color w:val="auto"/>
              </w:rPr>
            </w:pPr>
            <w:r>
              <w:rPr>
                <w:rFonts w:ascii="Arial" w:cs="Arial" w:eastAsia="Arial" w:hAnsi="Arial"/>
                <w:sz w:val="14"/>
                <w:szCs w:val="14"/>
                <w:color w:val="auto"/>
              </w:rPr>
              <w:t>​ ​</w:t>
            </w: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Member</w:t>
            </w:r>
          </w:p>
        </w:tc>
        <w:tc>
          <w:tcPr>
            <w:tcW w:w="600" w:type="dxa"/>
            <w:vAlign w:val="bottom"/>
          </w:tcPr>
          <w:p>
            <w:pPr>
              <w:ind w:left="40"/>
              <w:spacing w:after="0"/>
              <w:rPr>
                <w:sz w:val="20"/>
                <w:szCs w:val="20"/>
                <w:color w:val="auto"/>
              </w:rPr>
            </w:pPr>
            <w:r>
              <w:rPr>
                <w:rFonts w:ascii="Arial" w:cs="Arial" w:eastAsia="Arial" w:hAnsi="Arial"/>
                <w:sz w:val="14"/>
                <w:szCs w:val="14"/>
                <w:color w:val="auto"/>
              </w:rPr>
              <w:t>​  ​</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0"/>
              <w:spacing w:after="0"/>
              <w:rPr>
                <w:sz w:val="20"/>
                <w:szCs w:val="20"/>
                <w:color w:val="auto"/>
              </w:rPr>
            </w:pPr>
            <w:r>
              <w:rPr>
                <w:rFonts w:ascii="Arial" w:cs="Arial" w:eastAsia="Arial" w:hAnsi="Arial"/>
                <w:sz w:val="14"/>
                <w:szCs w:val="14"/>
                <w:color w:val="auto"/>
              </w:rPr>
              <w:t>the Board</w:t>
            </w:r>
          </w:p>
        </w:tc>
        <w:tc>
          <w:tcPr>
            <w:tcW w:w="16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  ​</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center"/>
              <w:ind w:right="1"/>
              <w:spacing w:after="0"/>
              <w:rPr>
                <w:sz w:val="20"/>
                <w:szCs w:val="20"/>
                <w:color w:val="auto"/>
              </w:rPr>
            </w:pPr>
            <w:r>
              <w:rPr>
                <w:rFonts w:ascii="Arial" w:cs="Arial" w:eastAsia="Arial" w:hAnsi="Arial"/>
                <w:sz w:val="14"/>
                <w:szCs w:val="14"/>
                <w:color w:val="auto"/>
              </w:rPr>
              <w:t>Director</w:t>
            </w:r>
          </w:p>
        </w:tc>
        <w:tc>
          <w:tcPr>
            <w:tcW w:w="64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4"/>
                <w:szCs w:val="14"/>
                <w:color w:val="auto"/>
              </w:rPr>
              <w:t>​  ​</w:t>
            </w:r>
          </w:p>
        </w:tc>
        <w:tc>
          <w:tcPr>
            <w:tcW w:w="200" w:type="dxa"/>
            <w:vAlign w:val="bottom"/>
          </w:tcPr>
          <w:p>
            <w:pPr>
              <w:jc w:val="center"/>
              <w:spacing w:after="0"/>
              <w:rPr>
                <w:sz w:val="20"/>
                <w:szCs w:val="20"/>
                <w:color w:val="auto"/>
              </w:rPr>
            </w:pPr>
            <w:r>
              <w:rPr>
                <w:rFonts w:ascii="Arial" w:cs="Arial" w:eastAsia="Arial" w:hAnsi="Arial"/>
                <w:sz w:val="14"/>
                <w:szCs w:val="14"/>
                <w:color w:val="auto"/>
              </w:rPr>
              <w:t>​ ​</w:t>
            </w:r>
          </w:p>
        </w:tc>
        <w:tc>
          <w:tcPr>
            <w:tcW w:w="1240" w:type="dxa"/>
            <w:vAlign w:val="bottom"/>
            <w:gridSpan w:val="2"/>
          </w:tcPr>
          <w:p>
            <w:pPr>
              <w:ind w:left="40"/>
              <w:spacing w:after="0"/>
              <w:rPr>
                <w:sz w:val="20"/>
                <w:szCs w:val="20"/>
                <w:color w:val="auto"/>
              </w:rPr>
            </w:pPr>
            <w:r>
              <w:rPr>
                <w:rFonts w:ascii="Arial" w:cs="Arial" w:eastAsia="Arial" w:hAnsi="Arial"/>
                <w:sz w:val="14"/>
                <w:szCs w:val="14"/>
                <w:color w:val="auto"/>
              </w:rPr>
              <w:t>financial expert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-2647950</wp:posOffset>
            </wp:positionV>
            <wp:extent cx="317500" cy="1625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17500" cy="162560"/>
                    </a:xfrm>
                    <a:prstGeom prst="rect">
                      <a:avLst/>
                    </a:prstGeom>
                    <a:noFill/>
                  </pic:spPr>
                </pic:pic>
              </a:graphicData>
            </a:graphic>
          </wp:anchor>
        </w:drawing>
        <w:drawing>
          <wp:anchor simplePos="0" relativeHeight="251657728" behindDoc="1" locked="0" layoutInCell="0" allowOverlap="1">
            <wp:simplePos x="0" y="0"/>
            <wp:positionH relativeFrom="column">
              <wp:posOffset>1605915</wp:posOffset>
            </wp:positionH>
            <wp:positionV relativeFrom="paragraph">
              <wp:posOffset>-2364740</wp:posOffset>
            </wp:positionV>
            <wp:extent cx="137160"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-2150745</wp:posOffset>
            </wp:positionV>
            <wp:extent cx="291465" cy="1631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91465" cy="16319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-1370330</wp:posOffset>
            </wp:positionV>
            <wp:extent cx="145415" cy="128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45415" cy="128905"/>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-2604770</wp:posOffset>
            </wp:positionV>
            <wp:extent cx="111760" cy="1028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-2613660</wp:posOffset>
            </wp:positionV>
            <wp:extent cx="111760" cy="1111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-2356485</wp:posOffset>
            </wp:positionV>
            <wp:extent cx="111760" cy="1028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-2356485</wp:posOffset>
            </wp:positionV>
            <wp:extent cx="111125" cy="1117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-2373630</wp:posOffset>
            </wp:positionV>
            <wp:extent cx="137160" cy="1454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-2107565</wp:posOffset>
            </wp:positionV>
            <wp:extent cx="111760" cy="1028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-2133600</wp:posOffset>
            </wp:positionV>
            <wp:extent cx="137160" cy="146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7160" cy="146050"/>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-2116455</wp:posOffset>
            </wp:positionV>
            <wp:extent cx="111760" cy="1111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-1593215</wp:posOffset>
            </wp:positionV>
            <wp:extent cx="111760" cy="1028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-1593215</wp:posOffset>
            </wp:positionV>
            <wp:extent cx="111125" cy="1111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5720715</wp:posOffset>
            </wp:positionH>
            <wp:positionV relativeFrom="paragraph">
              <wp:posOffset>-1610360</wp:posOffset>
            </wp:positionV>
            <wp:extent cx="137160" cy="1460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7160" cy="146050"/>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-864870</wp:posOffset>
            </wp:positionV>
            <wp:extent cx="111760" cy="1028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-873125</wp:posOffset>
            </wp:positionV>
            <wp:extent cx="111125" cy="1117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-873125</wp:posOffset>
            </wp:positionV>
            <wp:extent cx="111760" cy="1117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-273050</wp:posOffset>
            </wp:positionV>
            <wp:extent cx="137160" cy="1460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37160" cy="146050"/>
                    </a:xfrm>
                    <a:prstGeom prst="rect">
                      <a:avLst/>
                    </a:prstGeom>
                    <a:noFill/>
                  </pic:spPr>
                </pic:pic>
              </a:graphicData>
            </a:graphic>
          </wp:anchor>
        </w:drawing>
        <w:drawing>
          <wp:anchor simplePos="0" relativeHeight="251657728" behindDoc="1" locked="0" layoutInCell="0" allowOverlap="1">
            <wp:simplePos x="0" y="0"/>
            <wp:positionH relativeFrom="column">
              <wp:posOffset>1665605</wp:posOffset>
            </wp:positionH>
            <wp:positionV relativeFrom="paragraph">
              <wp:posOffset>-255905</wp:posOffset>
            </wp:positionV>
            <wp:extent cx="111125" cy="1111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-264795</wp:posOffset>
            </wp:positionV>
            <wp:extent cx="146050" cy="1289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-264795</wp:posOffset>
            </wp:positionV>
            <wp:extent cx="137160"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-281940</wp:posOffset>
            </wp:positionV>
            <wp:extent cx="128905" cy="1631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8905" cy="163195"/>
                    </a:xfrm>
                    <a:prstGeom prst="rect">
                      <a:avLst/>
                    </a:prstGeom>
                    <a:noFill/>
                  </pic:spPr>
                </pic:pic>
              </a:graphicData>
            </a:graphic>
          </wp:anchor>
        </w:drawing>
      </w:r>
    </w:p>
    <w:p>
      <w:pPr>
        <w:ind w:left="920" w:right="199"/>
        <w:spacing w:after="0" w:line="226" w:lineRule="auto"/>
        <w:rPr>
          <w:sz w:val="20"/>
          <w:szCs w:val="20"/>
          <w:color w:val="auto"/>
        </w:rPr>
      </w:pPr>
      <w:r>
        <w:rPr>
          <w:rFonts w:ascii="Arial" w:cs="Arial" w:eastAsia="Arial" w:hAnsi="Arial"/>
          <w:sz w:val="18"/>
          <w:szCs w:val="18"/>
          <w:color w:val="auto"/>
        </w:rPr>
        <w:t>Under the Stockholders Agreement and subject to the Company’s obligation to comply with any applicable independence requirements under the Nasdaq rules and the rules of the SEC, or unless waived by the</w:t>
      </w:r>
    </w:p>
    <w:p>
      <w:pPr>
        <w:spacing w:after="0" w:line="2" w:lineRule="exact"/>
        <w:rPr>
          <w:sz w:val="20"/>
          <w:szCs w:val="20"/>
          <w:color w:val="auto"/>
        </w:rPr>
      </w:pPr>
    </w:p>
    <w:p>
      <w:pPr>
        <w:ind w:left="920" w:right="159"/>
        <w:spacing w:after="0" w:line="237" w:lineRule="auto"/>
        <w:rPr>
          <w:sz w:val="20"/>
          <w:szCs w:val="20"/>
          <w:color w:val="auto"/>
        </w:rPr>
      </w:pPr>
      <w:r>
        <w:rPr>
          <w:rFonts w:ascii="Arial" w:cs="Arial" w:eastAsia="Arial" w:hAnsi="Arial"/>
          <w:sz w:val="18"/>
          <w:szCs w:val="18"/>
          <w:color w:val="auto"/>
        </w:rPr>
        <w:t>JPM Stockholders, for so long as the JPM Stockholders have the right to nominate at least two directors to the Board:</w:t>
      </w:r>
    </w:p>
    <w:p>
      <w:pPr>
        <w:spacing w:after="0" w:line="127" w:lineRule="exact"/>
        <w:rPr>
          <w:sz w:val="20"/>
          <w:szCs w:val="20"/>
          <w:color w:val="auto"/>
        </w:rPr>
      </w:pPr>
    </w:p>
    <w:p>
      <w:pPr>
        <w:ind w:left="1640" w:right="339" w:hanging="356"/>
        <w:spacing w:after="0" w:line="253" w:lineRule="auto"/>
        <w:tabs>
          <w:tab w:leader="none" w:pos="1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Nominating, Sustainability and Corporate Governance Committee will be comprised of three “independent directors” under the Stockholders Agreement, at least one of whom must be a designee of JPM Stockholders;</w:t>
      </w:r>
    </w:p>
    <w:p>
      <w:pPr>
        <w:spacing w:after="0" w:line="169"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1640" w:right="579" w:hanging="356"/>
        <w:spacing w:after="0" w:line="271" w:lineRule="auto"/>
        <w:tabs>
          <w:tab w:leader="none" w:pos="1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designee of the JPM Stockholders must be the Chairman of each of the Nominating, Sustainability and Corporate Governance Committee and the Compensation Committee; and</w:t>
      </w:r>
    </w:p>
    <w:p>
      <w:pPr>
        <w:spacing w:after="0" w:line="86" w:lineRule="exact"/>
        <w:rPr>
          <w:rFonts w:ascii="Arial" w:cs="Arial" w:eastAsia="Arial" w:hAnsi="Arial"/>
          <w:sz w:val="18"/>
          <w:szCs w:val="18"/>
          <w:color w:val="auto"/>
        </w:rPr>
      </w:pPr>
    </w:p>
    <w:p>
      <w:pPr>
        <w:ind w:left="1640" w:right="659" w:hanging="356"/>
        <w:spacing w:after="0" w:line="287" w:lineRule="auto"/>
        <w:tabs>
          <w:tab w:leader="none" w:pos="1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only in the case that Swarth does not have the right to nominate at least two directors to the Board, a designee of the JPM Stockholders must be the Chairman of the Audit Committee.</w:t>
      </w:r>
    </w:p>
    <w:p>
      <w:pPr>
        <w:spacing w:after="0" w:line="72" w:lineRule="exact"/>
        <w:rPr>
          <w:sz w:val="20"/>
          <w:szCs w:val="20"/>
          <w:color w:val="auto"/>
        </w:rPr>
      </w:pPr>
    </w:p>
    <w:p>
      <w:pPr>
        <w:ind w:left="920" w:right="159"/>
        <w:spacing w:after="0" w:line="253" w:lineRule="auto"/>
        <w:rPr>
          <w:sz w:val="20"/>
          <w:szCs w:val="20"/>
          <w:color w:val="auto"/>
        </w:rPr>
      </w:pPr>
      <w:r>
        <w:rPr>
          <w:rFonts w:ascii="Arial" w:cs="Arial" w:eastAsia="Arial" w:hAnsi="Arial"/>
          <w:sz w:val="18"/>
          <w:szCs w:val="18"/>
          <w:color w:val="auto"/>
        </w:rPr>
        <w:t>Also under the Stockholders Agreement and subject to the Company’s obligation to comply with any applicable independence requirements under the Nasdaq rules and the rules of the SEC, or unless waived by Swarth, for so long as Swarth has the right to nominate at least two directors to the Board:</w:t>
      </w:r>
    </w:p>
    <w:p>
      <w:pPr>
        <w:spacing w:after="0" w:line="101" w:lineRule="exact"/>
        <w:rPr>
          <w:sz w:val="20"/>
          <w:szCs w:val="20"/>
          <w:color w:val="auto"/>
        </w:rPr>
      </w:pPr>
    </w:p>
    <w:p>
      <w:pPr>
        <w:ind w:left="1640" w:right="199" w:hanging="356"/>
        <w:spacing w:after="0" w:line="261" w:lineRule="auto"/>
        <w:tabs>
          <w:tab w:leader="none" w:pos="1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Nominating, Sustainability and Corporate Governance Committee must be comprised of three “independent directors” under the Stockholders Agreement, at least one of whom must be a designee of Swarth,</w:t>
      </w:r>
    </w:p>
    <w:p>
      <w:pPr>
        <w:spacing w:after="0" w:line="94" w:lineRule="exact"/>
        <w:rPr>
          <w:rFonts w:ascii="Arial" w:cs="Arial" w:eastAsia="Arial" w:hAnsi="Arial"/>
          <w:sz w:val="18"/>
          <w:szCs w:val="18"/>
          <w:color w:val="auto"/>
        </w:rPr>
      </w:pPr>
    </w:p>
    <w:p>
      <w:pPr>
        <w:ind w:left="1640" w:hanging="356"/>
        <w:spacing w:after="0"/>
        <w:tabs>
          <w:tab w:leader="none" w:pos="1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designee of Swarth must be the Chairman of the Audit Committee; and</w:t>
      </w:r>
    </w:p>
    <w:p>
      <w:pPr>
        <w:spacing w:after="0" w:line="144" w:lineRule="exact"/>
        <w:rPr>
          <w:rFonts w:ascii="Arial" w:cs="Arial" w:eastAsia="Arial" w:hAnsi="Arial"/>
          <w:sz w:val="18"/>
          <w:szCs w:val="18"/>
          <w:color w:val="auto"/>
        </w:rPr>
      </w:pPr>
    </w:p>
    <w:p>
      <w:pPr>
        <w:ind w:left="1640" w:right="139" w:hanging="356"/>
        <w:spacing w:after="0" w:line="261" w:lineRule="auto"/>
        <w:tabs>
          <w:tab w:leader="none" w:pos="1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only in the case that the JPM Stockholders do not have the right to nominate at least two directors to the Board, a designee of Swarth must be the Chairman of each of the Nominating, Sustainability and Corporate Governance Committee and the Compensation Committee.</w:t>
      </w:r>
    </w:p>
    <w:p>
      <w:pPr>
        <w:spacing w:after="0" w:line="94" w:lineRule="exact"/>
        <w:rPr>
          <w:sz w:val="20"/>
          <w:szCs w:val="20"/>
          <w:color w:val="auto"/>
        </w:rPr>
      </w:pPr>
    </w:p>
    <w:p>
      <w:pPr>
        <w:ind w:left="920" w:right="99"/>
        <w:spacing w:after="0" w:line="253" w:lineRule="auto"/>
        <w:rPr>
          <w:sz w:val="20"/>
          <w:szCs w:val="20"/>
          <w:color w:val="auto"/>
        </w:rPr>
      </w:pPr>
      <w:r>
        <w:rPr>
          <w:rFonts w:ascii="Arial" w:cs="Arial" w:eastAsia="Arial" w:hAnsi="Arial"/>
          <w:sz w:val="18"/>
          <w:szCs w:val="18"/>
          <w:color w:val="auto"/>
        </w:rPr>
        <w:t>The Nominating, Sustainability and Corporate Governance Committee determines the size and membership of each of the Audit Committee, the Compensation Committee, the Technology and Innovation Committee and all other committees established by the Board, provided that:</w:t>
      </w:r>
    </w:p>
    <w:p>
      <w:pPr>
        <w:spacing w:after="0" w:line="101" w:lineRule="exact"/>
        <w:rPr>
          <w:sz w:val="20"/>
          <w:szCs w:val="20"/>
          <w:color w:val="auto"/>
        </w:rPr>
      </w:pPr>
    </w:p>
    <w:p>
      <w:pPr>
        <w:ind w:left="1640" w:hanging="356"/>
        <w:spacing w:after="0"/>
        <w:tabs>
          <w:tab w:leader="none" w:pos="1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such determination will comply with mandatory legal and listing requirements;</w:t>
      </w:r>
    </w:p>
    <w:p>
      <w:pPr>
        <w:spacing w:after="0" w:line="144" w:lineRule="exact"/>
        <w:rPr>
          <w:rFonts w:ascii="Arial" w:cs="Arial" w:eastAsia="Arial" w:hAnsi="Arial"/>
          <w:sz w:val="18"/>
          <w:szCs w:val="18"/>
          <w:color w:val="auto"/>
        </w:rPr>
      </w:pPr>
    </w:p>
    <w:p>
      <w:pPr>
        <w:ind w:left="1640" w:right="159" w:hanging="356"/>
        <w:spacing w:after="0" w:line="261" w:lineRule="auto"/>
        <w:tabs>
          <w:tab w:leader="none" w:pos="1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as long as the JPM Stockholders have the right to nominate at least one director to the Board who is eligible to serve on such committee, at least one member of each such committee will be a designee of the JPM Stockholders; and</w:t>
      </w:r>
    </w:p>
    <w:p>
      <w:pPr>
        <w:spacing w:after="0" w:line="94" w:lineRule="exact"/>
        <w:rPr>
          <w:rFonts w:ascii="Arial" w:cs="Arial" w:eastAsia="Arial" w:hAnsi="Arial"/>
          <w:sz w:val="18"/>
          <w:szCs w:val="18"/>
          <w:color w:val="auto"/>
        </w:rPr>
      </w:pPr>
    </w:p>
    <w:p>
      <w:pPr>
        <w:ind w:left="1640" w:right="159" w:hanging="356"/>
        <w:spacing w:after="0" w:line="253" w:lineRule="auto"/>
        <w:tabs>
          <w:tab w:leader="none" w:pos="1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so long as Swarth has the right to nominate at least one director to the Board who is eligible to serve on such committee, at least one member of each such committee must be a designee of Swarth.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20</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0" w:lineRule="exact"/>
        <w:rPr>
          <w:sz w:val="20"/>
          <w:szCs w:val="20"/>
          <w:color w:val="auto"/>
        </w:rPr>
      </w:pPr>
    </w:p>
    <w:p>
      <w:pPr>
        <w:spacing w:after="0" w:line="240" w:lineRule="exact"/>
        <w:rPr>
          <w:sz w:val="20"/>
          <w:szCs w:val="20"/>
          <w:color w:val="auto"/>
        </w:rPr>
      </w:pPr>
    </w:p>
    <w:tbl>
      <w:tblPr>
        <w:tblLayout w:type="fixed"/>
        <w:tblInd w:w="920" w:type="dxa"/>
        <w:tblCellMar>
          <w:top w:w="0" w:type="dxa"/>
          <w:left w:w="0" w:type="dxa"/>
          <w:bottom w:w="0" w:type="dxa"/>
          <w:right w:w="0" w:type="dxa"/>
        </w:tblCellMar>
      </w:tblPr>
      <w:tr>
        <w:trPr>
          <w:trHeight w:val="344"/>
        </w:trPr>
        <w:tc>
          <w:tcPr>
            <w:tcW w:w="120" w:type="dxa"/>
            <w:vAlign w:val="bottom"/>
            <w:tcBorders>
              <w:bottom w:val="single" w:sz="8" w:color="E7417A"/>
            </w:tcBorders>
            <w:shd w:val="clear" w:color="auto" w:fill="E7417A"/>
          </w:tcPr>
          <w:p>
            <w:pPr>
              <w:spacing w:after="0"/>
              <w:rPr>
                <w:sz w:val="20"/>
                <w:szCs w:val="20"/>
                <w:color w:val="auto"/>
              </w:rPr>
            </w:pPr>
            <w:r>
              <w:rPr>
                <w:rFonts w:ascii="Arial" w:cs="Arial" w:eastAsia="Arial" w:hAnsi="Arial"/>
                <w:sz w:val="21"/>
                <w:szCs w:val="21"/>
                <w:b w:val="1"/>
                <w:bCs w:val="1"/>
                <w:color w:val="FEFEFE"/>
              </w:rPr>
              <w:t>​</w:t>
            </w:r>
          </w:p>
        </w:tc>
        <w:tc>
          <w:tcPr>
            <w:tcW w:w="2540" w:type="dxa"/>
            <w:vAlign w:val="bottom"/>
            <w:tcBorders>
              <w:bottom w:val="single" w:sz="8" w:color="E7417A"/>
            </w:tcBorders>
            <w:shd w:val="clear" w:color="auto" w:fill="E7417A"/>
          </w:tcPr>
          <w:p>
            <w:pPr>
              <w:ind w:left="100"/>
              <w:spacing w:after="0"/>
              <w:rPr>
                <w:sz w:val="20"/>
                <w:szCs w:val="20"/>
                <w:color w:val="auto"/>
              </w:rPr>
            </w:pPr>
            <w:r>
              <w:rPr>
                <w:rFonts w:ascii="Arial" w:cs="Arial" w:eastAsia="Arial" w:hAnsi="Arial"/>
                <w:sz w:val="21"/>
                <w:szCs w:val="21"/>
                <w:b w:val="1"/>
                <w:bCs w:val="1"/>
                <w:color w:val="FEFEFE"/>
              </w:rPr>
              <w:t>AUDIT COMMITTEE</w:t>
            </w:r>
          </w:p>
        </w:tc>
        <w:tc>
          <w:tcPr>
            <w:tcW w:w="2000" w:type="dxa"/>
            <w:vAlign w:val="bottom"/>
            <w:tcBorders>
              <w:bottom w:val="single" w:sz="8" w:color="E7417A"/>
            </w:tcBorders>
            <w:shd w:val="clear" w:color="auto" w:fill="E7417A"/>
          </w:tcPr>
          <w:p>
            <w:pPr>
              <w:spacing w:after="0"/>
              <w:rPr>
                <w:sz w:val="24"/>
                <w:szCs w:val="24"/>
                <w:color w:val="auto"/>
              </w:rPr>
            </w:pPr>
          </w:p>
        </w:tc>
        <w:tc>
          <w:tcPr>
            <w:tcW w:w="3980" w:type="dxa"/>
            <w:vAlign w:val="bottom"/>
            <w:tcBorders>
              <w:bottom w:val="single" w:sz="8" w:color="E7417A"/>
            </w:tcBorders>
            <w:shd w:val="clear" w:color="auto" w:fill="E7417A"/>
          </w:tcPr>
          <w:p>
            <w:pPr>
              <w:ind w:left="1060"/>
              <w:spacing w:after="0"/>
              <w:rPr>
                <w:sz w:val="20"/>
                <w:szCs w:val="20"/>
                <w:color w:val="auto"/>
              </w:rPr>
            </w:pPr>
            <w:r>
              <w:rPr>
                <w:rFonts w:ascii="Arial" w:cs="Arial" w:eastAsia="Arial" w:hAnsi="Arial"/>
                <w:sz w:val="21"/>
                <w:szCs w:val="21"/>
                <w:b w:val="1"/>
                <w:bCs w:val="1"/>
                <w:color w:val="FEFEFE"/>
              </w:rPr>
              <w:t>​ ​</w:t>
            </w:r>
          </w:p>
        </w:tc>
        <w:tc>
          <w:tcPr>
            <w:tcW w:w="220" w:type="dxa"/>
            <w:vAlign w:val="bottom"/>
            <w:tcBorders>
              <w:bottom w:val="single" w:sz="8" w:color="E7417A"/>
            </w:tcBorders>
            <w:shd w:val="clear" w:color="auto" w:fill="E7417A"/>
          </w:tcPr>
          <w:p>
            <w:pPr>
              <w:spacing w:after="0"/>
              <w:rPr>
                <w:sz w:val="20"/>
                <w:szCs w:val="20"/>
                <w:color w:val="auto"/>
              </w:rPr>
            </w:pPr>
            <w:r>
              <w:rPr>
                <w:rFonts w:ascii="Arial" w:cs="Arial" w:eastAsia="Arial" w:hAnsi="Arial"/>
                <w:sz w:val="21"/>
                <w:szCs w:val="21"/>
                <w:b w:val="1"/>
                <w:bCs w:val="1"/>
                <w:color w:val="FEFEFE"/>
              </w:rPr>
              <w:t>​</w:t>
            </w:r>
          </w:p>
        </w:tc>
        <w:tc>
          <w:tcPr>
            <w:tcW w:w="0" w:type="dxa"/>
            <w:vAlign w:val="bottom"/>
          </w:tcPr>
          <w:p>
            <w:pPr>
              <w:spacing w:after="0"/>
              <w:rPr>
                <w:sz w:val="1"/>
                <w:szCs w:val="1"/>
                <w:color w:val="auto"/>
              </w:rPr>
            </w:pPr>
          </w:p>
        </w:tc>
      </w:tr>
      <w:tr>
        <w:trPr>
          <w:trHeight w:val="242"/>
        </w:trPr>
        <w:tc>
          <w:tcPr>
            <w:tcW w:w="12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2540" w:type="dxa"/>
            <w:vAlign w:val="bottom"/>
            <w:shd w:val="clear" w:color="auto" w:fill="F2F2F2"/>
          </w:tcPr>
          <w:p>
            <w:pPr>
              <w:spacing w:after="0"/>
              <w:rPr>
                <w:sz w:val="20"/>
                <w:szCs w:val="20"/>
                <w:color w:val="auto"/>
              </w:rPr>
            </w:pPr>
            <w:r>
              <w:rPr>
                <w:rFonts w:ascii="Arial" w:cs="Arial" w:eastAsia="Arial" w:hAnsi="Arial"/>
                <w:sz w:val="16"/>
                <w:szCs w:val="16"/>
                <w:b w:val="1"/>
                <w:bCs w:val="1"/>
                <w:color w:val="62259D"/>
              </w:rPr>
              <w:t>CURRENT COMMITTEE</w:t>
            </w:r>
          </w:p>
        </w:tc>
        <w:tc>
          <w:tcPr>
            <w:tcW w:w="2000" w:type="dxa"/>
            <w:vAlign w:val="bottom"/>
            <w:shd w:val="clear" w:color="auto" w:fill="F2F2F2"/>
          </w:tcPr>
          <w:p>
            <w:pPr>
              <w:ind w:left="160"/>
              <w:spacing w:after="0"/>
              <w:rPr>
                <w:sz w:val="20"/>
                <w:szCs w:val="20"/>
                <w:color w:val="auto"/>
              </w:rPr>
            </w:pPr>
            <w:r>
              <w:rPr>
                <w:rFonts w:ascii="Arial" w:cs="Arial" w:eastAsia="Arial" w:hAnsi="Arial"/>
                <w:sz w:val="16"/>
                <w:szCs w:val="16"/>
                <w:color w:val="auto"/>
              </w:rPr>
              <w:t>​ ​</w:t>
            </w:r>
          </w:p>
        </w:tc>
        <w:tc>
          <w:tcPr>
            <w:tcW w:w="3980" w:type="dxa"/>
            <w:vAlign w:val="bottom"/>
            <w:vMerge w:val="restart"/>
            <w:shd w:val="clear" w:color="auto" w:fill="F2F2F2"/>
          </w:tcPr>
          <w:p>
            <w:pPr>
              <w:ind w:left="20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All members of the committee are independent</w:t>
            </w:r>
          </w:p>
        </w:tc>
        <w:tc>
          <w:tcPr>
            <w:tcW w:w="22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20" w:type="dxa"/>
            <w:vAlign w:val="bottom"/>
            <w:shd w:val="clear" w:color="auto" w:fill="F2F2F2"/>
          </w:tcPr>
          <w:p>
            <w:pPr>
              <w:spacing w:after="0"/>
              <w:rPr>
                <w:sz w:val="9"/>
                <w:szCs w:val="9"/>
                <w:color w:val="auto"/>
              </w:rPr>
            </w:pPr>
          </w:p>
        </w:tc>
        <w:tc>
          <w:tcPr>
            <w:tcW w:w="2540" w:type="dxa"/>
            <w:vAlign w:val="bottom"/>
            <w:vMerge w:val="restart"/>
            <w:shd w:val="clear" w:color="auto" w:fill="F2F2F2"/>
          </w:tcPr>
          <w:p>
            <w:pPr>
              <w:spacing w:after="0"/>
              <w:rPr>
                <w:sz w:val="20"/>
                <w:szCs w:val="20"/>
                <w:color w:val="auto"/>
              </w:rPr>
            </w:pPr>
            <w:r>
              <w:rPr>
                <w:rFonts w:ascii="Arial" w:cs="Arial" w:eastAsia="Arial" w:hAnsi="Arial"/>
                <w:sz w:val="16"/>
                <w:szCs w:val="16"/>
                <w:b w:val="1"/>
                <w:bCs w:val="1"/>
                <w:color w:val="62259D"/>
              </w:rPr>
              <w:t>MEMBERS</w:t>
            </w:r>
          </w:p>
        </w:tc>
        <w:tc>
          <w:tcPr>
            <w:tcW w:w="2000" w:type="dxa"/>
            <w:vAlign w:val="bottom"/>
            <w:shd w:val="clear" w:color="auto" w:fill="F2F2F2"/>
          </w:tcPr>
          <w:p>
            <w:pPr>
              <w:spacing w:after="0"/>
              <w:rPr>
                <w:sz w:val="9"/>
                <w:szCs w:val="9"/>
                <w:color w:val="auto"/>
              </w:rPr>
            </w:pPr>
          </w:p>
        </w:tc>
        <w:tc>
          <w:tcPr>
            <w:tcW w:w="3980" w:type="dxa"/>
            <w:vAlign w:val="bottom"/>
            <w:vMerge w:val="continue"/>
            <w:shd w:val="clear" w:color="auto" w:fill="F2F2F2"/>
          </w:tcPr>
          <w:p>
            <w:pPr>
              <w:spacing w:after="0"/>
              <w:rPr>
                <w:sz w:val="9"/>
                <w:szCs w:val="9"/>
                <w:color w:val="auto"/>
              </w:rPr>
            </w:pPr>
          </w:p>
        </w:tc>
        <w:tc>
          <w:tcPr>
            <w:tcW w:w="22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20" w:type="dxa"/>
            <w:vAlign w:val="bottom"/>
            <w:vMerge w:val="restart"/>
            <w:shd w:val="clear" w:color="auto" w:fill="F2F2F2"/>
          </w:tcPr>
          <w:p>
            <w:pPr>
              <w:spacing w:after="0"/>
              <w:rPr>
                <w:sz w:val="20"/>
                <w:szCs w:val="20"/>
                <w:color w:val="auto"/>
              </w:rPr>
            </w:pPr>
            <w:r>
              <w:rPr>
                <w:rFonts w:ascii="Arial" w:cs="Arial" w:eastAsia="Arial" w:hAnsi="Arial"/>
                <w:sz w:val="16"/>
                <w:szCs w:val="16"/>
                <w:color w:val="auto"/>
              </w:rPr>
              <w:t>​</w:t>
            </w:r>
          </w:p>
        </w:tc>
        <w:tc>
          <w:tcPr>
            <w:tcW w:w="2540" w:type="dxa"/>
            <w:vAlign w:val="bottom"/>
            <w:vMerge w:val="continue"/>
            <w:shd w:val="clear" w:color="auto" w:fill="F2F2F2"/>
          </w:tcPr>
          <w:p>
            <w:pPr>
              <w:spacing w:after="0"/>
              <w:rPr>
                <w:sz w:val="8"/>
                <w:szCs w:val="8"/>
                <w:color w:val="auto"/>
              </w:rPr>
            </w:pPr>
          </w:p>
        </w:tc>
        <w:tc>
          <w:tcPr>
            <w:tcW w:w="2000" w:type="dxa"/>
            <w:vAlign w:val="bottom"/>
            <w:vMerge w:val="restart"/>
            <w:shd w:val="clear" w:color="auto" w:fill="F2F2F2"/>
          </w:tcPr>
          <w:p>
            <w:pPr>
              <w:ind w:left="16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62259D"/>
              </w:rPr>
              <w:t>■</w:t>
            </w:r>
            <w:r>
              <w:rPr>
                <w:rFonts w:ascii="Arial" w:cs="Arial" w:eastAsia="Arial" w:hAnsi="Arial"/>
                <w:sz w:val="16"/>
                <w:szCs w:val="16"/>
                <w:color w:val="auto"/>
              </w:rPr>
              <w:t xml:space="preserve"> Beatriz V. Infante</w:t>
            </w:r>
          </w:p>
        </w:tc>
        <w:tc>
          <w:tcPr>
            <w:tcW w:w="3980" w:type="dxa"/>
            <w:vAlign w:val="bottom"/>
            <w:vMerge w:val="restart"/>
            <w:shd w:val="clear" w:color="auto" w:fill="F2F2F2"/>
          </w:tcPr>
          <w:p>
            <w:pPr>
              <w:ind w:left="106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62259D"/>
              </w:rPr>
              <w:t>■</w:t>
            </w:r>
            <w:r>
              <w:rPr>
                <w:rFonts w:ascii="Arial" w:cs="Arial" w:eastAsia="Arial" w:hAnsi="Arial"/>
                <w:sz w:val="16"/>
                <w:szCs w:val="16"/>
                <w:color w:val="auto"/>
              </w:rPr>
              <w:t xml:space="preserve"> Scott Mair</w:t>
            </w:r>
          </w:p>
        </w:tc>
        <w:tc>
          <w:tcPr>
            <w:tcW w:w="220" w:type="dxa"/>
            <w:vAlign w:val="bottom"/>
            <w:vMerge w:val="restart"/>
            <w:shd w:val="clear" w:color="auto" w:fill="F2F2F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20" w:type="dxa"/>
            <w:vAlign w:val="bottom"/>
            <w:vMerge w:val="continue"/>
            <w:shd w:val="clear" w:color="auto" w:fill="F2F2F2"/>
          </w:tcPr>
          <w:p>
            <w:pPr>
              <w:spacing w:after="0"/>
              <w:rPr>
                <w:sz w:val="18"/>
                <w:szCs w:val="18"/>
                <w:color w:val="auto"/>
              </w:rPr>
            </w:pPr>
          </w:p>
        </w:tc>
        <w:tc>
          <w:tcPr>
            <w:tcW w:w="2540" w:type="dxa"/>
            <w:vAlign w:val="bottom"/>
            <w:shd w:val="clear" w:color="auto" w:fill="F2F2F2"/>
          </w:tcPr>
          <w:p>
            <w:pPr>
              <w:ind w:left="16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R. Stewart Ewing, Jr.,</w:t>
            </w:r>
            <w:r>
              <w:rPr>
                <w:rFonts w:ascii="Arial" w:cs="Arial" w:eastAsia="Arial" w:hAnsi="Arial"/>
                <w:sz w:val="16"/>
                <w:szCs w:val="16"/>
                <w:color w:val="62259D"/>
              </w:rPr>
              <w:t xml:space="preserve"> </w:t>
            </w:r>
            <w:r>
              <w:rPr>
                <w:rFonts w:ascii="Arial" w:cs="Arial" w:eastAsia="Arial" w:hAnsi="Arial"/>
                <w:sz w:val="16"/>
                <w:szCs w:val="16"/>
                <w:i w:val="1"/>
                <w:iCs w:val="1"/>
                <w:color w:val="000000"/>
              </w:rPr>
              <w:t>Chair</w:t>
            </w:r>
          </w:p>
        </w:tc>
        <w:tc>
          <w:tcPr>
            <w:tcW w:w="2000" w:type="dxa"/>
            <w:vAlign w:val="bottom"/>
            <w:vMerge w:val="continue"/>
            <w:shd w:val="clear" w:color="auto" w:fill="F2F2F2"/>
          </w:tcPr>
          <w:p>
            <w:pPr>
              <w:spacing w:after="0"/>
              <w:rPr>
                <w:sz w:val="18"/>
                <w:szCs w:val="18"/>
                <w:color w:val="auto"/>
              </w:rPr>
            </w:pPr>
          </w:p>
        </w:tc>
        <w:tc>
          <w:tcPr>
            <w:tcW w:w="3980" w:type="dxa"/>
            <w:vAlign w:val="bottom"/>
            <w:vMerge w:val="continue"/>
            <w:shd w:val="clear" w:color="auto" w:fill="F2F2F2"/>
          </w:tcPr>
          <w:p>
            <w:pPr>
              <w:spacing w:after="0"/>
              <w:rPr>
                <w:sz w:val="18"/>
                <w:szCs w:val="18"/>
                <w:color w:val="auto"/>
              </w:rPr>
            </w:pPr>
          </w:p>
        </w:tc>
        <w:tc>
          <w:tcPr>
            <w:tcW w:w="220" w:type="dxa"/>
            <w:vAlign w:val="bottom"/>
            <w:vMerge w:val="continue"/>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20" w:type="dxa"/>
            <w:vAlign w:val="bottom"/>
            <w:shd w:val="clear" w:color="auto" w:fill="F2F2F2"/>
          </w:tcPr>
          <w:p>
            <w:pPr>
              <w:spacing w:after="0"/>
              <w:rPr>
                <w:sz w:val="4"/>
                <w:szCs w:val="4"/>
                <w:color w:val="auto"/>
              </w:rPr>
            </w:pPr>
          </w:p>
        </w:tc>
        <w:tc>
          <w:tcPr>
            <w:tcW w:w="2540" w:type="dxa"/>
            <w:vAlign w:val="bottom"/>
            <w:shd w:val="clear" w:color="auto" w:fill="F2F2F2"/>
          </w:tcPr>
          <w:p>
            <w:pPr>
              <w:spacing w:after="0"/>
              <w:rPr>
                <w:sz w:val="4"/>
                <w:szCs w:val="4"/>
                <w:color w:val="auto"/>
              </w:rPr>
            </w:pPr>
          </w:p>
        </w:tc>
        <w:tc>
          <w:tcPr>
            <w:tcW w:w="2000" w:type="dxa"/>
            <w:vAlign w:val="bottom"/>
            <w:shd w:val="clear" w:color="auto" w:fill="F2F2F2"/>
          </w:tcPr>
          <w:p>
            <w:pPr>
              <w:spacing w:after="0"/>
              <w:rPr>
                <w:sz w:val="4"/>
                <w:szCs w:val="4"/>
                <w:color w:val="auto"/>
              </w:rPr>
            </w:pPr>
          </w:p>
        </w:tc>
        <w:tc>
          <w:tcPr>
            <w:tcW w:w="3980" w:type="dxa"/>
            <w:vAlign w:val="bottom"/>
            <w:shd w:val="clear" w:color="auto" w:fill="F2F2F2"/>
          </w:tcPr>
          <w:p>
            <w:pPr>
              <w:spacing w:after="0"/>
              <w:rPr>
                <w:sz w:val="4"/>
                <w:szCs w:val="4"/>
                <w:color w:val="auto"/>
              </w:rPr>
            </w:pPr>
          </w:p>
        </w:tc>
        <w:tc>
          <w:tcPr>
            <w:tcW w:w="22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3568700</wp:posOffset>
            </wp:positionH>
            <wp:positionV relativeFrom="paragraph">
              <wp:posOffset>-368300</wp:posOffset>
            </wp:positionV>
            <wp:extent cx="111125" cy="1028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57" w:lineRule="exact"/>
        <w:rPr>
          <w:sz w:val="20"/>
          <w:szCs w:val="20"/>
          <w:color w:val="auto"/>
        </w:rPr>
      </w:pPr>
    </w:p>
    <w:p>
      <w:pPr>
        <w:ind w:left="1040" w:hanging="116"/>
        <w:spacing w:after="0"/>
        <w:tabs>
          <w:tab w:leader="none" w:pos="104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62259D"/>
        </w:rPr>
        <w:t>KEY RESPONSIBILITIES</w:t>
      </w:r>
    </w:p>
    <w:p>
      <w:pPr>
        <w:spacing w:after="0" w:line="34" w:lineRule="exact"/>
        <w:rPr>
          <w:rFonts w:ascii="Arial" w:cs="Arial" w:eastAsia="Arial" w:hAnsi="Arial"/>
          <w:sz w:val="16"/>
          <w:szCs w:val="16"/>
          <w:color w:val="auto"/>
        </w:rPr>
      </w:pPr>
    </w:p>
    <w:p>
      <w:pPr>
        <w:ind w:left="1040" w:right="60"/>
        <w:spacing w:after="0" w:line="259" w:lineRule="auto"/>
        <w:rPr>
          <w:rFonts w:ascii="Arial" w:cs="Arial" w:eastAsia="Arial" w:hAnsi="Arial"/>
          <w:sz w:val="16"/>
          <w:szCs w:val="16"/>
          <w:color w:val="auto"/>
        </w:rPr>
      </w:pPr>
      <w:r>
        <w:rPr>
          <w:rFonts w:ascii="Arial" w:cs="Arial" w:eastAsia="Arial" w:hAnsi="Arial"/>
          <w:sz w:val="16"/>
          <w:szCs w:val="16"/>
          <w:color w:val="auto"/>
        </w:rPr>
        <w:t>As described more fully in its charter, the Audit Committee’s responsibilities include, among other things:</w:t>
      </w:r>
    </w:p>
    <w:p>
      <w:pPr>
        <w:spacing w:after="0" w:line="21" w:lineRule="exact"/>
        <w:rPr>
          <w:rFonts w:ascii="Arial" w:cs="Arial" w:eastAsia="Arial" w:hAnsi="Arial"/>
          <w:sz w:val="16"/>
          <w:szCs w:val="16"/>
          <w:color w:val="auto"/>
        </w:rPr>
      </w:pPr>
    </w:p>
    <w:p>
      <w:pPr>
        <w:ind w:left="1340" w:hanging="308"/>
        <w:spacing w:after="0" w:line="234" w:lineRule="auto"/>
        <w:tabs>
          <w:tab w:leader="none" w:pos="134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appointing, evaluating, retaining, compensating or setting the compensation of, and overseeing the work of and, if appropriate, terminating the appointment of the independent auditor;</w:t>
      </w:r>
    </w:p>
    <w:p>
      <w:pPr>
        <w:spacing w:after="0" w:line="38" w:lineRule="exact"/>
        <w:rPr>
          <w:rFonts w:ascii="Arial" w:cs="Arial" w:eastAsia="Arial" w:hAnsi="Arial"/>
          <w:sz w:val="16"/>
          <w:szCs w:val="16"/>
          <w:color w:val="auto"/>
        </w:rPr>
      </w:pPr>
    </w:p>
    <w:p>
      <w:pPr>
        <w:ind w:left="1340" w:right="20" w:hanging="308"/>
        <w:spacing w:after="0" w:line="229" w:lineRule="auto"/>
        <w:tabs>
          <w:tab w:leader="none" w:pos="1340" w:val="left"/>
        </w:tabs>
        <w:numPr>
          <w:ilvl w:val="1"/>
          <w:numId w:val="68"/>
        </w:numPr>
        <w:rPr>
          <w:rFonts w:ascii="Arial" w:cs="Arial" w:eastAsia="Arial" w:hAnsi="Arial"/>
          <w:sz w:val="16"/>
          <w:szCs w:val="16"/>
          <w:color w:val="auto"/>
        </w:rPr>
      </w:pPr>
      <w:r>
        <w:rPr>
          <w:rFonts w:ascii="Arial" w:cs="Arial" w:eastAsia="Arial" w:hAnsi="Arial"/>
          <w:sz w:val="16"/>
          <w:szCs w:val="16"/>
          <w:color w:val="auto"/>
        </w:rPr>
        <w:t>overseeing the Company’s financial reporting, including reviewing and discussing with management, the independent auditor and a member of the internal audit function, prior to public release, the Company’s annual and quarterly financial statements to be filed with the SEC;</w:t>
      </w:r>
    </w:p>
    <w:p>
      <w:pPr>
        <w:spacing w:after="0" w:line="40" w:lineRule="exact"/>
        <w:rPr>
          <w:rFonts w:ascii="Arial" w:cs="Arial" w:eastAsia="Arial" w:hAnsi="Arial"/>
          <w:sz w:val="16"/>
          <w:szCs w:val="16"/>
          <w:color w:val="auto"/>
        </w:rPr>
      </w:pPr>
    </w:p>
    <w:p>
      <w:pPr>
        <w:ind w:left="1340" w:right="140" w:hanging="308"/>
        <w:spacing w:after="0" w:line="234" w:lineRule="auto"/>
        <w:tabs>
          <w:tab w:leader="none" w:pos="1340" w:val="left"/>
        </w:tabs>
        <w:numPr>
          <w:ilvl w:val="1"/>
          <w:numId w:val="68"/>
        </w:numPr>
        <w:rPr>
          <w:rFonts w:ascii="Arial" w:cs="Arial" w:eastAsia="Arial" w:hAnsi="Arial"/>
          <w:sz w:val="16"/>
          <w:szCs w:val="16"/>
          <w:color w:val="auto"/>
        </w:rPr>
      </w:pPr>
      <w:r>
        <w:rPr>
          <w:rFonts w:ascii="Arial" w:cs="Arial" w:eastAsia="Arial" w:hAnsi="Arial"/>
          <w:sz w:val="16"/>
          <w:szCs w:val="16"/>
          <w:color w:val="auto"/>
        </w:rPr>
        <w:t>overseeing management’s design and maintenance of the Company’s internal control over financial reporting and disclosure controls and procedures; and</w:t>
      </w:r>
    </w:p>
    <w:p>
      <w:pPr>
        <w:spacing w:after="0" w:line="38" w:lineRule="exact"/>
        <w:rPr>
          <w:rFonts w:ascii="Arial" w:cs="Arial" w:eastAsia="Arial" w:hAnsi="Arial"/>
          <w:sz w:val="16"/>
          <w:szCs w:val="16"/>
          <w:color w:val="auto"/>
        </w:rPr>
      </w:pPr>
    </w:p>
    <w:p>
      <w:pPr>
        <w:ind w:left="1340" w:right="100" w:hanging="308"/>
        <w:spacing w:after="0" w:line="229" w:lineRule="auto"/>
        <w:tabs>
          <w:tab w:leader="none" w:pos="1340" w:val="left"/>
        </w:tabs>
        <w:numPr>
          <w:ilvl w:val="1"/>
          <w:numId w:val="68"/>
        </w:numPr>
        <w:rPr>
          <w:rFonts w:ascii="Arial" w:cs="Arial" w:eastAsia="Arial" w:hAnsi="Arial"/>
          <w:sz w:val="16"/>
          <w:szCs w:val="16"/>
          <w:color w:val="auto"/>
        </w:rPr>
      </w:pPr>
      <w:r>
        <w:rPr>
          <w:rFonts w:ascii="Arial" w:cs="Arial" w:eastAsia="Arial" w:hAnsi="Arial"/>
          <w:sz w:val="16"/>
          <w:szCs w:val="16"/>
          <w:color w:val="auto"/>
        </w:rPr>
        <w:t>reviewing and discussing with management and the independent auditor the Company’s financial, enterprise and cyber security risk exposures and assessing the policies and procedures management has implemented to monitor and control such exposures.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tabs>
          <w:tab w:leader="none" w:pos="4420" w:val="left"/>
        </w:tabs>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62259D"/>
        </w:rPr>
        <w:t>CHARTER</w:t>
      </w:r>
      <w:r>
        <w:rPr>
          <w:sz w:val="20"/>
          <w:szCs w:val="20"/>
          <w:color w:val="auto"/>
        </w:rPr>
        <w:tab/>
      </w:r>
      <w:r>
        <w:rPr>
          <w:rFonts w:ascii="Arial" w:cs="Arial" w:eastAsia="Arial" w:hAnsi="Arial"/>
          <w:sz w:val="16"/>
          <w:szCs w:val="16"/>
          <w:color w:val="auto"/>
        </w:rPr>
        <w:t>​</w:t>
      </w:r>
    </w:p>
    <w:p>
      <w:pPr>
        <w:spacing w:after="0" w:line="34" w:lineRule="exact"/>
        <w:rPr>
          <w:sz w:val="20"/>
          <w:szCs w:val="20"/>
          <w:color w:val="auto"/>
        </w:rPr>
      </w:pPr>
    </w:p>
    <w:p>
      <w:pPr>
        <w:ind w:left="220" w:right="279"/>
        <w:spacing w:after="0" w:line="235" w:lineRule="auto"/>
        <w:rPr>
          <w:sz w:val="20"/>
          <w:szCs w:val="20"/>
          <w:color w:val="auto"/>
        </w:rPr>
      </w:pPr>
      <w:r>
        <w:rPr>
          <w:rFonts w:ascii="Arial" w:cs="Arial" w:eastAsia="Arial" w:hAnsi="Arial"/>
          <w:sz w:val="16"/>
          <w:szCs w:val="16"/>
          <w:color w:val="auto"/>
        </w:rPr>
        <w:t>The Audit Committee operates pursuant to a written charter adopted by the Board that reflects standards and requirements adopted by the SEC and Nasdaq, a current</w:t>
      </w:r>
    </w:p>
    <w:p>
      <w:pPr>
        <w:ind w:left="220" w:right="919"/>
        <w:spacing w:after="0" w:line="220" w:lineRule="auto"/>
        <w:rPr>
          <w:sz w:val="20"/>
          <w:szCs w:val="20"/>
          <w:color w:val="auto"/>
        </w:rPr>
      </w:pPr>
      <w:r>
        <w:rPr>
          <w:rFonts w:ascii="Arial" w:cs="Arial" w:eastAsia="Arial" w:hAnsi="Arial"/>
          <w:sz w:val="16"/>
          <w:szCs w:val="16"/>
          <w:color w:val="auto"/>
        </w:rPr>
        <w:t xml:space="preserve">copy of which is available at </w:t>
      </w:r>
      <w:r>
        <w:rPr>
          <w:rFonts w:ascii="Arial" w:cs="Arial" w:eastAsia="Arial" w:hAnsi="Arial"/>
          <w:sz w:val="16"/>
          <w:szCs w:val="16"/>
          <w:color w:val="E7417A"/>
        </w:rPr>
        <w:t>investors.ribboncommunications.com/corporate-</w:t>
      </w:r>
    </w:p>
    <w:p>
      <w:pPr>
        <w:ind w:left="220"/>
        <w:spacing w:after="0"/>
        <w:rPr>
          <w:sz w:val="20"/>
          <w:szCs w:val="20"/>
          <w:color w:val="auto"/>
        </w:rPr>
      </w:pPr>
      <w:r>
        <w:rPr>
          <w:rFonts w:ascii="Arial" w:cs="Arial" w:eastAsia="Arial" w:hAnsi="Arial"/>
          <w:sz w:val="16"/>
          <w:szCs w:val="16"/>
          <w:color w:val="E7417A"/>
        </w:rPr>
        <w:t>governance/governance-highlights</w:t>
      </w:r>
      <w:r>
        <w:rPr>
          <w:rFonts w:ascii="Arial" w:cs="Arial" w:eastAsia="Arial" w:hAnsi="Arial"/>
          <w:sz w:val="16"/>
          <w:szCs w:val="16"/>
          <w:color w:val="000000"/>
        </w:rPr>
        <w:t>.</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62259D"/>
        </w:rPr>
        <w:t>QUALIFICATIONS</w:t>
      </w:r>
    </w:p>
    <w:p>
      <w:pPr>
        <w:spacing w:after="0" w:line="34" w:lineRule="exact"/>
        <w:rPr>
          <w:sz w:val="20"/>
          <w:szCs w:val="20"/>
          <w:color w:val="auto"/>
        </w:rPr>
      </w:pPr>
    </w:p>
    <w:p>
      <w:pPr>
        <w:ind w:left="220" w:right="379"/>
        <w:spacing w:after="0" w:line="235" w:lineRule="auto"/>
        <w:rPr>
          <w:sz w:val="20"/>
          <w:szCs w:val="20"/>
          <w:color w:val="auto"/>
        </w:rPr>
      </w:pPr>
      <w:r>
        <w:rPr>
          <w:rFonts w:ascii="Arial" w:cs="Arial" w:eastAsia="Arial" w:hAnsi="Arial"/>
          <w:sz w:val="16"/>
          <w:szCs w:val="16"/>
          <w:color w:val="auto"/>
        </w:rPr>
        <w:t>Our Board has determined that Mr. Ewing is an “audit committee financial expert” as defined in Item 407(d)(5) of Regulation S-K. This designation is a disclosure</w:t>
      </w:r>
    </w:p>
    <w:p>
      <w:pPr>
        <w:ind w:left="220" w:right="239"/>
        <w:spacing w:after="0" w:line="220" w:lineRule="auto"/>
        <w:rPr>
          <w:sz w:val="20"/>
          <w:szCs w:val="20"/>
          <w:color w:val="auto"/>
        </w:rPr>
      </w:pPr>
      <w:r>
        <w:rPr>
          <w:rFonts w:ascii="Arial" w:cs="Arial" w:eastAsia="Arial" w:hAnsi="Arial"/>
          <w:sz w:val="16"/>
          <w:szCs w:val="16"/>
          <w:color w:val="auto"/>
        </w:rPr>
        <w:t>requirement of the SEC related to Mr. Ewing’s experience and understanding with respect to certain accounting and</w:t>
      </w:r>
    </w:p>
    <w:p>
      <w:pPr>
        <w:ind w:left="220"/>
        <w:spacing w:after="0" w:line="229" w:lineRule="auto"/>
        <w:rPr>
          <w:sz w:val="20"/>
          <w:szCs w:val="20"/>
          <w:color w:val="auto"/>
        </w:rPr>
      </w:pPr>
      <w:r>
        <w:rPr>
          <w:rFonts w:ascii="Arial" w:cs="Arial" w:eastAsia="Arial" w:hAnsi="Arial"/>
          <w:sz w:val="16"/>
          <w:szCs w:val="16"/>
          <w:color w:val="auto"/>
        </w:rPr>
        <w:t>auditing matters, but it does not impose upon Mr. Ewing</w:t>
      </w:r>
    </w:p>
    <w:p>
      <w:pPr>
        <w:ind w:left="220" w:right="219"/>
        <w:spacing w:after="0" w:line="220" w:lineRule="auto"/>
        <w:rPr>
          <w:sz w:val="20"/>
          <w:szCs w:val="20"/>
          <w:color w:val="auto"/>
        </w:rPr>
      </w:pPr>
      <w:r>
        <w:rPr>
          <w:rFonts w:ascii="Arial" w:cs="Arial" w:eastAsia="Arial" w:hAnsi="Arial"/>
          <w:sz w:val="16"/>
          <w:szCs w:val="16"/>
          <w:color w:val="auto"/>
        </w:rPr>
        <w:t>any duties, obligations or liability that are greater than are generally imposed on him as a member of the Audit</w:t>
      </w:r>
    </w:p>
    <w:p>
      <w:pPr>
        <w:ind w:left="220" w:right="559"/>
        <w:spacing w:after="0" w:line="228" w:lineRule="auto"/>
        <w:rPr>
          <w:sz w:val="20"/>
          <w:szCs w:val="20"/>
          <w:color w:val="auto"/>
        </w:rPr>
      </w:pPr>
      <w:r>
        <w:rPr>
          <w:rFonts w:ascii="Arial" w:cs="Arial" w:eastAsia="Arial" w:hAnsi="Arial"/>
          <w:sz w:val="16"/>
          <w:szCs w:val="16"/>
          <w:color w:val="auto"/>
        </w:rPr>
        <w:t>Committee and the Board, and his designation as an audit committee financial expert pursuant to this SEC</w:t>
      </w:r>
    </w:p>
    <w:p>
      <w:pPr>
        <w:spacing w:after="0" w:line="1" w:lineRule="exact"/>
        <w:rPr>
          <w:sz w:val="20"/>
          <w:szCs w:val="20"/>
          <w:color w:val="auto"/>
        </w:rPr>
      </w:pPr>
    </w:p>
    <w:p>
      <w:pPr>
        <w:ind w:left="220" w:right="439"/>
        <w:spacing w:after="0" w:line="220" w:lineRule="auto"/>
        <w:rPr>
          <w:sz w:val="20"/>
          <w:szCs w:val="20"/>
          <w:color w:val="auto"/>
        </w:rPr>
      </w:pPr>
      <w:r>
        <w:rPr>
          <w:rFonts w:ascii="Arial" w:cs="Arial" w:eastAsia="Arial" w:hAnsi="Arial"/>
          <w:sz w:val="16"/>
          <w:szCs w:val="16"/>
          <w:color w:val="auto"/>
        </w:rPr>
        <w:t>requirement does not affect the duties, obligations or liability of any other member of the Audit Committee or</w:t>
      </w:r>
    </w:p>
    <w:p>
      <w:pPr>
        <w:ind w:left="220"/>
        <w:spacing w:after="0"/>
        <w:rPr>
          <w:sz w:val="20"/>
          <w:szCs w:val="20"/>
          <w:color w:val="auto"/>
        </w:rPr>
      </w:pPr>
      <w:r>
        <w:rPr>
          <w:rFonts w:ascii="Arial" w:cs="Arial" w:eastAsia="Arial" w:hAnsi="Arial"/>
          <w:sz w:val="16"/>
          <w:szCs w:val="16"/>
          <w:color w:val="auto"/>
        </w:rPr>
        <w:t>the Board.</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62259D"/>
        </w:rPr>
        <w:t>REPORT</w:t>
      </w:r>
    </w:p>
    <w:p>
      <w:pPr>
        <w:spacing w:after="0" w:line="34" w:lineRule="exact"/>
        <w:rPr>
          <w:sz w:val="20"/>
          <w:szCs w:val="20"/>
          <w:color w:val="auto"/>
        </w:rPr>
      </w:pPr>
    </w:p>
    <w:p>
      <w:pPr>
        <w:ind w:left="220" w:right="359"/>
        <w:spacing w:after="0" w:line="259" w:lineRule="auto"/>
        <w:rPr>
          <w:sz w:val="20"/>
          <w:szCs w:val="20"/>
          <w:color w:val="auto"/>
        </w:rPr>
      </w:pPr>
      <w:r>
        <w:rPr>
          <w:rFonts w:ascii="Arial" w:cs="Arial" w:eastAsia="Arial" w:hAnsi="Arial"/>
          <w:sz w:val="16"/>
          <w:szCs w:val="16"/>
          <w:color w:val="auto"/>
        </w:rPr>
        <w:t>The Audit Committee Report is on page 32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10795</wp:posOffset>
            </wp:positionV>
            <wp:extent cx="562356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0"/>
            <w:col w:w="46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0" w:lineRule="exact"/>
        <w:rPr>
          <w:sz w:val="20"/>
          <w:szCs w:val="20"/>
          <w:color w:val="auto"/>
        </w:rPr>
      </w:pPr>
    </w:p>
    <w:p>
      <w:pPr>
        <w:spacing w:after="0" w:line="240" w:lineRule="exact"/>
        <w:rPr>
          <w:sz w:val="20"/>
          <w:szCs w:val="20"/>
          <w:color w:val="auto"/>
        </w:rPr>
      </w:pPr>
    </w:p>
    <w:tbl>
      <w:tblPr>
        <w:tblLayout w:type="fixed"/>
        <w:tblInd w:w="920" w:type="dxa"/>
        <w:tblCellMar>
          <w:top w:w="0" w:type="dxa"/>
          <w:left w:w="0" w:type="dxa"/>
          <w:bottom w:w="0" w:type="dxa"/>
          <w:right w:w="0" w:type="dxa"/>
        </w:tblCellMar>
      </w:tblPr>
      <w:tr>
        <w:trPr>
          <w:trHeight w:val="344"/>
        </w:trPr>
        <w:tc>
          <w:tcPr>
            <w:tcW w:w="120" w:type="dxa"/>
            <w:vAlign w:val="bottom"/>
            <w:tcBorders>
              <w:bottom w:val="single" w:sz="8" w:color="E7417A"/>
            </w:tcBorders>
            <w:shd w:val="clear" w:color="auto" w:fill="E7417A"/>
          </w:tcPr>
          <w:p>
            <w:pPr>
              <w:spacing w:after="0"/>
              <w:rPr>
                <w:sz w:val="20"/>
                <w:szCs w:val="20"/>
                <w:color w:val="auto"/>
              </w:rPr>
            </w:pPr>
            <w:r>
              <w:rPr>
                <w:rFonts w:ascii="Arial" w:cs="Arial" w:eastAsia="Arial" w:hAnsi="Arial"/>
                <w:sz w:val="21"/>
                <w:szCs w:val="21"/>
                <w:b w:val="1"/>
                <w:bCs w:val="1"/>
                <w:color w:val="FEFEFE"/>
              </w:rPr>
              <w:t>​</w:t>
            </w:r>
          </w:p>
        </w:tc>
        <w:tc>
          <w:tcPr>
            <w:tcW w:w="4660" w:type="dxa"/>
            <w:vAlign w:val="bottom"/>
            <w:tcBorders>
              <w:bottom w:val="single" w:sz="8" w:color="E7417A"/>
            </w:tcBorders>
            <w:gridSpan w:val="3"/>
            <w:shd w:val="clear" w:color="auto" w:fill="E7417A"/>
          </w:tcPr>
          <w:p>
            <w:pPr>
              <w:ind w:left="100"/>
              <w:spacing w:after="0"/>
              <w:rPr>
                <w:sz w:val="20"/>
                <w:szCs w:val="20"/>
                <w:color w:val="auto"/>
              </w:rPr>
            </w:pPr>
            <w:r>
              <w:rPr>
                <w:rFonts w:ascii="Arial" w:cs="Arial" w:eastAsia="Arial" w:hAnsi="Arial"/>
                <w:sz w:val="21"/>
                <w:szCs w:val="21"/>
                <w:b w:val="1"/>
                <w:bCs w:val="1"/>
                <w:color w:val="FEFEFE"/>
              </w:rPr>
              <w:t>COMPENSATION COMMITTEE</w:t>
            </w:r>
          </w:p>
        </w:tc>
        <w:tc>
          <w:tcPr>
            <w:tcW w:w="3860" w:type="dxa"/>
            <w:vAlign w:val="bottom"/>
            <w:tcBorders>
              <w:bottom w:val="single" w:sz="8" w:color="E7417A"/>
            </w:tcBorders>
            <w:shd w:val="clear" w:color="auto" w:fill="E7417A"/>
          </w:tcPr>
          <w:p>
            <w:pPr>
              <w:ind w:left="940"/>
              <w:spacing w:after="0"/>
              <w:rPr>
                <w:sz w:val="20"/>
                <w:szCs w:val="20"/>
                <w:color w:val="auto"/>
              </w:rPr>
            </w:pPr>
            <w:r>
              <w:rPr>
                <w:rFonts w:ascii="Arial" w:cs="Arial" w:eastAsia="Arial" w:hAnsi="Arial"/>
                <w:sz w:val="21"/>
                <w:szCs w:val="21"/>
                <w:b w:val="1"/>
                <w:bCs w:val="1"/>
                <w:color w:val="FEFEFE"/>
              </w:rPr>
              <w:t>​ ​</w:t>
            </w:r>
          </w:p>
        </w:tc>
        <w:tc>
          <w:tcPr>
            <w:tcW w:w="220" w:type="dxa"/>
            <w:vAlign w:val="bottom"/>
            <w:tcBorders>
              <w:bottom w:val="single" w:sz="8" w:color="E7417A"/>
            </w:tcBorders>
            <w:shd w:val="clear" w:color="auto" w:fill="E7417A"/>
          </w:tcPr>
          <w:p>
            <w:pPr>
              <w:spacing w:after="0"/>
              <w:rPr>
                <w:sz w:val="20"/>
                <w:szCs w:val="20"/>
                <w:color w:val="auto"/>
              </w:rPr>
            </w:pPr>
            <w:r>
              <w:rPr>
                <w:rFonts w:ascii="Arial" w:cs="Arial" w:eastAsia="Arial" w:hAnsi="Arial"/>
                <w:sz w:val="21"/>
                <w:szCs w:val="21"/>
                <w:b w:val="1"/>
                <w:bCs w:val="1"/>
                <w:color w:val="FEFEFE"/>
              </w:rPr>
              <w:t>​</w:t>
            </w:r>
          </w:p>
        </w:tc>
        <w:tc>
          <w:tcPr>
            <w:tcW w:w="0" w:type="dxa"/>
            <w:vAlign w:val="bottom"/>
          </w:tcPr>
          <w:p>
            <w:pPr>
              <w:spacing w:after="0"/>
              <w:rPr>
                <w:sz w:val="1"/>
                <w:szCs w:val="1"/>
                <w:color w:val="auto"/>
              </w:rPr>
            </w:pPr>
          </w:p>
        </w:tc>
      </w:tr>
      <w:tr>
        <w:trPr>
          <w:trHeight w:val="242"/>
        </w:trPr>
        <w:tc>
          <w:tcPr>
            <w:tcW w:w="12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2400" w:type="dxa"/>
            <w:vAlign w:val="bottom"/>
            <w:shd w:val="clear" w:color="auto" w:fill="F2F2F2"/>
          </w:tcPr>
          <w:p>
            <w:pPr>
              <w:spacing w:after="0"/>
              <w:rPr>
                <w:sz w:val="20"/>
                <w:szCs w:val="20"/>
                <w:color w:val="auto"/>
              </w:rPr>
            </w:pPr>
            <w:r>
              <w:rPr>
                <w:rFonts w:ascii="Arial" w:cs="Arial" w:eastAsia="Arial" w:hAnsi="Arial"/>
                <w:sz w:val="16"/>
                <w:szCs w:val="16"/>
                <w:b w:val="1"/>
                <w:bCs w:val="1"/>
                <w:color w:val="62259D"/>
              </w:rPr>
              <w:t>CURRENT COMMITTEE</w:t>
            </w:r>
          </w:p>
        </w:tc>
        <w:tc>
          <w:tcPr>
            <w:tcW w:w="560" w:type="dxa"/>
            <w:vAlign w:val="bottom"/>
            <w:shd w:val="clear" w:color="auto" w:fill="F2F2F2"/>
          </w:tcPr>
          <w:p>
            <w:pPr>
              <w:ind w:left="300"/>
              <w:spacing w:after="0"/>
              <w:rPr>
                <w:sz w:val="20"/>
                <w:szCs w:val="20"/>
                <w:color w:val="auto"/>
              </w:rPr>
            </w:pPr>
            <w:r>
              <w:rPr>
                <w:rFonts w:ascii="Arial" w:cs="Arial" w:eastAsia="Arial" w:hAnsi="Arial"/>
                <w:sz w:val="16"/>
                <w:szCs w:val="16"/>
                <w:color w:val="auto"/>
              </w:rPr>
              <w:t>​ ​</w:t>
            </w:r>
          </w:p>
        </w:tc>
        <w:tc>
          <w:tcPr>
            <w:tcW w:w="1700" w:type="dxa"/>
            <w:vAlign w:val="bottom"/>
            <w:shd w:val="clear" w:color="auto" w:fill="F2F2F2"/>
          </w:tcPr>
          <w:p>
            <w:pPr>
              <w:spacing w:after="0"/>
              <w:rPr>
                <w:sz w:val="21"/>
                <w:szCs w:val="21"/>
                <w:color w:val="auto"/>
              </w:rPr>
            </w:pPr>
          </w:p>
        </w:tc>
        <w:tc>
          <w:tcPr>
            <w:tcW w:w="3860" w:type="dxa"/>
            <w:vAlign w:val="bottom"/>
            <w:vMerge w:val="restart"/>
            <w:shd w:val="clear" w:color="auto" w:fill="F2F2F2"/>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All members of the committee are independent</w:t>
            </w:r>
          </w:p>
        </w:tc>
        <w:tc>
          <w:tcPr>
            <w:tcW w:w="22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20" w:type="dxa"/>
            <w:vAlign w:val="bottom"/>
            <w:shd w:val="clear" w:color="auto" w:fill="F2F2F2"/>
          </w:tcPr>
          <w:p>
            <w:pPr>
              <w:spacing w:after="0"/>
              <w:rPr>
                <w:sz w:val="9"/>
                <w:szCs w:val="9"/>
                <w:color w:val="auto"/>
              </w:rPr>
            </w:pPr>
          </w:p>
        </w:tc>
        <w:tc>
          <w:tcPr>
            <w:tcW w:w="2400" w:type="dxa"/>
            <w:vAlign w:val="bottom"/>
            <w:vMerge w:val="restart"/>
            <w:shd w:val="clear" w:color="auto" w:fill="F2F2F2"/>
          </w:tcPr>
          <w:p>
            <w:pPr>
              <w:spacing w:after="0"/>
              <w:rPr>
                <w:sz w:val="20"/>
                <w:szCs w:val="20"/>
                <w:color w:val="auto"/>
              </w:rPr>
            </w:pPr>
            <w:r>
              <w:rPr>
                <w:rFonts w:ascii="Arial" w:cs="Arial" w:eastAsia="Arial" w:hAnsi="Arial"/>
                <w:sz w:val="16"/>
                <w:szCs w:val="16"/>
                <w:b w:val="1"/>
                <w:bCs w:val="1"/>
                <w:color w:val="62259D"/>
              </w:rPr>
              <w:t>MEMBERS</w:t>
            </w:r>
          </w:p>
        </w:tc>
        <w:tc>
          <w:tcPr>
            <w:tcW w:w="560" w:type="dxa"/>
            <w:vAlign w:val="bottom"/>
            <w:shd w:val="clear" w:color="auto" w:fill="F2F2F2"/>
          </w:tcPr>
          <w:p>
            <w:pPr>
              <w:spacing w:after="0"/>
              <w:rPr>
                <w:sz w:val="9"/>
                <w:szCs w:val="9"/>
                <w:color w:val="auto"/>
              </w:rPr>
            </w:pPr>
          </w:p>
        </w:tc>
        <w:tc>
          <w:tcPr>
            <w:tcW w:w="1700" w:type="dxa"/>
            <w:vAlign w:val="bottom"/>
            <w:shd w:val="clear" w:color="auto" w:fill="F2F2F2"/>
          </w:tcPr>
          <w:p>
            <w:pPr>
              <w:spacing w:after="0"/>
              <w:rPr>
                <w:sz w:val="9"/>
                <w:szCs w:val="9"/>
                <w:color w:val="auto"/>
              </w:rPr>
            </w:pPr>
          </w:p>
        </w:tc>
        <w:tc>
          <w:tcPr>
            <w:tcW w:w="3860" w:type="dxa"/>
            <w:vAlign w:val="bottom"/>
            <w:vMerge w:val="continue"/>
            <w:shd w:val="clear" w:color="auto" w:fill="F2F2F2"/>
          </w:tcPr>
          <w:p>
            <w:pPr>
              <w:spacing w:after="0"/>
              <w:rPr>
                <w:sz w:val="9"/>
                <w:szCs w:val="9"/>
                <w:color w:val="auto"/>
              </w:rPr>
            </w:pPr>
          </w:p>
        </w:tc>
        <w:tc>
          <w:tcPr>
            <w:tcW w:w="22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20" w:type="dxa"/>
            <w:vAlign w:val="bottom"/>
            <w:vMerge w:val="restart"/>
            <w:shd w:val="clear" w:color="auto" w:fill="F2F2F2"/>
          </w:tcPr>
          <w:p>
            <w:pPr>
              <w:spacing w:after="0"/>
              <w:rPr>
                <w:sz w:val="20"/>
                <w:szCs w:val="20"/>
                <w:color w:val="auto"/>
              </w:rPr>
            </w:pPr>
            <w:r>
              <w:rPr>
                <w:rFonts w:ascii="Arial" w:cs="Arial" w:eastAsia="Arial" w:hAnsi="Arial"/>
                <w:sz w:val="16"/>
                <w:szCs w:val="16"/>
                <w:color w:val="auto"/>
              </w:rPr>
              <w:t>​</w:t>
            </w:r>
          </w:p>
        </w:tc>
        <w:tc>
          <w:tcPr>
            <w:tcW w:w="2400" w:type="dxa"/>
            <w:vAlign w:val="bottom"/>
            <w:vMerge w:val="continue"/>
            <w:shd w:val="clear" w:color="auto" w:fill="F2F2F2"/>
          </w:tcPr>
          <w:p>
            <w:pPr>
              <w:spacing w:after="0"/>
              <w:rPr>
                <w:sz w:val="8"/>
                <w:szCs w:val="8"/>
                <w:color w:val="auto"/>
              </w:rPr>
            </w:pPr>
          </w:p>
        </w:tc>
        <w:tc>
          <w:tcPr>
            <w:tcW w:w="560" w:type="dxa"/>
            <w:vAlign w:val="bottom"/>
            <w:vMerge w:val="restart"/>
            <w:shd w:val="clear" w:color="auto" w:fill="F2F2F2"/>
          </w:tcPr>
          <w:p>
            <w:pPr>
              <w:ind w:left="300"/>
              <w:spacing w:after="0"/>
              <w:rPr>
                <w:sz w:val="20"/>
                <w:szCs w:val="20"/>
                <w:color w:val="auto"/>
              </w:rPr>
            </w:pPr>
            <w:r>
              <w:rPr>
                <w:rFonts w:ascii="Arial" w:cs="Arial" w:eastAsia="Arial" w:hAnsi="Arial"/>
                <w:sz w:val="16"/>
                <w:szCs w:val="16"/>
                <w:color w:val="auto"/>
              </w:rPr>
              <w:t>​ ​</w:t>
            </w:r>
          </w:p>
        </w:tc>
        <w:tc>
          <w:tcPr>
            <w:tcW w:w="1700" w:type="dxa"/>
            <w:vAlign w:val="bottom"/>
            <w:shd w:val="clear" w:color="auto" w:fill="F2F2F2"/>
          </w:tcPr>
          <w:p>
            <w:pPr>
              <w:spacing w:after="0"/>
              <w:rPr>
                <w:sz w:val="8"/>
                <w:szCs w:val="8"/>
                <w:color w:val="auto"/>
              </w:rPr>
            </w:pPr>
          </w:p>
        </w:tc>
        <w:tc>
          <w:tcPr>
            <w:tcW w:w="3860" w:type="dxa"/>
            <w:vAlign w:val="bottom"/>
            <w:vMerge w:val="restart"/>
            <w:shd w:val="clear" w:color="auto" w:fill="F2F2F2"/>
          </w:tcPr>
          <w:p>
            <w:pPr>
              <w:ind w:left="94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62259D"/>
              </w:rPr>
              <w:t>■</w:t>
            </w:r>
            <w:r>
              <w:rPr>
                <w:rFonts w:ascii="Arial" w:cs="Arial" w:eastAsia="Arial" w:hAnsi="Arial"/>
                <w:sz w:val="16"/>
                <w:szCs w:val="16"/>
                <w:color w:val="auto"/>
              </w:rPr>
              <w:t xml:space="preserve"> Tanya Tamone</w:t>
            </w:r>
          </w:p>
        </w:tc>
        <w:tc>
          <w:tcPr>
            <w:tcW w:w="220" w:type="dxa"/>
            <w:vAlign w:val="bottom"/>
            <w:vMerge w:val="restart"/>
            <w:shd w:val="clear" w:color="auto" w:fill="F2F2F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20" w:type="dxa"/>
            <w:vAlign w:val="bottom"/>
            <w:vMerge w:val="continue"/>
            <w:shd w:val="clear" w:color="auto" w:fill="F2F2F2"/>
          </w:tcPr>
          <w:p>
            <w:pPr>
              <w:spacing w:after="0"/>
              <w:rPr>
                <w:sz w:val="18"/>
                <w:szCs w:val="18"/>
                <w:color w:val="auto"/>
              </w:rPr>
            </w:pPr>
          </w:p>
        </w:tc>
        <w:tc>
          <w:tcPr>
            <w:tcW w:w="2400" w:type="dxa"/>
            <w:vAlign w:val="bottom"/>
            <w:shd w:val="clear" w:color="auto" w:fill="F2F2F2"/>
          </w:tcPr>
          <w:p>
            <w:pPr>
              <w:ind w:left="16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Beatriz V. Infante,</w:t>
            </w:r>
            <w:r>
              <w:rPr>
                <w:rFonts w:ascii="Arial" w:cs="Arial" w:eastAsia="Arial" w:hAnsi="Arial"/>
                <w:sz w:val="16"/>
                <w:szCs w:val="16"/>
                <w:color w:val="62259D"/>
              </w:rPr>
              <w:t xml:space="preserve"> </w:t>
            </w:r>
            <w:r>
              <w:rPr>
                <w:rFonts w:ascii="Arial" w:cs="Arial" w:eastAsia="Arial" w:hAnsi="Arial"/>
                <w:sz w:val="16"/>
                <w:szCs w:val="16"/>
                <w:i w:val="1"/>
                <w:iCs w:val="1"/>
                <w:color w:val="000000"/>
              </w:rPr>
              <w:t>Chair</w:t>
            </w:r>
          </w:p>
        </w:tc>
        <w:tc>
          <w:tcPr>
            <w:tcW w:w="560" w:type="dxa"/>
            <w:vAlign w:val="bottom"/>
            <w:vMerge w:val="continue"/>
            <w:shd w:val="clear" w:color="auto" w:fill="F2F2F2"/>
          </w:tcPr>
          <w:p>
            <w:pPr>
              <w:spacing w:after="0"/>
              <w:rPr>
                <w:sz w:val="18"/>
                <w:szCs w:val="18"/>
                <w:color w:val="auto"/>
              </w:rPr>
            </w:pPr>
          </w:p>
        </w:tc>
        <w:tc>
          <w:tcPr>
            <w:tcW w:w="1700" w:type="dxa"/>
            <w:vAlign w:val="bottom"/>
            <w:shd w:val="clear" w:color="auto" w:fill="F2F2F2"/>
          </w:tcPr>
          <w:p>
            <w:pPr>
              <w:ind w:left="12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Bruns H. Grayson</w:t>
            </w:r>
          </w:p>
        </w:tc>
        <w:tc>
          <w:tcPr>
            <w:tcW w:w="3860" w:type="dxa"/>
            <w:vAlign w:val="bottom"/>
            <w:vMerge w:val="continue"/>
            <w:shd w:val="clear" w:color="auto" w:fill="F2F2F2"/>
          </w:tcPr>
          <w:p>
            <w:pPr>
              <w:spacing w:after="0"/>
              <w:rPr>
                <w:sz w:val="18"/>
                <w:szCs w:val="18"/>
                <w:color w:val="auto"/>
              </w:rPr>
            </w:pPr>
          </w:p>
        </w:tc>
        <w:tc>
          <w:tcPr>
            <w:tcW w:w="220" w:type="dxa"/>
            <w:vAlign w:val="bottom"/>
            <w:vMerge w:val="continue"/>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20" w:type="dxa"/>
            <w:vAlign w:val="bottom"/>
            <w:shd w:val="clear" w:color="auto" w:fill="F2F2F2"/>
          </w:tcPr>
          <w:p>
            <w:pPr>
              <w:spacing w:after="0"/>
              <w:rPr>
                <w:sz w:val="4"/>
                <w:szCs w:val="4"/>
                <w:color w:val="auto"/>
              </w:rPr>
            </w:pPr>
          </w:p>
        </w:tc>
        <w:tc>
          <w:tcPr>
            <w:tcW w:w="2400" w:type="dxa"/>
            <w:vAlign w:val="bottom"/>
            <w:shd w:val="clear" w:color="auto" w:fill="F2F2F2"/>
          </w:tcPr>
          <w:p>
            <w:pPr>
              <w:spacing w:after="0"/>
              <w:rPr>
                <w:sz w:val="4"/>
                <w:szCs w:val="4"/>
                <w:color w:val="auto"/>
              </w:rPr>
            </w:pPr>
          </w:p>
        </w:tc>
        <w:tc>
          <w:tcPr>
            <w:tcW w:w="560" w:type="dxa"/>
            <w:vAlign w:val="bottom"/>
            <w:shd w:val="clear" w:color="auto" w:fill="F2F2F2"/>
          </w:tcPr>
          <w:p>
            <w:pPr>
              <w:spacing w:after="0"/>
              <w:rPr>
                <w:sz w:val="4"/>
                <w:szCs w:val="4"/>
                <w:color w:val="auto"/>
              </w:rPr>
            </w:pPr>
          </w:p>
        </w:tc>
        <w:tc>
          <w:tcPr>
            <w:tcW w:w="1700" w:type="dxa"/>
            <w:vAlign w:val="bottom"/>
            <w:shd w:val="clear" w:color="auto" w:fill="F2F2F2"/>
          </w:tcPr>
          <w:p>
            <w:pPr>
              <w:spacing w:after="0"/>
              <w:rPr>
                <w:sz w:val="4"/>
                <w:szCs w:val="4"/>
                <w:color w:val="auto"/>
              </w:rPr>
            </w:pPr>
          </w:p>
        </w:tc>
        <w:tc>
          <w:tcPr>
            <w:tcW w:w="3860" w:type="dxa"/>
            <w:vAlign w:val="bottom"/>
            <w:shd w:val="clear" w:color="auto" w:fill="F2F2F2"/>
          </w:tcPr>
          <w:p>
            <w:pPr>
              <w:spacing w:after="0"/>
              <w:rPr>
                <w:sz w:val="4"/>
                <w:szCs w:val="4"/>
                <w:color w:val="auto"/>
              </w:rPr>
            </w:pPr>
          </w:p>
        </w:tc>
        <w:tc>
          <w:tcPr>
            <w:tcW w:w="22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3568700</wp:posOffset>
            </wp:positionH>
            <wp:positionV relativeFrom="paragraph">
              <wp:posOffset>-368300</wp:posOffset>
            </wp:positionV>
            <wp:extent cx="111125" cy="1028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24" w:lineRule="exact"/>
        <w:rPr>
          <w:sz w:val="20"/>
          <w:szCs w:val="20"/>
          <w:color w:val="auto"/>
        </w:rPr>
      </w:pPr>
    </w:p>
    <w:p>
      <w:pPr>
        <w:ind w:left="1040" w:hanging="116"/>
        <w:spacing w:after="0"/>
        <w:tabs>
          <w:tab w:leader="none" w:pos="104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62259D"/>
        </w:rPr>
        <w:t>KEY RESPONSIBILITIES</w:t>
      </w:r>
    </w:p>
    <w:p>
      <w:pPr>
        <w:spacing w:after="0" w:line="47" w:lineRule="exact"/>
        <w:rPr>
          <w:rFonts w:ascii="Arial" w:cs="Arial" w:eastAsia="Arial" w:hAnsi="Arial"/>
          <w:sz w:val="16"/>
          <w:szCs w:val="16"/>
          <w:color w:val="auto"/>
        </w:rPr>
      </w:pPr>
    </w:p>
    <w:p>
      <w:pPr>
        <w:ind w:left="1040" w:right="20"/>
        <w:spacing w:after="0" w:line="241" w:lineRule="auto"/>
        <w:rPr>
          <w:rFonts w:ascii="Arial" w:cs="Arial" w:eastAsia="Arial" w:hAnsi="Arial"/>
          <w:sz w:val="16"/>
          <w:szCs w:val="16"/>
          <w:color w:val="auto"/>
        </w:rPr>
      </w:pPr>
      <w:r>
        <w:rPr>
          <w:rFonts w:ascii="Arial" w:cs="Arial" w:eastAsia="Arial" w:hAnsi="Arial"/>
          <w:sz w:val="16"/>
          <w:szCs w:val="16"/>
          <w:color w:val="auto"/>
        </w:rPr>
        <w:t>As described more fully in its charter, the Compensation Committee’s responsibilities include, among other things:</w:t>
      </w:r>
    </w:p>
    <w:p>
      <w:pPr>
        <w:spacing w:after="0" w:line="35" w:lineRule="exact"/>
        <w:rPr>
          <w:rFonts w:ascii="Arial" w:cs="Arial" w:eastAsia="Arial" w:hAnsi="Arial"/>
          <w:sz w:val="16"/>
          <w:szCs w:val="16"/>
          <w:color w:val="auto"/>
        </w:rPr>
      </w:pPr>
    </w:p>
    <w:p>
      <w:pPr>
        <w:ind w:left="1340" w:hanging="308"/>
        <w:spacing w:after="0" w:line="232" w:lineRule="auto"/>
        <w:tabs>
          <w:tab w:leader="none" w:pos="13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reviewing and approving the Company’s compensation plans, practices and policies for directors and executive officers, including a review of any risks arising from compensation practices and policies for employees that are reasonably likely to have a material adverse effect on the Company;</w:t>
      </w:r>
    </w:p>
    <w:p>
      <w:pPr>
        <w:spacing w:after="0" w:line="26" w:lineRule="exact"/>
        <w:rPr>
          <w:rFonts w:ascii="Arial" w:cs="Arial" w:eastAsia="Arial" w:hAnsi="Arial"/>
          <w:sz w:val="16"/>
          <w:szCs w:val="16"/>
          <w:color w:val="auto"/>
        </w:rPr>
      </w:pPr>
    </w:p>
    <w:p>
      <w:pPr>
        <w:ind w:left="1340" w:right="140" w:hanging="308"/>
        <w:spacing w:after="0" w:line="244" w:lineRule="auto"/>
        <w:tabs>
          <w:tab w:leader="none" w:pos="13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reviewing the Company’s succession plans for executive officers, where requested to do so by the Board;</w:t>
      </w:r>
    </w:p>
    <w:p>
      <w:pPr>
        <w:spacing w:after="0" w:line="32" w:lineRule="exact"/>
        <w:rPr>
          <w:rFonts w:ascii="Arial" w:cs="Arial" w:eastAsia="Arial" w:hAnsi="Arial"/>
          <w:sz w:val="16"/>
          <w:szCs w:val="16"/>
          <w:color w:val="auto"/>
        </w:rPr>
      </w:pPr>
    </w:p>
    <w:p>
      <w:pPr>
        <w:ind w:left="1340" w:right="20" w:hanging="308"/>
        <w:spacing w:after="0" w:line="234" w:lineRule="auto"/>
        <w:tabs>
          <w:tab w:leader="none" w:pos="13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making recommendations to the Board regarding the establishment and terms of any incentive compensation or equity-based plans and monitoring their administration;</w:t>
      </w:r>
    </w:p>
    <w:p>
      <w:pPr>
        <w:spacing w:after="0" w:line="24" w:lineRule="exact"/>
        <w:rPr>
          <w:rFonts w:ascii="Arial" w:cs="Arial" w:eastAsia="Arial" w:hAnsi="Arial"/>
          <w:sz w:val="16"/>
          <w:szCs w:val="16"/>
          <w:color w:val="auto"/>
        </w:rPr>
      </w:pPr>
    </w:p>
    <w:p>
      <w:pPr>
        <w:ind w:left="1340" w:right="140" w:hanging="308"/>
        <w:spacing w:after="0" w:line="239" w:lineRule="auto"/>
        <w:tabs>
          <w:tab w:leader="none" w:pos="13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before selecting or receiving advice from a compensation advisor (other than in-house legal counsel), considering various factors relating to the independence of such advisor; and</w:t>
      </w:r>
    </w:p>
    <w:p>
      <w:pPr>
        <w:spacing w:after="0" w:line="23" w:lineRule="exact"/>
        <w:rPr>
          <w:rFonts w:ascii="Arial" w:cs="Arial" w:eastAsia="Arial" w:hAnsi="Arial"/>
          <w:sz w:val="16"/>
          <w:szCs w:val="16"/>
          <w:color w:val="auto"/>
        </w:rPr>
      </w:pPr>
    </w:p>
    <w:p>
      <w:pPr>
        <w:ind w:left="1340" w:right="240" w:hanging="308"/>
        <w:spacing w:after="0" w:line="233" w:lineRule="auto"/>
        <w:tabs>
          <w:tab w:leader="none" w:pos="13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reviewing the Company’s culture and policies and strategies related to human capital management, including with respect to diversity and inclusion initiatives, pay equity, talent and performance management and employee engagement.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 ​ The Compensation Committee may delegate its authority ​</w:t>
      </w:r>
    </w:p>
    <w:p>
      <w:pPr>
        <w:spacing w:after="0" w:line="6" w:lineRule="exact"/>
        <w:rPr>
          <w:sz w:val="20"/>
          <w:szCs w:val="20"/>
          <w:color w:val="auto"/>
        </w:rPr>
      </w:pPr>
    </w:p>
    <w:p>
      <w:pPr>
        <w:ind w:left="220" w:right="299"/>
        <w:spacing w:after="0" w:line="220" w:lineRule="auto"/>
        <w:rPr>
          <w:sz w:val="20"/>
          <w:szCs w:val="20"/>
          <w:color w:val="auto"/>
        </w:rPr>
      </w:pPr>
      <w:r>
        <w:rPr>
          <w:rFonts w:ascii="Arial" w:cs="Arial" w:eastAsia="Arial" w:hAnsi="Arial"/>
          <w:sz w:val="16"/>
          <w:szCs w:val="16"/>
          <w:color w:val="auto"/>
        </w:rPr>
        <w:t>under its charter to one or more subcommittees or members of management, consistent with applicable law</w:t>
      </w:r>
    </w:p>
    <w:p>
      <w:pPr>
        <w:ind w:left="220" w:right="379"/>
        <w:spacing w:after="0" w:line="228" w:lineRule="auto"/>
        <w:rPr>
          <w:sz w:val="20"/>
          <w:szCs w:val="20"/>
          <w:color w:val="auto"/>
        </w:rPr>
      </w:pPr>
      <w:r>
        <w:rPr>
          <w:rFonts w:ascii="Arial" w:cs="Arial" w:eastAsia="Arial" w:hAnsi="Arial"/>
          <w:sz w:val="16"/>
          <w:szCs w:val="16"/>
          <w:color w:val="auto"/>
        </w:rPr>
        <w:t>and SEC and Nasdaq rules. Specifically, the Compensation Committee may delegate to one or more</w:t>
      </w:r>
    </w:p>
    <w:p>
      <w:pPr>
        <w:spacing w:after="0" w:line="1" w:lineRule="exact"/>
        <w:rPr>
          <w:sz w:val="20"/>
          <w:szCs w:val="20"/>
          <w:color w:val="auto"/>
        </w:rPr>
      </w:pPr>
    </w:p>
    <w:p>
      <w:pPr>
        <w:ind w:left="220" w:right="219"/>
        <w:spacing w:after="0" w:line="220" w:lineRule="auto"/>
        <w:rPr>
          <w:sz w:val="20"/>
          <w:szCs w:val="20"/>
          <w:color w:val="auto"/>
        </w:rPr>
      </w:pPr>
      <w:r>
        <w:rPr>
          <w:rFonts w:ascii="Arial" w:cs="Arial" w:eastAsia="Arial" w:hAnsi="Arial"/>
          <w:sz w:val="16"/>
          <w:szCs w:val="16"/>
          <w:color w:val="auto"/>
        </w:rPr>
        <w:t>executive officers of the Company the power to grant options or other equity awards pursuant to the Company’s</w:t>
      </w:r>
    </w:p>
    <w:p>
      <w:pPr>
        <w:ind w:left="220"/>
        <w:spacing w:after="0"/>
        <w:rPr>
          <w:sz w:val="20"/>
          <w:szCs w:val="20"/>
          <w:color w:val="auto"/>
        </w:rPr>
      </w:pPr>
      <w:r>
        <w:rPr>
          <w:rFonts w:ascii="Arial" w:cs="Arial" w:eastAsia="Arial" w:hAnsi="Arial"/>
          <w:sz w:val="16"/>
          <w:szCs w:val="16"/>
          <w:color w:val="auto"/>
        </w:rPr>
        <w:t>equity plans to certain employees of the Company.</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62259D"/>
        </w:rPr>
        <w:t>CHARTER</w:t>
      </w:r>
    </w:p>
    <w:p>
      <w:pPr>
        <w:spacing w:after="0" w:line="34" w:lineRule="exact"/>
        <w:rPr>
          <w:sz w:val="20"/>
          <w:szCs w:val="20"/>
          <w:color w:val="auto"/>
        </w:rPr>
      </w:pPr>
    </w:p>
    <w:p>
      <w:pPr>
        <w:ind w:left="220" w:right="519"/>
        <w:spacing w:after="0" w:line="235" w:lineRule="auto"/>
        <w:rPr>
          <w:sz w:val="20"/>
          <w:szCs w:val="20"/>
          <w:color w:val="auto"/>
        </w:rPr>
      </w:pPr>
      <w:r>
        <w:rPr>
          <w:rFonts w:ascii="Arial" w:cs="Arial" w:eastAsia="Arial" w:hAnsi="Arial"/>
          <w:sz w:val="16"/>
          <w:szCs w:val="16"/>
          <w:color w:val="auto"/>
        </w:rPr>
        <w:t>The Compensation Committee operates pursuant to a written charter adopted by the Board that reflects standards and requirements adopted by Nasdaq, a</w:t>
      </w:r>
    </w:p>
    <w:p>
      <w:pPr>
        <w:ind w:left="220" w:right="919"/>
        <w:spacing w:after="0" w:line="220" w:lineRule="auto"/>
        <w:rPr>
          <w:sz w:val="20"/>
          <w:szCs w:val="20"/>
          <w:color w:val="auto"/>
        </w:rPr>
      </w:pPr>
      <w:r>
        <w:rPr>
          <w:rFonts w:ascii="Arial" w:cs="Arial" w:eastAsia="Arial" w:hAnsi="Arial"/>
          <w:sz w:val="16"/>
          <w:szCs w:val="16"/>
          <w:color w:val="auto"/>
        </w:rPr>
        <w:t xml:space="preserve">current copy of which is available at </w:t>
      </w:r>
      <w:r>
        <w:rPr>
          <w:rFonts w:ascii="Arial" w:cs="Arial" w:eastAsia="Arial" w:hAnsi="Arial"/>
          <w:sz w:val="16"/>
          <w:szCs w:val="16"/>
          <w:color w:val="E7417A"/>
        </w:rPr>
        <w:t>investors.ribboncommunications.com/corporate-</w:t>
      </w:r>
    </w:p>
    <w:p>
      <w:pPr>
        <w:ind w:left="220"/>
        <w:spacing w:after="0"/>
        <w:rPr>
          <w:sz w:val="20"/>
          <w:szCs w:val="20"/>
          <w:color w:val="auto"/>
        </w:rPr>
      </w:pPr>
      <w:r>
        <w:rPr>
          <w:rFonts w:ascii="Arial" w:cs="Arial" w:eastAsia="Arial" w:hAnsi="Arial"/>
          <w:sz w:val="16"/>
          <w:szCs w:val="16"/>
          <w:color w:val="E7417A"/>
        </w:rPr>
        <w:t>governance/governance-highlights</w:t>
      </w:r>
      <w:r>
        <w:rPr>
          <w:rFonts w:ascii="Arial" w:cs="Arial" w:eastAsia="Arial" w:hAnsi="Arial"/>
          <w:sz w:val="16"/>
          <w:szCs w:val="16"/>
          <w:color w:val="000000"/>
        </w:rPr>
        <w:t>.</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62259D"/>
        </w:rPr>
        <w:t>REPORT</w:t>
      </w:r>
    </w:p>
    <w:p>
      <w:pPr>
        <w:spacing w:after="0" w:line="34" w:lineRule="exact"/>
        <w:rPr>
          <w:sz w:val="20"/>
          <w:szCs w:val="20"/>
          <w:color w:val="auto"/>
        </w:rPr>
      </w:pPr>
    </w:p>
    <w:p>
      <w:pPr>
        <w:ind w:left="220" w:right="439"/>
        <w:spacing w:after="0" w:line="259" w:lineRule="auto"/>
        <w:rPr>
          <w:sz w:val="20"/>
          <w:szCs w:val="20"/>
          <w:color w:val="auto"/>
        </w:rPr>
      </w:pPr>
      <w:r>
        <w:rPr>
          <w:rFonts w:ascii="Arial" w:cs="Arial" w:eastAsia="Arial" w:hAnsi="Arial"/>
          <w:sz w:val="16"/>
          <w:szCs w:val="16"/>
          <w:color w:val="auto"/>
        </w:rPr>
        <w:t>The Compensation Committee Report is on page 51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816610</wp:posOffset>
            </wp:positionV>
            <wp:extent cx="56235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451" w:lineRule="exact"/>
        <w:rPr>
          <w:sz w:val="20"/>
          <w:szCs w:val="20"/>
          <w:color w:val="auto"/>
        </w:rPr>
      </w:pPr>
    </w:p>
    <w:p>
      <w:pPr>
        <w:sectPr>
          <w:pgSz w:w="11900" w:h="16838" w:orient="portrait"/>
          <w:cols w:equalWidth="0" w:num="2">
            <w:col w:w="5200" w:space="40"/>
            <w:col w:w="46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22</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167640</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0" w:lineRule="exact"/>
        <w:rPr>
          <w:sz w:val="20"/>
          <w:szCs w:val="20"/>
          <w:color w:val="auto"/>
        </w:rPr>
      </w:pPr>
    </w:p>
    <w:p>
      <w:pPr>
        <w:spacing w:after="0" w:line="240" w:lineRule="exact"/>
        <w:rPr>
          <w:sz w:val="20"/>
          <w:szCs w:val="20"/>
          <w:color w:val="auto"/>
        </w:rPr>
      </w:pPr>
    </w:p>
    <w:tbl>
      <w:tblPr>
        <w:tblLayout w:type="fixed"/>
        <w:tblInd w:w="920" w:type="dxa"/>
        <w:tblCellMar>
          <w:top w:w="0" w:type="dxa"/>
          <w:left w:w="0" w:type="dxa"/>
          <w:bottom w:w="0" w:type="dxa"/>
          <w:right w:w="0" w:type="dxa"/>
        </w:tblCellMar>
      </w:tblPr>
      <w:tr>
        <w:trPr>
          <w:trHeight w:val="344"/>
        </w:trPr>
        <w:tc>
          <w:tcPr>
            <w:tcW w:w="120" w:type="dxa"/>
            <w:vAlign w:val="bottom"/>
            <w:tcBorders>
              <w:bottom w:val="single" w:sz="8" w:color="E7417A"/>
            </w:tcBorders>
            <w:shd w:val="clear" w:color="auto" w:fill="E7417A"/>
          </w:tcPr>
          <w:p>
            <w:pPr>
              <w:spacing w:after="0"/>
              <w:rPr>
                <w:sz w:val="20"/>
                <w:szCs w:val="20"/>
                <w:color w:val="auto"/>
              </w:rPr>
            </w:pPr>
            <w:r>
              <w:rPr>
                <w:rFonts w:ascii="Arial" w:cs="Arial" w:eastAsia="Arial" w:hAnsi="Arial"/>
                <w:sz w:val="21"/>
                <w:szCs w:val="21"/>
                <w:b w:val="1"/>
                <w:bCs w:val="1"/>
                <w:color w:val="FEFEFE"/>
              </w:rPr>
              <w:t>​</w:t>
            </w:r>
          </w:p>
        </w:tc>
        <w:tc>
          <w:tcPr>
            <w:tcW w:w="8520" w:type="dxa"/>
            <w:vAlign w:val="bottom"/>
            <w:tcBorders>
              <w:bottom w:val="single" w:sz="8" w:color="E7417A"/>
            </w:tcBorders>
            <w:gridSpan w:val="3"/>
            <w:shd w:val="clear" w:color="auto" w:fill="E7417A"/>
          </w:tcPr>
          <w:p>
            <w:pPr>
              <w:ind w:left="100"/>
              <w:spacing w:after="0"/>
              <w:rPr>
                <w:sz w:val="20"/>
                <w:szCs w:val="20"/>
                <w:color w:val="auto"/>
              </w:rPr>
            </w:pPr>
            <w:r>
              <w:rPr>
                <w:rFonts w:ascii="Arial" w:cs="Arial" w:eastAsia="Arial" w:hAnsi="Arial"/>
                <w:sz w:val="21"/>
                <w:szCs w:val="21"/>
                <w:b w:val="1"/>
                <w:bCs w:val="1"/>
                <w:color w:val="FEFEFE"/>
              </w:rPr>
              <w:t>NOMINATING, SUSTAINABILITY &amp; CORPORATE GOVERNANCE COMMITTEE</w:t>
            </w:r>
          </w:p>
        </w:tc>
        <w:tc>
          <w:tcPr>
            <w:tcW w:w="220" w:type="dxa"/>
            <w:vAlign w:val="bottom"/>
            <w:tcBorders>
              <w:bottom w:val="single" w:sz="8" w:color="E7417A"/>
            </w:tcBorders>
            <w:shd w:val="clear" w:color="auto" w:fill="E7417A"/>
          </w:tcPr>
          <w:p>
            <w:pPr>
              <w:spacing w:after="0"/>
              <w:rPr>
                <w:sz w:val="20"/>
                <w:szCs w:val="20"/>
                <w:color w:val="auto"/>
              </w:rPr>
            </w:pPr>
            <w:r>
              <w:rPr>
                <w:rFonts w:ascii="Arial" w:cs="Arial" w:eastAsia="Arial" w:hAnsi="Arial"/>
                <w:sz w:val="21"/>
                <w:szCs w:val="21"/>
                <w:b w:val="1"/>
                <w:bCs w:val="1"/>
                <w:color w:val="FEFEFE"/>
              </w:rPr>
              <w:t>​</w:t>
            </w:r>
          </w:p>
        </w:tc>
        <w:tc>
          <w:tcPr>
            <w:tcW w:w="0" w:type="dxa"/>
            <w:vAlign w:val="bottom"/>
          </w:tcPr>
          <w:p>
            <w:pPr>
              <w:spacing w:after="0"/>
              <w:rPr>
                <w:sz w:val="1"/>
                <w:szCs w:val="1"/>
                <w:color w:val="auto"/>
              </w:rPr>
            </w:pPr>
          </w:p>
        </w:tc>
      </w:tr>
      <w:tr>
        <w:trPr>
          <w:trHeight w:val="242"/>
        </w:trPr>
        <w:tc>
          <w:tcPr>
            <w:tcW w:w="12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2420" w:type="dxa"/>
            <w:vAlign w:val="bottom"/>
            <w:shd w:val="clear" w:color="auto" w:fill="F2F2F2"/>
          </w:tcPr>
          <w:p>
            <w:pPr>
              <w:spacing w:after="0"/>
              <w:rPr>
                <w:sz w:val="20"/>
                <w:szCs w:val="20"/>
                <w:color w:val="auto"/>
              </w:rPr>
            </w:pPr>
            <w:r>
              <w:rPr>
                <w:rFonts w:ascii="Arial" w:cs="Arial" w:eastAsia="Arial" w:hAnsi="Arial"/>
                <w:sz w:val="16"/>
                <w:szCs w:val="16"/>
                <w:b w:val="1"/>
                <w:bCs w:val="1"/>
                <w:color w:val="62259D"/>
              </w:rPr>
              <w:t>CURRENT COMMITTEE</w:t>
            </w:r>
          </w:p>
        </w:tc>
        <w:tc>
          <w:tcPr>
            <w:tcW w:w="2160" w:type="dxa"/>
            <w:vAlign w:val="bottom"/>
            <w:shd w:val="clear" w:color="auto" w:fill="F2F2F2"/>
          </w:tcPr>
          <w:p>
            <w:pPr>
              <w:ind w:left="280"/>
              <w:spacing w:after="0"/>
              <w:rPr>
                <w:sz w:val="20"/>
                <w:szCs w:val="20"/>
                <w:color w:val="auto"/>
              </w:rPr>
            </w:pPr>
            <w:r>
              <w:rPr>
                <w:rFonts w:ascii="Arial" w:cs="Arial" w:eastAsia="Arial" w:hAnsi="Arial"/>
                <w:sz w:val="16"/>
                <w:szCs w:val="16"/>
                <w:color w:val="auto"/>
              </w:rPr>
              <w:t>​ ​</w:t>
            </w:r>
          </w:p>
        </w:tc>
        <w:tc>
          <w:tcPr>
            <w:tcW w:w="3940" w:type="dxa"/>
            <w:vAlign w:val="bottom"/>
            <w:vMerge w:val="restart"/>
            <w:shd w:val="clear" w:color="auto" w:fill="F2F2F2"/>
          </w:tcPr>
          <w:p>
            <w:pPr>
              <w:ind w:left="16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All members of the committee are independent</w:t>
            </w:r>
          </w:p>
        </w:tc>
        <w:tc>
          <w:tcPr>
            <w:tcW w:w="22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20" w:type="dxa"/>
            <w:vAlign w:val="bottom"/>
            <w:shd w:val="clear" w:color="auto" w:fill="F2F2F2"/>
          </w:tcPr>
          <w:p>
            <w:pPr>
              <w:spacing w:after="0"/>
              <w:rPr>
                <w:sz w:val="9"/>
                <w:szCs w:val="9"/>
                <w:color w:val="auto"/>
              </w:rPr>
            </w:pPr>
          </w:p>
        </w:tc>
        <w:tc>
          <w:tcPr>
            <w:tcW w:w="2420" w:type="dxa"/>
            <w:vAlign w:val="bottom"/>
            <w:vMerge w:val="restart"/>
            <w:shd w:val="clear" w:color="auto" w:fill="F2F2F2"/>
          </w:tcPr>
          <w:p>
            <w:pPr>
              <w:spacing w:after="0"/>
              <w:rPr>
                <w:sz w:val="20"/>
                <w:szCs w:val="20"/>
                <w:color w:val="auto"/>
              </w:rPr>
            </w:pPr>
            <w:r>
              <w:rPr>
                <w:rFonts w:ascii="Arial" w:cs="Arial" w:eastAsia="Arial" w:hAnsi="Arial"/>
                <w:sz w:val="16"/>
                <w:szCs w:val="16"/>
                <w:b w:val="1"/>
                <w:bCs w:val="1"/>
                <w:color w:val="62259D"/>
              </w:rPr>
              <w:t>MEMBERS</w:t>
            </w:r>
          </w:p>
        </w:tc>
        <w:tc>
          <w:tcPr>
            <w:tcW w:w="2160" w:type="dxa"/>
            <w:vAlign w:val="bottom"/>
            <w:shd w:val="clear" w:color="auto" w:fill="F2F2F2"/>
          </w:tcPr>
          <w:p>
            <w:pPr>
              <w:spacing w:after="0"/>
              <w:rPr>
                <w:sz w:val="9"/>
                <w:szCs w:val="9"/>
                <w:color w:val="auto"/>
              </w:rPr>
            </w:pPr>
          </w:p>
        </w:tc>
        <w:tc>
          <w:tcPr>
            <w:tcW w:w="3940" w:type="dxa"/>
            <w:vAlign w:val="bottom"/>
            <w:vMerge w:val="continue"/>
            <w:shd w:val="clear" w:color="auto" w:fill="F2F2F2"/>
          </w:tcPr>
          <w:p>
            <w:pPr>
              <w:spacing w:after="0"/>
              <w:rPr>
                <w:sz w:val="9"/>
                <w:szCs w:val="9"/>
                <w:color w:val="auto"/>
              </w:rPr>
            </w:pPr>
          </w:p>
        </w:tc>
        <w:tc>
          <w:tcPr>
            <w:tcW w:w="22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20" w:type="dxa"/>
            <w:vAlign w:val="bottom"/>
            <w:vMerge w:val="restart"/>
            <w:shd w:val="clear" w:color="auto" w:fill="F2F2F2"/>
          </w:tcPr>
          <w:p>
            <w:pPr>
              <w:spacing w:after="0"/>
              <w:rPr>
                <w:sz w:val="20"/>
                <w:szCs w:val="20"/>
                <w:color w:val="auto"/>
              </w:rPr>
            </w:pPr>
            <w:r>
              <w:rPr>
                <w:rFonts w:ascii="Arial" w:cs="Arial" w:eastAsia="Arial" w:hAnsi="Arial"/>
                <w:sz w:val="16"/>
                <w:szCs w:val="16"/>
                <w:color w:val="auto"/>
              </w:rPr>
              <w:t>​</w:t>
            </w:r>
          </w:p>
        </w:tc>
        <w:tc>
          <w:tcPr>
            <w:tcW w:w="2420" w:type="dxa"/>
            <w:vAlign w:val="bottom"/>
            <w:vMerge w:val="continue"/>
            <w:shd w:val="clear" w:color="auto" w:fill="F2F2F2"/>
          </w:tcPr>
          <w:p>
            <w:pPr>
              <w:spacing w:after="0"/>
              <w:rPr>
                <w:sz w:val="8"/>
                <w:szCs w:val="8"/>
                <w:color w:val="auto"/>
              </w:rPr>
            </w:pPr>
          </w:p>
        </w:tc>
        <w:tc>
          <w:tcPr>
            <w:tcW w:w="2160" w:type="dxa"/>
            <w:vAlign w:val="bottom"/>
            <w:vMerge w:val="restart"/>
            <w:shd w:val="clear" w:color="auto" w:fill="F2F2F2"/>
          </w:tcPr>
          <w:p>
            <w:pPr>
              <w:ind w:left="28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62259D"/>
              </w:rPr>
              <w:t>■</w:t>
            </w:r>
            <w:r>
              <w:rPr>
                <w:rFonts w:ascii="Arial" w:cs="Arial" w:eastAsia="Arial" w:hAnsi="Arial"/>
                <w:sz w:val="16"/>
                <w:szCs w:val="16"/>
                <w:color w:val="auto"/>
              </w:rPr>
              <w:t xml:space="preserve"> Stewart Ewing, Jr.</w:t>
            </w:r>
          </w:p>
        </w:tc>
        <w:tc>
          <w:tcPr>
            <w:tcW w:w="3940" w:type="dxa"/>
            <w:vAlign w:val="bottom"/>
            <w:vMerge w:val="restart"/>
            <w:shd w:val="clear" w:color="auto" w:fill="F2F2F2"/>
          </w:tcPr>
          <w:p>
            <w:pPr>
              <w:ind w:left="102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62259D"/>
              </w:rPr>
              <w:t>■</w:t>
            </w:r>
            <w:r>
              <w:rPr>
                <w:rFonts w:ascii="Arial" w:cs="Arial" w:eastAsia="Arial" w:hAnsi="Arial"/>
                <w:sz w:val="16"/>
                <w:szCs w:val="16"/>
                <w:color w:val="auto"/>
              </w:rPr>
              <w:t xml:space="preserve"> Tanya Tamone</w:t>
            </w:r>
          </w:p>
        </w:tc>
        <w:tc>
          <w:tcPr>
            <w:tcW w:w="220" w:type="dxa"/>
            <w:vAlign w:val="bottom"/>
            <w:vMerge w:val="restart"/>
            <w:shd w:val="clear" w:color="auto" w:fill="F2F2F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20" w:type="dxa"/>
            <w:vAlign w:val="bottom"/>
            <w:vMerge w:val="continue"/>
            <w:shd w:val="clear" w:color="auto" w:fill="F2F2F2"/>
          </w:tcPr>
          <w:p>
            <w:pPr>
              <w:spacing w:after="0"/>
              <w:rPr>
                <w:sz w:val="18"/>
                <w:szCs w:val="18"/>
                <w:color w:val="auto"/>
              </w:rPr>
            </w:pPr>
          </w:p>
        </w:tc>
        <w:tc>
          <w:tcPr>
            <w:tcW w:w="2420" w:type="dxa"/>
            <w:vAlign w:val="bottom"/>
            <w:shd w:val="clear" w:color="auto" w:fill="F2F2F2"/>
          </w:tcPr>
          <w:p>
            <w:pPr>
              <w:ind w:left="16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Bruns H. Grayson,</w:t>
            </w:r>
            <w:r>
              <w:rPr>
                <w:rFonts w:ascii="Arial" w:cs="Arial" w:eastAsia="Arial" w:hAnsi="Arial"/>
                <w:sz w:val="16"/>
                <w:szCs w:val="16"/>
                <w:color w:val="62259D"/>
              </w:rPr>
              <w:t xml:space="preserve"> </w:t>
            </w:r>
            <w:r>
              <w:rPr>
                <w:rFonts w:ascii="Arial" w:cs="Arial" w:eastAsia="Arial" w:hAnsi="Arial"/>
                <w:sz w:val="16"/>
                <w:szCs w:val="16"/>
                <w:i w:val="1"/>
                <w:iCs w:val="1"/>
                <w:color w:val="000000"/>
              </w:rPr>
              <w:t>Chair</w:t>
            </w:r>
          </w:p>
        </w:tc>
        <w:tc>
          <w:tcPr>
            <w:tcW w:w="2160" w:type="dxa"/>
            <w:vAlign w:val="bottom"/>
            <w:vMerge w:val="continue"/>
            <w:shd w:val="clear" w:color="auto" w:fill="F2F2F2"/>
          </w:tcPr>
          <w:p>
            <w:pPr>
              <w:spacing w:after="0"/>
              <w:rPr>
                <w:sz w:val="18"/>
                <w:szCs w:val="18"/>
                <w:color w:val="auto"/>
              </w:rPr>
            </w:pPr>
          </w:p>
        </w:tc>
        <w:tc>
          <w:tcPr>
            <w:tcW w:w="3940" w:type="dxa"/>
            <w:vAlign w:val="bottom"/>
            <w:vMerge w:val="continue"/>
            <w:shd w:val="clear" w:color="auto" w:fill="F2F2F2"/>
          </w:tcPr>
          <w:p>
            <w:pPr>
              <w:spacing w:after="0"/>
              <w:rPr>
                <w:sz w:val="18"/>
                <w:szCs w:val="18"/>
                <w:color w:val="auto"/>
              </w:rPr>
            </w:pPr>
          </w:p>
        </w:tc>
        <w:tc>
          <w:tcPr>
            <w:tcW w:w="220" w:type="dxa"/>
            <w:vAlign w:val="bottom"/>
            <w:vMerge w:val="continue"/>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20" w:type="dxa"/>
            <w:vAlign w:val="bottom"/>
            <w:shd w:val="clear" w:color="auto" w:fill="F2F2F2"/>
          </w:tcPr>
          <w:p>
            <w:pPr>
              <w:spacing w:after="0"/>
              <w:rPr>
                <w:sz w:val="4"/>
                <w:szCs w:val="4"/>
                <w:color w:val="auto"/>
              </w:rPr>
            </w:pPr>
          </w:p>
        </w:tc>
        <w:tc>
          <w:tcPr>
            <w:tcW w:w="2420" w:type="dxa"/>
            <w:vAlign w:val="bottom"/>
            <w:shd w:val="clear" w:color="auto" w:fill="F2F2F2"/>
          </w:tcPr>
          <w:p>
            <w:pPr>
              <w:spacing w:after="0"/>
              <w:rPr>
                <w:sz w:val="4"/>
                <w:szCs w:val="4"/>
                <w:color w:val="auto"/>
              </w:rPr>
            </w:pPr>
          </w:p>
        </w:tc>
        <w:tc>
          <w:tcPr>
            <w:tcW w:w="2160" w:type="dxa"/>
            <w:vAlign w:val="bottom"/>
            <w:shd w:val="clear" w:color="auto" w:fill="F2F2F2"/>
          </w:tcPr>
          <w:p>
            <w:pPr>
              <w:spacing w:after="0"/>
              <w:rPr>
                <w:sz w:val="4"/>
                <w:szCs w:val="4"/>
                <w:color w:val="auto"/>
              </w:rPr>
            </w:pPr>
          </w:p>
        </w:tc>
        <w:tc>
          <w:tcPr>
            <w:tcW w:w="3940" w:type="dxa"/>
            <w:vAlign w:val="bottom"/>
            <w:shd w:val="clear" w:color="auto" w:fill="F2F2F2"/>
          </w:tcPr>
          <w:p>
            <w:pPr>
              <w:spacing w:after="0"/>
              <w:rPr>
                <w:sz w:val="4"/>
                <w:szCs w:val="4"/>
                <w:color w:val="auto"/>
              </w:rPr>
            </w:pPr>
          </w:p>
        </w:tc>
        <w:tc>
          <w:tcPr>
            <w:tcW w:w="22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3568700</wp:posOffset>
            </wp:positionH>
            <wp:positionV relativeFrom="paragraph">
              <wp:posOffset>-368300</wp:posOffset>
            </wp:positionV>
            <wp:extent cx="111125" cy="1028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24" w:lineRule="exact"/>
        <w:rPr>
          <w:sz w:val="20"/>
          <w:szCs w:val="20"/>
          <w:color w:val="auto"/>
        </w:rPr>
      </w:pPr>
    </w:p>
    <w:p>
      <w:pPr>
        <w:ind w:left="1040" w:hanging="116"/>
        <w:spacing w:after="0"/>
        <w:tabs>
          <w:tab w:leader="none" w:pos="104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62259D"/>
        </w:rPr>
        <w:t>KEY RESPONSIBILITIES</w:t>
      </w:r>
    </w:p>
    <w:p>
      <w:pPr>
        <w:spacing w:after="0" w:line="47" w:lineRule="exact"/>
        <w:rPr>
          <w:rFonts w:ascii="Arial" w:cs="Arial" w:eastAsia="Arial" w:hAnsi="Arial"/>
          <w:sz w:val="16"/>
          <w:szCs w:val="16"/>
          <w:color w:val="auto"/>
        </w:rPr>
      </w:pPr>
    </w:p>
    <w:p>
      <w:pPr>
        <w:ind w:left="1040" w:right="300"/>
        <w:spacing w:after="0" w:line="236" w:lineRule="auto"/>
        <w:rPr>
          <w:rFonts w:ascii="Arial" w:cs="Arial" w:eastAsia="Arial" w:hAnsi="Arial"/>
          <w:sz w:val="16"/>
          <w:szCs w:val="16"/>
          <w:color w:val="auto"/>
        </w:rPr>
      </w:pPr>
      <w:r>
        <w:rPr>
          <w:rFonts w:ascii="Arial" w:cs="Arial" w:eastAsia="Arial" w:hAnsi="Arial"/>
          <w:sz w:val="16"/>
          <w:szCs w:val="16"/>
          <w:color w:val="auto"/>
        </w:rPr>
        <w:t>As described more fully in its charter, the Nominating, Sustainability &amp; Corporate Governance Committee’s responsibilities include, among other things:</w:t>
      </w:r>
    </w:p>
    <w:p>
      <w:pPr>
        <w:spacing w:after="0" w:line="37" w:lineRule="exact"/>
        <w:rPr>
          <w:rFonts w:ascii="Arial" w:cs="Arial" w:eastAsia="Arial" w:hAnsi="Arial"/>
          <w:sz w:val="16"/>
          <w:szCs w:val="16"/>
          <w:color w:val="auto"/>
        </w:rPr>
      </w:pPr>
    </w:p>
    <w:p>
      <w:pPr>
        <w:ind w:left="1340" w:hanging="308"/>
        <w:spacing w:after="0" w:line="234" w:lineRule="auto"/>
        <w:tabs>
          <w:tab w:leader="none" w:pos="13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identifying, screening and reviewing individuals qualified to serve as directors, consistent with criteria approved by the Board, and recommending to the Board candidates for:</w:t>
      </w:r>
    </w:p>
    <w:p>
      <w:pPr>
        <w:spacing w:after="0" w:line="38" w:lineRule="exact"/>
        <w:rPr>
          <w:rFonts w:ascii="Arial" w:cs="Arial" w:eastAsia="Arial" w:hAnsi="Arial"/>
          <w:sz w:val="16"/>
          <w:szCs w:val="16"/>
          <w:color w:val="auto"/>
        </w:rPr>
      </w:pPr>
    </w:p>
    <w:p>
      <w:pPr>
        <w:ind w:left="1660" w:hanging="322"/>
        <w:spacing w:after="0"/>
        <w:tabs>
          <w:tab w:leader="none" w:pos="1660" w:val="left"/>
        </w:tabs>
        <w:numPr>
          <w:ilvl w:val="2"/>
          <w:numId w:val="70"/>
        </w:numPr>
        <w:rPr>
          <w:rFonts w:ascii="Arial" w:cs="Arial" w:eastAsia="Arial" w:hAnsi="Arial"/>
          <w:sz w:val="16"/>
          <w:szCs w:val="16"/>
          <w:color w:val="auto"/>
        </w:rPr>
      </w:pPr>
      <w:r>
        <w:rPr>
          <w:rFonts w:ascii="Arial" w:cs="Arial" w:eastAsia="Arial" w:hAnsi="Arial"/>
          <w:sz w:val="16"/>
          <w:szCs w:val="16"/>
          <w:color w:val="auto"/>
        </w:rPr>
        <w:t>nomination for election by the stockholders, and</w:t>
      </w:r>
    </w:p>
    <w:p>
      <w:pPr>
        <w:spacing w:after="0" w:line="45" w:lineRule="exact"/>
        <w:rPr>
          <w:rFonts w:ascii="Arial" w:cs="Arial" w:eastAsia="Arial" w:hAnsi="Arial"/>
          <w:sz w:val="16"/>
          <w:szCs w:val="16"/>
          <w:color w:val="auto"/>
        </w:rPr>
      </w:pPr>
    </w:p>
    <w:p>
      <w:pPr>
        <w:ind w:left="1660" w:right="140" w:hanging="322"/>
        <w:spacing w:after="0" w:line="233" w:lineRule="auto"/>
        <w:tabs>
          <w:tab w:leader="none" w:pos="1660" w:val="left"/>
        </w:tabs>
        <w:numPr>
          <w:ilvl w:val="2"/>
          <w:numId w:val="70"/>
        </w:numPr>
        <w:rPr>
          <w:rFonts w:ascii="Arial" w:cs="Arial" w:eastAsia="Arial" w:hAnsi="Arial"/>
          <w:sz w:val="16"/>
          <w:szCs w:val="16"/>
          <w:color w:val="auto"/>
        </w:rPr>
      </w:pPr>
      <w:r>
        <w:rPr>
          <w:rFonts w:ascii="Arial" w:cs="Arial" w:eastAsia="Arial" w:hAnsi="Arial"/>
          <w:sz w:val="16"/>
          <w:szCs w:val="16"/>
          <w:color w:val="auto"/>
        </w:rPr>
        <w:t>any Board vacancies that are to be filled by the Board, subject to any rights regarding the selection of directors by holders of preferred shares and any other contractual or other commitments of the Company;</w:t>
      </w:r>
    </w:p>
    <w:p>
      <w:pPr>
        <w:spacing w:after="0" w:line="38" w:lineRule="exact"/>
        <w:rPr>
          <w:sz w:val="20"/>
          <w:szCs w:val="20"/>
          <w:color w:val="auto"/>
        </w:rPr>
      </w:pPr>
    </w:p>
    <w:p>
      <w:pPr>
        <w:ind w:left="1340" w:hanging="308"/>
        <w:spacing w:after="0" w:line="233" w:lineRule="auto"/>
        <w:tabs>
          <w:tab w:leader="none" w:pos="1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developing and recommending to the Board, overseeing the implementation and effectiveness of, and recommending modifications as appropriate to, a set of corporate governance guidelines applicable to the Company;</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 ​ (iii) reviewing annually with the Board the composition of ​</w:t>
      </w:r>
    </w:p>
    <w:p>
      <w:pPr>
        <w:spacing w:after="0" w:line="6" w:lineRule="exact"/>
        <w:rPr>
          <w:sz w:val="20"/>
          <w:szCs w:val="20"/>
          <w:color w:val="auto"/>
        </w:rPr>
      </w:pPr>
    </w:p>
    <w:p>
      <w:pPr>
        <w:ind w:left="540" w:right="339"/>
        <w:spacing w:after="0" w:line="220" w:lineRule="auto"/>
        <w:rPr>
          <w:sz w:val="20"/>
          <w:szCs w:val="20"/>
          <w:color w:val="auto"/>
        </w:rPr>
      </w:pPr>
      <w:r>
        <w:rPr>
          <w:rFonts w:ascii="Arial" w:cs="Arial" w:eastAsia="Arial" w:hAnsi="Arial"/>
          <w:sz w:val="16"/>
          <w:szCs w:val="16"/>
          <w:color w:val="auto"/>
        </w:rPr>
        <w:t>the Board as a whole and a succession plan in the event one or more directors ceases to serve for any</w:t>
      </w:r>
    </w:p>
    <w:p>
      <w:pPr>
        <w:ind w:left="540"/>
        <w:spacing w:after="0"/>
        <w:rPr>
          <w:sz w:val="20"/>
          <w:szCs w:val="20"/>
          <w:color w:val="auto"/>
        </w:rPr>
      </w:pPr>
      <w:r>
        <w:rPr>
          <w:rFonts w:ascii="Arial" w:cs="Arial" w:eastAsia="Arial" w:hAnsi="Arial"/>
          <w:sz w:val="16"/>
          <w:szCs w:val="16"/>
          <w:color w:val="auto"/>
        </w:rPr>
        <w:t>reason;</w:t>
      </w:r>
    </w:p>
    <w:p>
      <w:pPr>
        <w:spacing w:after="0" w:line="45" w:lineRule="exact"/>
        <w:rPr>
          <w:sz w:val="20"/>
          <w:szCs w:val="20"/>
          <w:color w:val="auto"/>
        </w:rPr>
      </w:pPr>
    </w:p>
    <w:p>
      <w:pPr>
        <w:ind w:left="540" w:right="219" w:hanging="320"/>
        <w:spacing w:after="0" w:line="259" w:lineRule="auto"/>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overseeing the annual self-evaluation of the Board, its committees, individual directors and management;</w:t>
      </w:r>
    </w:p>
    <w:p>
      <w:pPr>
        <w:spacing w:after="0" w:line="7" w:lineRule="exact"/>
        <w:rPr>
          <w:rFonts w:ascii="Arial" w:cs="Arial" w:eastAsia="Arial" w:hAnsi="Arial"/>
          <w:sz w:val="16"/>
          <w:szCs w:val="16"/>
          <w:color w:val="auto"/>
        </w:rPr>
      </w:pPr>
    </w:p>
    <w:p>
      <w:pPr>
        <w:ind w:left="540" w:right="399" w:hanging="320"/>
        <w:spacing w:after="0" w:line="244" w:lineRule="auto"/>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identifying appropriate director development and continuing education opportunities and making recommendations to the Board as appropriate; and</w:t>
      </w:r>
    </w:p>
    <w:p>
      <w:pPr>
        <w:spacing w:after="0" w:line="19" w:lineRule="exact"/>
        <w:rPr>
          <w:rFonts w:ascii="Arial" w:cs="Arial" w:eastAsia="Arial" w:hAnsi="Arial"/>
          <w:sz w:val="16"/>
          <w:szCs w:val="16"/>
          <w:color w:val="auto"/>
        </w:rPr>
      </w:pPr>
    </w:p>
    <w:p>
      <w:pPr>
        <w:ind w:left="540" w:right="319" w:hanging="320"/>
        <w:spacing w:after="0" w:line="239" w:lineRule="auto"/>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reviewing the Company’s strategies, activities, policies and communications regarding ESG related matters and making recommendations to the Board as appropriate.</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62259D"/>
        </w:rPr>
        <w:t>CHARTER</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Nominating, Sustainability and Corporate</w:t>
      </w:r>
    </w:p>
    <w:p>
      <w:pPr>
        <w:spacing w:after="0" w:line="6" w:lineRule="exact"/>
        <w:rPr>
          <w:sz w:val="20"/>
          <w:szCs w:val="20"/>
          <w:color w:val="auto"/>
        </w:rPr>
      </w:pPr>
    </w:p>
    <w:p>
      <w:pPr>
        <w:ind w:left="220" w:right="299"/>
        <w:spacing w:after="0" w:line="220" w:lineRule="auto"/>
        <w:rPr>
          <w:sz w:val="20"/>
          <w:szCs w:val="20"/>
          <w:color w:val="auto"/>
        </w:rPr>
      </w:pPr>
      <w:r>
        <w:rPr>
          <w:rFonts w:ascii="Arial" w:cs="Arial" w:eastAsia="Arial" w:hAnsi="Arial"/>
          <w:sz w:val="16"/>
          <w:szCs w:val="16"/>
          <w:color w:val="auto"/>
        </w:rPr>
        <w:t>Governance Committee operates pursuant to a written charter adopted by the Board that reflects standards and</w:t>
      </w:r>
    </w:p>
    <w:p>
      <w:pPr>
        <w:ind w:left="220" w:right="219"/>
        <w:spacing w:after="0" w:line="228" w:lineRule="auto"/>
        <w:rPr>
          <w:sz w:val="20"/>
          <w:szCs w:val="20"/>
          <w:color w:val="auto"/>
        </w:rPr>
      </w:pPr>
      <w:r>
        <w:rPr>
          <w:rFonts w:ascii="Arial" w:cs="Arial" w:eastAsia="Arial" w:hAnsi="Arial"/>
          <w:sz w:val="16"/>
          <w:szCs w:val="16"/>
          <w:color w:val="auto"/>
        </w:rPr>
        <w:t>requirements adopted by Nasdaq, a current copy of which is available at</w:t>
      </w:r>
    </w:p>
    <w:p>
      <w:pPr>
        <w:spacing w:after="0" w:line="1" w:lineRule="exact"/>
        <w:rPr>
          <w:sz w:val="20"/>
          <w:szCs w:val="20"/>
          <w:color w:val="auto"/>
        </w:rPr>
      </w:pPr>
    </w:p>
    <w:p>
      <w:pPr>
        <w:ind w:left="220" w:right="919"/>
        <w:spacing w:after="0" w:line="231" w:lineRule="auto"/>
        <w:rPr>
          <w:sz w:val="20"/>
          <w:szCs w:val="20"/>
          <w:color w:val="auto"/>
        </w:rPr>
      </w:pPr>
      <w:r>
        <w:rPr>
          <w:rFonts w:ascii="Arial" w:cs="Arial" w:eastAsia="Arial" w:hAnsi="Arial"/>
          <w:sz w:val="16"/>
          <w:szCs w:val="16"/>
          <w:color w:val="E7417A"/>
        </w:rPr>
        <w:t>investors.ribboncommunications.com/corporate-governance/governance-highlights</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20320</wp:posOffset>
            </wp:positionV>
            <wp:extent cx="562356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5220" w:space="20"/>
            <w:col w:w="4639"/>
          </w:cols>
          <w:pgMar w:left="580" w:top="97" w:right="1440" w:bottom="1440" w:gutter="0" w:footer="0" w:header="0"/>
          <w:type w:val="continuous"/>
        </w:sectPr>
      </w:pPr>
    </w:p>
    <w:tbl>
      <w:tblPr>
        <w:tblLayout w:type="fixed"/>
        <w:tblInd w:w="920" w:type="dxa"/>
        <w:tblCellMar>
          <w:top w:w="0" w:type="dxa"/>
          <w:left w:w="0" w:type="dxa"/>
          <w:bottom w:w="0" w:type="dxa"/>
          <w:right w:w="0" w:type="dxa"/>
        </w:tblCellMar>
      </w:tblPr>
      <w:tr>
        <w:trPr>
          <w:trHeight w:val="345"/>
        </w:trPr>
        <w:tc>
          <w:tcPr>
            <w:tcW w:w="120" w:type="dxa"/>
            <w:vAlign w:val="bottom"/>
            <w:tcBorders>
              <w:bottom w:val="single" w:sz="8" w:color="E7417A"/>
            </w:tcBorders>
            <w:shd w:val="clear" w:color="auto" w:fill="E7417A"/>
          </w:tcPr>
          <w:p>
            <w:pPr>
              <w:spacing w:after="0"/>
              <w:rPr>
                <w:sz w:val="20"/>
                <w:szCs w:val="20"/>
                <w:color w:val="auto"/>
              </w:rPr>
            </w:pPr>
            <w:r>
              <w:rPr>
                <w:rFonts w:ascii="Arial" w:cs="Arial" w:eastAsia="Arial" w:hAnsi="Arial"/>
                <w:sz w:val="21"/>
                <w:szCs w:val="21"/>
                <w:b w:val="1"/>
                <w:bCs w:val="1"/>
                <w:color w:val="FEFEFE"/>
              </w:rPr>
              <w:t>​</w:t>
            </w:r>
          </w:p>
        </w:tc>
        <w:tc>
          <w:tcPr>
            <w:tcW w:w="4740" w:type="dxa"/>
            <w:vAlign w:val="bottom"/>
            <w:tcBorders>
              <w:bottom w:val="single" w:sz="8" w:color="E7417A"/>
            </w:tcBorders>
            <w:gridSpan w:val="2"/>
            <w:shd w:val="clear" w:color="auto" w:fill="E7417A"/>
          </w:tcPr>
          <w:p>
            <w:pPr>
              <w:ind w:left="100"/>
              <w:spacing w:after="0"/>
              <w:rPr>
                <w:sz w:val="20"/>
                <w:szCs w:val="20"/>
                <w:color w:val="auto"/>
              </w:rPr>
            </w:pPr>
            <w:r>
              <w:rPr>
                <w:rFonts w:ascii="Arial" w:cs="Arial" w:eastAsia="Arial" w:hAnsi="Arial"/>
                <w:sz w:val="21"/>
                <w:szCs w:val="21"/>
                <w:b w:val="1"/>
                <w:bCs w:val="1"/>
                <w:color w:val="FEFEFE"/>
              </w:rPr>
              <w:t>TECHNOLOGY &amp; INNOVATION COMMITTEE</w:t>
            </w:r>
          </w:p>
        </w:tc>
        <w:tc>
          <w:tcPr>
            <w:tcW w:w="3780" w:type="dxa"/>
            <w:vAlign w:val="bottom"/>
            <w:tcBorders>
              <w:bottom w:val="single" w:sz="8" w:color="E7417A"/>
            </w:tcBorders>
            <w:shd w:val="clear" w:color="auto" w:fill="E7417A"/>
          </w:tcPr>
          <w:p>
            <w:pPr>
              <w:spacing w:after="0"/>
              <w:rPr>
                <w:sz w:val="24"/>
                <w:szCs w:val="24"/>
                <w:color w:val="auto"/>
              </w:rPr>
            </w:pPr>
          </w:p>
        </w:tc>
        <w:tc>
          <w:tcPr>
            <w:tcW w:w="220" w:type="dxa"/>
            <w:vAlign w:val="bottom"/>
            <w:tcBorders>
              <w:bottom w:val="single" w:sz="8" w:color="E7417A"/>
            </w:tcBorders>
            <w:shd w:val="clear" w:color="auto" w:fill="E7417A"/>
          </w:tcPr>
          <w:p>
            <w:pPr>
              <w:spacing w:after="0"/>
              <w:rPr>
                <w:sz w:val="20"/>
                <w:szCs w:val="20"/>
                <w:color w:val="auto"/>
              </w:rPr>
            </w:pPr>
            <w:r>
              <w:rPr>
                <w:rFonts w:ascii="Arial" w:cs="Arial" w:eastAsia="Arial" w:hAnsi="Arial"/>
                <w:sz w:val="21"/>
                <w:szCs w:val="21"/>
                <w:b w:val="1"/>
                <w:bCs w:val="1"/>
                <w:color w:val="FEFEFE"/>
              </w:rPr>
              <w:t>​</w:t>
            </w:r>
          </w:p>
        </w:tc>
        <w:tc>
          <w:tcPr>
            <w:tcW w:w="0" w:type="dxa"/>
            <w:vAlign w:val="bottom"/>
          </w:tcPr>
          <w:p>
            <w:pPr>
              <w:spacing w:after="0"/>
              <w:rPr>
                <w:sz w:val="1"/>
                <w:szCs w:val="1"/>
                <w:color w:val="auto"/>
              </w:rPr>
            </w:pPr>
          </w:p>
        </w:tc>
      </w:tr>
      <w:tr>
        <w:trPr>
          <w:trHeight w:val="229"/>
        </w:trPr>
        <w:tc>
          <w:tcPr>
            <w:tcW w:w="12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2320" w:type="dxa"/>
            <w:vAlign w:val="bottom"/>
            <w:shd w:val="clear" w:color="auto" w:fill="F2F2F2"/>
          </w:tcPr>
          <w:p>
            <w:pPr>
              <w:spacing w:after="0"/>
              <w:rPr>
                <w:sz w:val="20"/>
                <w:szCs w:val="20"/>
                <w:color w:val="auto"/>
              </w:rPr>
            </w:pPr>
            <w:r>
              <w:rPr>
                <w:rFonts w:ascii="Arial" w:cs="Arial" w:eastAsia="Arial" w:hAnsi="Arial"/>
                <w:sz w:val="16"/>
                <w:szCs w:val="16"/>
                <w:b w:val="1"/>
                <w:bCs w:val="1"/>
                <w:color w:val="62259D"/>
              </w:rPr>
              <w:t>CURRENT COMMITTEE</w:t>
            </w:r>
          </w:p>
        </w:tc>
        <w:tc>
          <w:tcPr>
            <w:tcW w:w="2420" w:type="dxa"/>
            <w:vAlign w:val="bottom"/>
            <w:shd w:val="clear" w:color="auto" w:fill="F2F2F2"/>
          </w:tcPr>
          <w:p>
            <w:pPr>
              <w:ind w:left="380"/>
              <w:spacing w:after="0"/>
              <w:rPr>
                <w:sz w:val="20"/>
                <w:szCs w:val="20"/>
                <w:color w:val="auto"/>
              </w:rPr>
            </w:pPr>
            <w:r>
              <w:rPr>
                <w:rFonts w:ascii="Arial" w:cs="Arial" w:eastAsia="Arial" w:hAnsi="Arial"/>
                <w:sz w:val="16"/>
                <w:szCs w:val="16"/>
                <w:color w:val="auto"/>
              </w:rPr>
              <w:t>​ ​</w:t>
            </w:r>
          </w:p>
        </w:tc>
        <w:tc>
          <w:tcPr>
            <w:tcW w:w="3780" w:type="dxa"/>
            <w:vAlign w:val="bottom"/>
            <w:vMerge w:val="restart"/>
            <w:shd w:val="clear" w:color="auto" w:fill="F2F2F2"/>
          </w:tcPr>
          <w:p>
            <w:pPr>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All members of the committee are independent</w:t>
            </w:r>
          </w:p>
        </w:tc>
        <w:tc>
          <w:tcPr>
            <w:tcW w:w="22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20" w:type="dxa"/>
            <w:vAlign w:val="bottom"/>
            <w:shd w:val="clear" w:color="auto" w:fill="F2F2F2"/>
          </w:tcPr>
          <w:p>
            <w:pPr>
              <w:spacing w:after="0"/>
              <w:rPr>
                <w:sz w:val="9"/>
                <w:szCs w:val="9"/>
                <w:color w:val="auto"/>
              </w:rPr>
            </w:pPr>
          </w:p>
        </w:tc>
        <w:tc>
          <w:tcPr>
            <w:tcW w:w="2320" w:type="dxa"/>
            <w:vAlign w:val="bottom"/>
            <w:vMerge w:val="restart"/>
            <w:shd w:val="clear" w:color="auto" w:fill="F2F2F2"/>
          </w:tcPr>
          <w:p>
            <w:pPr>
              <w:spacing w:after="0"/>
              <w:rPr>
                <w:sz w:val="20"/>
                <w:szCs w:val="20"/>
                <w:color w:val="auto"/>
              </w:rPr>
            </w:pPr>
            <w:r>
              <w:rPr>
                <w:rFonts w:ascii="Arial" w:cs="Arial" w:eastAsia="Arial" w:hAnsi="Arial"/>
                <w:sz w:val="16"/>
                <w:szCs w:val="16"/>
                <w:b w:val="1"/>
                <w:bCs w:val="1"/>
                <w:color w:val="62259D"/>
              </w:rPr>
              <w:t>MEMBERS</w:t>
            </w:r>
          </w:p>
        </w:tc>
        <w:tc>
          <w:tcPr>
            <w:tcW w:w="2420" w:type="dxa"/>
            <w:vAlign w:val="bottom"/>
            <w:shd w:val="clear" w:color="auto" w:fill="F2F2F2"/>
          </w:tcPr>
          <w:p>
            <w:pPr>
              <w:spacing w:after="0"/>
              <w:rPr>
                <w:sz w:val="9"/>
                <w:szCs w:val="9"/>
                <w:color w:val="auto"/>
              </w:rPr>
            </w:pPr>
          </w:p>
        </w:tc>
        <w:tc>
          <w:tcPr>
            <w:tcW w:w="3780" w:type="dxa"/>
            <w:vAlign w:val="bottom"/>
            <w:vMerge w:val="continue"/>
            <w:shd w:val="clear" w:color="auto" w:fill="F2F2F2"/>
          </w:tcPr>
          <w:p>
            <w:pPr>
              <w:spacing w:after="0"/>
              <w:rPr>
                <w:sz w:val="9"/>
                <w:szCs w:val="9"/>
                <w:color w:val="auto"/>
              </w:rPr>
            </w:pPr>
          </w:p>
        </w:tc>
        <w:tc>
          <w:tcPr>
            <w:tcW w:w="22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0" w:type="dxa"/>
            <w:vAlign w:val="bottom"/>
            <w:vMerge w:val="restart"/>
            <w:shd w:val="clear" w:color="auto" w:fill="F2F2F2"/>
          </w:tcPr>
          <w:p>
            <w:pPr>
              <w:spacing w:after="0"/>
              <w:rPr>
                <w:sz w:val="20"/>
                <w:szCs w:val="20"/>
                <w:color w:val="auto"/>
              </w:rPr>
            </w:pPr>
            <w:r>
              <w:rPr>
                <w:rFonts w:ascii="Arial" w:cs="Arial" w:eastAsia="Arial" w:hAnsi="Arial"/>
                <w:sz w:val="16"/>
                <w:szCs w:val="16"/>
                <w:color w:val="auto"/>
              </w:rPr>
              <w:t>​</w:t>
            </w:r>
          </w:p>
        </w:tc>
        <w:tc>
          <w:tcPr>
            <w:tcW w:w="2320" w:type="dxa"/>
            <w:vAlign w:val="bottom"/>
            <w:vMerge w:val="continue"/>
            <w:shd w:val="clear" w:color="auto" w:fill="F2F2F2"/>
          </w:tcPr>
          <w:p>
            <w:pPr>
              <w:spacing w:after="0"/>
              <w:rPr>
                <w:sz w:val="9"/>
                <w:szCs w:val="9"/>
                <w:color w:val="auto"/>
              </w:rPr>
            </w:pPr>
          </w:p>
        </w:tc>
        <w:tc>
          <w:tcPr>
            <w:tcW w:w="2420" w:type="dxa"/>
            <w:vAlign w:val="bottom"/>
            <w:vMerge w:val="restart"/>
            <w:shd w:val="clear" w:color="auto" w:fill="F2F2F2"/>
          </w:tcPr>
          <w:p>
            <w:pPr>
              <w:ind w:left="38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62259D"/>
              </w:rPr>
              <w:t>■</w:t>
            </w:r>
            <w:r>
              <w:rPr>
                <w:rFonts w:ascii="Arial" w:cs="Arial" w:eastAsia="Arial" w:hAnsi="Arial"/>
                <w:sz w:val="16"/>
                <w:szCs w:val="16"/>
                <w:color w:val="auto"/>
              </w:rPr>
              <w:t xml:space="preserve"> Beatriz V. Infante</w:t>
            </w:r>
          </w:p>
        </w:tc>
        <w:tc>
          <w:tcPr>
            <w:tcW w:w="3780" w:type="dxa"/>
            <w:vAlign w:val="bottom"/>
            <w:vMerge w:val="restart"/>
            <w:shd w:val="clear" w:color="auto" w:fill="F2F2F2"/>
          </w:tcPr>
          <w:p>
            <w:pPr>
              <w:ind w:left="860"/>
              <w:spacing w:after="0"/>
              <w:rPr>
                <w:sz w:val="20"/>
                <w:szCs w:val="20"/>
                <w:color w:val="auto"/>
              </w:rPr>
            </w:pPr>
            <w:r>
              <w:rPr>
                <w:rFonts w:ascii="Arial" w:cs="Arial" w:eastAsia="Arial" w:hAnsi="Arial"/>
                <w:sz w:val="16"/>
                <w:szCs w:val="16"/>
                <w:color w:val="auto"/>
              </w:rPr>
              <w:t>​ ​ ​</w:t>
            </w:r>
          </w:p>
        </w:tc>
        <w:tc>
          <w:tcPr>
            <w:tcW w:w="220" w:type="dxa"/>
            <w:vAlign w:val="bottom"/>
            <w:vMerge w:val="restart"/>
            <w:shd w:val="clear" w:color="auto" w:fill="F2F2F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20" w:type="dxa"/>
            <w:vAlign w:val="bottom"/>
            <w:vMerge w:val="continue"/>
            <w:shd w:val="clear" w:color="auto" w:fill="F2F2F2"/>
          </w:tcPr>
          <w:p>
            <w:pPr>
              <w:spacing w:after="0"/>
              <w:rPr>
                <w:sz w:val="18"/>
                <w:szCs w:val="18"/>
                <w:color w:val="auto"/>
              </w:rPr>
            </w:pPr>
          </w:p>
        </w:tc>
        <w:tc>
          <w:tcPr>
            <w:tcW w:w="2320" w:type="dxa"/>
            <w:vAlign w:val="bottom"/>
            <w:shd w:val="clear" w:color="auto" w:fill="F2F2F2"/>
          </w:tcPr>
          <w:p>
            <w:pPr>
              <w:ind w:left="16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Scott Mair,</w:t>
            </w:r>
            <w:r>
              <w:rPr>
                <w:rFonts w:ascii="Arial" w:cs="Arial" w:eastAsia="Arial" w:hAnsi="Arial"/>
                <w:sz w:val="16"/>
                <w:szCs w:val="16"/>
                <w:color w:val="62259D"/>
              </w:rPr>
              <w:t xml:space="preserve"> </w:t>
            </w:r>
            <w:r>
              <w:rPr>
                <w:rFonts w:ascii="Arial" w:cs="Arial" w:eastAsia="Arial" w:hAnsi="Arial"/>
                <w:sz w:val="16"/>
                <w:szCs w:val="16"/>
                <w:i w:val="1"/>
                <w:iCs w:val="1"/>
                <w:color w:val="000000"/>
              </w:rPr>
              <w:t>Chair</w:t>
            </w:r>
          </w:p>
        </w:tc>
        <w:tc>
          <w:tcPr>
            <w:tcW w:w="2420" w:type="dxa"/>
            <w:vAlign w:val="bottom"/>
            <w:vMerge w:val="continue"/>
            <w:shd w:val="clear" w:color="auto" w:fill="F2F2F2"/>
          </w:tcPr>
          <w:p>
            <w:pPr>
              <w:spacing w:after="0"/>
              <w:rPr>
                <w:sz w:val="18"/>
                <w:szCs w:val="18"/>
                <w:color w:val="auto"/>
              </w:rPr>
            </w:pPr>
          </w:p>
        </w:tc>
        <w:tc>
          <w:tcPr>
            <w:tcW w:w="3780" w:type="dxa"/>
            <w:vAlign w:val="bottom"/>
            <w:vMerge w:val="continue"/>
            <w:shd w:val="clear" w:color="auto" w:fill="F2F2F2"/>
          </w:tcPr>
          <w:p>
            <w:pPr>
              <w:spacing w:after="0"/>
              <w:rPr>
                <w:sz w:val="18"/>
                <w:szCs w:val="18"/>
                <w:color w:val="auto"/>
              </w:rPr>
            </w:pPr>
          </w:p>
        </w:tc>
        <w:tc>
          <w:tcPr>
            <w:tcW w:w="220" w:type="dxa"/>
            <w:vAlign w:val="bottom"/>
            <w:vMerge w:val="continue"/>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20" w:type="dxa"/>
            <w:vAlign w:val="bottom"/>
            <w:shd w:val="clear" w:color="auto" w:fill="F2F2F2"/>
          </w:tcPr>
          <w:p>
            <w:pPr>
              <w:spacing w:after="0"/>
              <w:rPr>
                <w:sz w:val="4"/>
                <w:szCs w:val="4"/>
                <w:color w:val="auto"/>
              </w:rPr>
            </w:pPr>
          </w:p>
        </w:tc>
        <w:tc>
          <w:tcPr>
            <w:tcW w:w="2320" w:type="dxa"/>
            <w:vAlign w:val="bottom"/>
            <w:shd w:val="clear" w:color="auto" w:fill="F2F2F2"/>
          </w:tcPr>
          <w:p>
            <w:pPr>
              <w:spacing w:after="0"/>
              <w:rPr>
                <w:sz w:val="4"/>
                <w:szCs w:val="4"/>
                <w:color w:val="auto"/>
              </w:rPr>
            </w:pPr>
          </w:p>
        </w:tc>
        <w:tc>
          <w:tcPr>
            <w:tcW w:w="2420" w:type="dxa"/>
            <w:vAlign w:val="bottom"/>
            <w:shd w:val="clear" w:color="auto" w:fill="F2F2F2"/>
          </w:tcPr>
          <w:p>
            <w:pPr>
              <w:spacing w:after="0"/>
              <w:rPr>
                <w:sz w:val="4"/>
                <w:szCs w:val="4"/>
                <w:color w:val="auto"/>
              </w:rPr>
            </w:pPr>
          </w:p>
        </w:tc>
        <w:tc>
          <w:tcPr>
            <w:tcW w:w="3780" w:type="dxa"/>
            <w:vAlign w:val="bottom"/>
            <w:shd w:val="clear" w:color="auto" w:fill="F2F2F2"/>
          </w:tcPr>
          <w:p>
            <w:pPr>
              <w:spacing w:after="0"/>
              <w:rPr>
                <w:sz w:val="4"/>
                <w:szCs w:val="4"/>
                <w:color w:val="auto"/>
              </w:rPr>
            </w:pPr>
          </w:p>
        </w:tc>
        <w:tc>
          <w:tcPr>
            <w:tcW w:w="22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3568700</wp:posOffset>
            </wp:positionH>
            <wp:positionV relativeFrom="paragraph">
              <wp:posOffset>-376555</wp:posOffset>
            </wp:positionV>
            <wp:extent cx="111125" cy="1028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111" w:lineRule="exact"/>
        <w:rPr>
          <w:sz w:val="20"/>
          <w:szCs w:val="20"/>
          <w:color w:val="auto"/>
        </w:rPr>
      </w:pPr>
    </w:p>
    <w:p>
      <w:pPr>
        <w:ind w:left="1040" w:hanging="116"/>
        <w:spacing w:after="0"/>
        <w:tabs>
          <w:tab w:leader="none" w:pos="1040" w:val="left"/>
        </w:tabs>
        <w:numPr>
          <w:ilvl w:val="0"/>
          <w:numId w:val="73"/>
        </w:numPr>
        <w:rPr>
          <w:rFonts w:ascii="Arial" w:cs="Arial" w:eastAsia="Arial" w:hAnsi="Arial"/>
          <w:sz w:val="16"/>
          <w:szCs w:val="16"/>
          <w:color w:val="auto"/>
        </w:rPr>
      </w:pPr>
      <w:r>
        <w:rPr>
          <w:rFonts w:ascii="Arial" w:cs="Arial" w:eastAsia="Arial" w:hAnsi="Arial"/>
          <w:sz w:val="16"/>
          <w:szCs w:val="16"/>
          <w:b w:val="1"/>
          <w:bCs w:val="1"/>
          <w:color w:val="62259D"/>
        </w:rPr>
        <w:t>KEY RESPONSIBILITIES</w:t>
      </w:r>
    </w:p>
    <w:p>
      <w:pPr>
        <w:spacing w:after="0" w:line="61" w:lineRule="exact"/>
        <w:rPr>
          <w:rFonts w:ascii="Arial" w:cs="Arial" w:eastAsia="Arial" w:hAnsi="Arial"/>
          <w:sz w:val="16"/>
          <w:szCs w:val="16"/>
          <w:color w:val="auto"/>
        </w:rPr>
      </w:pPr>
    </w:p>
    <w:p>
      <w:pPr>
        <w:ind w:left="1040" w:right="60"/>
        <w:spacing w:after="0" w:line="234" w:lineRule="auto"/>
        <w:rPr>
          <w:rFonts w:ascii="Arial" w:cs="Arial" w:eastAsia="Arial" w:hAnsi="Arial"/>
          <w:sz w:val="16"/>
          <w:szCs w:val="16"/>
          <w:color w:val="auto"/>
        </w:rPr>
      </w:pPr>
      <w:r>
        <w:rPr>
          <w:rFonts w:ascii="Arial" w:cs="Arial" w:eastAsia="Arial" w:hAnsi="Arial"/>
          <w:sz w:val="16"/>
          <w:szCs w:val="16"/>
          <w:color w:val="auto"/>
        </w:rPr>
        <w:t>As described more fully in its charter, the Technology &amp; Innovation Committee’s responsibilities include, among other things, reviewing and discussing with the Company’s management:</w:t>
      </w:r>
    </w:p>
    <w:p>
      <w:pPr>
        <w:spacing w:after="0" w:line="38" w:lineRule="exact"/>
        <w:rPr>
          <w:rFonts w:ascii="Arial" w:cs="Arial" w:eastAsia="Arial" w:hAnsi="Arial"/>
          <w:sz w:val="16"/>
          <w:szCs w:val="16"/>
          <w:color w:val="auto"/>
        </w:rPr>
      </w:pPr>
    </w:p>
    <w:p>
      <w:pPr>
        <w:ind w:left="1340" w:hanging="308"/>
        <w:spacing w:after="0" w:line="229" w:lineRule="auto"/>
        <w:tabs>
          <w:tab w:leader="none" w:pos="1340" w:val="left"/>
        </w:tabs>
        <w:numPr>
          <w:ilvl w:val="1"/>
          <w:numId w:val="73"/>
        </w:numPr>
        <w:rPr>
          <w:rFonts w:ascii="Arial" w:cs="Arial" w:eastAsia="Arial" w:hAnsi="Arial"/>
          <w:sz w:val="16"/>
          <w:szCs w:val="16"/>
          <w:color w:val="auto"/>
        </w:rPr>
      </w:pPr>
      <w:r>
        <w:rPr>
          <w:rFonts w:ascii="Arial" w:cs="Arial" w:eastAsia="Arial" w:hAnsi="Arial"/>
          <w:sz w:val="16"/>
          <w:szCs w:val="16"/>
          <w:color w:val="auto"/>
        </w:rPr>
        <w:t>the Company’s overall corporate strategy and approach to leverage technological and commercial innovation to accomplish the financial and market goals established by the Company including business performance, market share growth and competitive leadership;</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tabs>
          <w:tab w:leader="none" w:pos="4420" w:val="left"/>
        </w:tabs>
        <w:rPr>
          <w:sz w:val="20"/>
          <w:szCs w:val="20"/>
          <w:color w:val="auto"/>
        </w:rPr>
      </w:pPr>
      <w:r>
        <w:rPr>
          <w:rFonts w:ascii="Arial" w:cs="Arial" w:eastAsia="Arial" w:hAnsi="Arial"/>
          <w:sz w:val="16"/>
          <w:szCs w:val="16"/>
          <w:color w:val="auto"/>
        </w:rPr>
        <w:t>​ ​ (iv) the direction and effectiveness of the Company’s</w:t>
      </w:r>
      <w:r>
        <w:rPr>
          <w:sz w:val="20"/>
          <w:szCs w:val="20"/>
          <w:color w:val="auto"/>
        </w:rPr>
        <w:tab/>
      </w:r>
      <w:r>
        <w:rPr>
          <w:rFonts w:ascii="Arial" w:cs="Arial" w:eastAsia="Arial" w:hAnsi="Arial"/>
          <w:sz w:val="16"/>
          <w:szCs w:val="16"/>
          <w:color w:val="auto"/>
        </w:rPr>
        <w:t>​</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research and development operations.</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62259D"/>
        </w:rPr>
        <w:t>CHARTER</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Technology and Innovation Committee operates</w:t>
      </w:r>
    </w:p>
    <w:p>
      <w:pPr>
        <w:ind w:left="220"/>
        <w:spacing w:after="0" w:line="236" w:lineRule="auto"/>
        <w:rPr>
          <w:sz w:val="20"/>
          <w:szCs w:val="20"/>
          <w:color w:val="auto"/>
        </w:rPr>
      </w:pPr>
      <w:r>
        <w:rPr>
          <w:rFonts w:ascii="Arial" w:cs="Arial" w:eastAsia="Arial" w:hAnsi="Arial"/>
          <w:sz w:val="16"/>
          <w:szCs w:val="16"/>
          <w:color w:val="auto"/>
        </w:rPr>
        <w:t>pursuant to a written charter adopted by the Board, a</w:t>
      </w:r>
    </w:p>
    <w:p>
      <w:pPr>
        <w:ind w:left="220"/>
        <w:spacing w:after="0" w:line="229" w:lineRule="auto"/>
        <w:rPr>
          <w:sz w:val="20"/>
          <w:szCs w:val="20"/>
          <w:color w:val="auto"/>
        </w:rPr>
      </w:pPr>
      <w:r>
        <w:rPr>
          <w:rFonts w:ascii="Arial" w:cs="Arial" w:eastAsia="Arial" w:hAnsi="Arial"/>
          <w:sz w:val="16"/>
          <w:szCs w:val="16"/>
          <w:color w:val="auto"/>
        </w:rPr>
        <w:t>current copy of which is available at</w:t>
      </w:r>
    </w:p>
    <w:p>
      <w:pPr>
        <w:ind w:left="220" w:right="919"/>
        <w:spacing w:after="0" w:line="231" w:lineRule="auto"/>
        <w:rPr>
          <w:sz w:val="20"/>
          <w:szCs w:val="20"/>
          <w:color w:val="auto"/>
        </w:rPr>
      </w:pPr>
      <w:r>
        <w:rPr>
          <w:rFonts w:ascii="Arial" w:cs="Arial" w:eastAsia="Arial" w:hAnsi="Arial"/>
          <w:sz w:val="16"/>
          <w:szCs w:val="16"/>
          <w:color w:val="E7417A"/>
        </w:rPr>
        <w:t>investors.ribboncommunications.com/corporate-governance/governance-highlights</w:t>
      </w:r>
      <w:r>
        <w:rPr>
          <w:rFonts w:ascii="Arial" w:cs="Arial" w:eastAsia="Arial" w:hAnsi="Arial"/>
          <w:sz w:val="16"/>
          <w:szCs w:val="16"/>
          <w:color w:val="000000"/>
        </w:rPr>
        <w:t>.</w:t>
      </w:r>
    </w:p>
    <w:p>
      <w:pPr>
        <w:spacing w:after="0" w:line="509" w:lineRule="exact"/>
        <w:rPr>
          <w:sz w:val="20"/>
          <w:szCs w:val="20"/>
          <w:color w:val="auto"/>
        </w:rPr>
      </w:pPr>
    </w:p>
    <w:p>
      <w:pPr>
        <w:sectPr>
          <w:pgSz w:w="11900" w:h="16838" w:orient="portrait"/>
          <w:cols w:equalWidth="0" w:num="2">
            <w:col w:w="5100" w:space="140"/>
            <w:col w:w="4639"/>
          </w:cols>
          <w:pgMar w:left="580" w:top="97" w:right="1440" w:bottom="1440" w:gutter="0" w:footer="0" w:header="0"/>
          <w:type w:val="continuous"/>
        </w:sectPr>
      </w:pPr>
    </w:p>
    <w:p>
      <w:pPr>
        <w:ind w:left="1340" w:right="4659" w:hanging="308"/>
        <w:spacing w:after="0" w:line="259" w:lineRule="auto"/>
        <w:tabs>
          <w:tab w:leader="none" w:pos="1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significant investments in technology and software by the Company;</w:t>
      </w:r>
    </w:p>
    <w:p>
      <w:pPr>
        <w:spacing w:after="0" w:line="21" w:lineRule="exact"/>
        <w:rPr>
          <w:rFonts w:ascii="Arial" w:cs="Arial" w:eastAsia="Arial" w:hAnsi="Arial"/>
          <w:sz w:val="16"/>
          <w:szCs w:val="16"/>
          <w:color w:val="auto"/>
        </w:rPr>
      </w:pPr>
    </w:p>
    <w:p>
      <w:pPr>
        <w:jc w:val="both"/>
        <w:ind w:left="1340" w:right="4739" w:hanging="308"/>
        <w:spacing w:after="0" w:line="236" w:lineRule="auto"/>
        <w:tabs>
          <w:tab w:leader="none" w:pos="1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technology risks, opportunities and trends that could significantly affect the Company and the businesses in which it operates;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20955</wp:posOffset>
            </wp:positionV>
            <wp:extent cx="56235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Director Nomination Process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Nominating, Sustainability and Corporate Governance Committee screens and recommends</w:t>
      </w:r>
    </w:p>
    <w:p>
      <w:pPr>
        <w:spacing w:after="0" w:line="14" w:lineRule="exact"/>
        <w:rPr>
          <w:sz w:val="20"/>
          <w:szCs w:val="20"/>
          <w:color w:val="auto"/>
        </w:rPr>
      </w:pPr>
    </w:p>
    <w:p>
      <w:pPr>
        <w:ind w:left="920" w:right="159"/>
        <w:spacing w:after="0" w:line="226" w:lineRule="auto"/>
        <w:rPr>
          <w:sz w:val="20"/>
          <w:szCs w:val="20"/>
          <w:color w:val="auto"/>
        </w:rPr>
      </w:pPr>
      <w:r>
        <w:rPr>
          <w:rFonts w:ascii="Arial" w:cs="Arial" w:eastAsia="Arial" w:hAnsi="Arial"/>
          <w:sz w:val="18"/>
          <w:szCs w:val="18"/>
          <w:color w:val="auto"/>
        </w:rPr>
        <w:t>candidates for nomination by the full Board, other than those directors designated pursuant to the Stockholders Agreement. There are no specific minimum qualifications for a recommended nominee to our</w:t>
      </w:r>
    </w:p>
    <w:p>
      <w:pPr>
        <w:spacing w:after="0" w:line="2" w:lineRule="exact"/>
        <w:rPr>
          <w:sz w:val="20"/>
          <w:szCs w:val="20"/>
          <w:color w:val="auto"/>
        </w:rPr>
      </w:pPr>
    </w:p>
    <w:p>
      <w:pPr>
        <w:ind w:left="920" w:right="299"/>
        <w:spacing w:after="0" w:line="250" w:lineRule="auto"/>
        <w:rPr>
          <w:sz w:val="20"/>
          <w:szCs w:val="20"/>
          <w:color w:val="auto"/>
        </w:rPr>
      </w:pPr>
      <w:r>
        <w:rPr>
          <w:rFonts w:ascii="Arial" w:cs="Arial" w:eastAsia="Arial" w:hAnsi="Arial"/>
          <w:sz w:val="18"/>
          <w:szCs w:val="18"/>
          <w:color w:val="auto"/>
        </w:rPr>
        <w:t>Board; however, the Nominating, Sustainability and Corporate Governance Committee considers, among other skills and criteria, the following for nomination as a director:</w:t>
      </w:r>
    </w:p>
    <w:p>
      <w:pPr>
        <w:spacing w:after="0" w:line="104" w:lineRule="exact"/>
        <w:rPr>
          <w:sz w:val="20"/>
          <w:szCs w:val="20"/>
          <w:color w:val="auto"/>
        </w:rPr>
      </w:pPr>
    </w:p>
    <w:p>
      <w:pPr>
        <w:ind w:left="1280" w:hanging="356"/>
        <w:spacing w:after="0"/>
        <w:tabs>
          <w:tab w:leader="none" w:pos="1280" w:val="left"/>
        </w:tabs>
        <w:numPr>
          <w:ilvl w:val="0"/>
          <w:numId w:val="75"/>
        </w:numPr>
        <w:rPr>
          <w:rFonts w:ascii="Arial" w:cs="Arial" w:eastAsia="Arial" w:hAnsi="Arial"/>
          <w:sz w:val="18"/>
          <w:szCs w:val="18"/>
          <w:color w:val="62259D"/>
        </w:rPr>
      </w:pPr>
      <w:r>
        <w:rPr>
          <w:rFonts w:ascii="Arial" w:cs="Arial" w:eastAsia="Arial" w:hAnsi="Arial"/>
          <w:sz w:val="18"/>
          <w:szCs w:val="18"/>
          <w:color w:val="auto"/>
        </w:rPr>
        <w:t>demonstrated business knowledge, technical skills and experience;</w:t>
      </w:r>
    </w:p>
    <w:p>
      <w:pPr>
        <w:spacing w:after="0" w:line="63" w:lineRule="exact"/>
        <w:rPr>
          <w:rFonts w:ascii="Arial" w:cs="Arial" w:eastAsia="Arial" w:hAnsi="Arial"/>
          <w:sz w:val="18"/>
          <w:szCs w:val="18"/>
          <w:color w:val="62259D"/>
        </w:rPr>
      </w:pPr>
    </w:p>
    <w:p>
      <w:pPr>
        <w:ind w:left="1280" w:hanging="356"/>
        <w:spacing w:after="0"/>
        <w:tabs>
          <w:tab w:leader="none" w:pos="1280" w:val="left"/>
        </w:tabs>
        <w:numPr>
          <w:ilvl w:val="0"/>
          <w:numId w:val="75"/>
        </w:numPr>
        <w:rPr>
          <w:rFonts w:ascii="Arial" w:cs="Arial" w:eastAsia="Arial" w:hAnsi="Arial"/>
          <w:sz w:val="18"/>
          <w:szCs w:val="18"/>
          <w:color w:val="62259D"/>
        </w:rPr>
      </w:pPr>
      <w:r>
        <w:rPr>
          <w:rFonts w:ascii="Arial" w:cs="Arial" w:eastAsia="Arial" w:hAnsi="Arial"/>
          <w:sz w:val="18"/>
          <w:szCs w:val="18"/>
          <w:color w:val="auto"/>
        </w:rPr>
        <w:t>an ability to exercise sound judgment in matters that relate to our current and long-term objectives;</w:t>
      </w:r>
    </w:p>
    <w:p>
      <w:pPr>
        <w:spacing w:after="0" w:line="63" w:lineRule="exact"/>
        <w:rPr>
          <w:rFonts w:ascii="Arial" w:cs="Arial" w:eastAsia="Arial" w:hAnsi="Arial"/>
          <w:sz w:val="18"/>
          <w:szCs w:val="18"/>
          <w:color w:val="62259D"/>
        </w:rPr>
      </w:pPr>
    </w:p>
    <w:p>
      <w:pPr>
        <w:ind w:left="1280" w:right="279" w:hanging="356"/>
        <w:spacing w:after="0" w:line="281" w:lineRule="auto"/>
        <w:tabs>
          <w:tab w:leader="none" w:pos="1280" w:val="left"/>
        </w:tabs>
        <w:numPr>
          <w:ilvl w:val="0"/>
          <w:numId w:val="75"/>
        </w:numPr>
        <w:rPr>
          <w:rFonts w:ascii="Arial" w:cs="Arial" w:eastAsia="Arial" w:hAnsi="Arial"/>
          <w:sz w:val="18"/>
          <w:szCs w:val="18"/>
          <w:color w:val="62259D"/>
        </w:rPr>
      </w:pPr>
      <w:r>
        <w:rPr>
          <w:rFonts w:ascii="Arial" w:cs="Arial" w:eastAsia="Arial" w:hAnsi="Arial"/>
          <w:sz w:val="18"/>
          <w:szCs w:val="18"/>
          <w:color w:val="auto"/>
        </w:rPr>
        <w:t>commitment to understanding us and our industry and to regularly attend and participate in meetings of our Board and its committees;</w:t>
      </w:r>
    </w:p>
    <w:p>
      <w:pPr>
        <w:spacing w:after="0" w:line="1" w:lineRule="exact"/>
        <w:rPr>
          <w:rFonts w:ascii="Arial" w:cs="Arial" w:eastAsia="Arial" w:hAnsi="Arial"/>
          <w:sz w:val="18"/>
          <w:szCs w:val="18"/>
          <w:color w:val="62259D"/>
        </w:rPr>
      </w:pPr>
    </w:p>
    <w:p>
      <w:pPr>
        <w:ind w:left="1280" w:hanging="356"/>
        <w:spacing w:after="0"/>
        <w:tabs>
          <w:tab w:leader="none" w:pos="1280" w:val="left"/>
        </w:tabs>
        <w:numPr>
          <w:ilvl w:val="0"/>
          <w:numId w:val="75"/>
        </w:numPr>
        <w:rPr>
          <w:rFonts w:ascii="Arial" w:cs="Arial" w:eastAsia="Arial" w:hAnsi="Arial"/>
          <w:sz w:val="18"/>
          <w:szCs w:val="18"/>
          <w:color w:val="62259D"/>
        </w:rPr>
      </w:pPr>
      <w:r>
        <w:rPr>
          <w:rFonts w:ascii="Arial" w:cs="Arial" w:eastAsia="Arial" w:hAnsi="Arial"/>
          <w:sz w:val="18"/>
          <w:szCs w:val="18"/>
          <w:color w:val="auto"/>
        </w:rPr>
        <w:t>a reputation for integrity, honesty and adherence to high ethical standards;</w:t>
      </w:r>
    </w:p>
    <w:p>
      <w:pPr>
        <w:spacing w:after="0" w:line="76" w:lineRule="exact"/>
        <w:rPr>
          <w:rFonts w:ascii="Arial" w:cs="Arial" w:eastAsia="Arial" w:hAnsi="Arial"/>
          <w:sz w:val="18"/>
          <w:szCs w:val="18"/>
          <w:color w:val="62259D"/>
        </w:rPr>
      </w:pPr>
    </w:p>
    <w:p>
      <w:pPr>
        <w:ind w:left="1280" w:hanging="356"/>
        <w:spacing w:after="0"/>
        <w:tabs>
          <w:tab w:leader="none" w:pos="1280" w:val="left"/>
        </w:tabs>
        <w:numPr>
          <w:ilvl w:val="0"/>
          <w:numId w:val="75"/>
        </w:numPr>
        <w:rPr>
          <w:rFonts w:ascii="Arial" w:cs="Arial" w:eastAsia="Arial" w:hAnsi="Arial"/>
          <w:sz w:val="18"/>
          <w:szCs w:val="18"/>
          <w:color w:val="62259D"/>
        </w:rPr>
      </w:pPr>
      <w:r>
        <w:rPr>
          <w:rFonts w:ascii="Arial" w:cs="Arial" w:eastAsia="Arial" w:hAnsi="Arial"/>
          <w:sz w:val="18"/>
          <w:szCs w:val="18"/>
          <w:color w:val="auto"/>
        </w:rPr>
        <w:t>diversity of background and other desired qualities;</w:t>
      </w:r>
    </w:p>
    <w:p>
      <w:pPr>
        <w:spacing w:after="0" w:line="63" w:lineRule="exact"/>
        <w:rPr>
          <w:rFonts w:ascii="Arial" w:cs="Arial" w:eastAsia="Arial" w:hAnsi="Arial"/>
          <w:sz w:val="18"/>
          <w:szCs w:val="18"/>
          <w:color w:val="62259D"/>
        </w:rPr>
      </w:pPr>
    </w:p>
    <w:p>
      <w:pPr>
        <w:ind w:left="1280" w:right="1179" w:hanging="356"/>
        <w:spacing w:after="0" w:line="271" w:lineRule="auto"/>
        <w:tabs>
          <w:tab w:leader="none" w:pos="1280" w:val="left"/>
        </w:tabs>
        <w:numPr>
          <w:ilvl w:val="0"/>
          <w:numId w:val="75"/>
        </w:numPr>
        <w:rPr>
          <w:rFonts w:ascii="Arial" w:cs="Arial" w:eastAsia="Arial" w:hAnsi="Arial"/>
          <w:sz w:val="18"/>
          <w:szCs w:val="18"/>
          <w:color w:val="62259D"/>
        </w:rPr>
      </w:pPr>
      <w:r>
        <w:rPr>
          <w:rFonts w:ascii="Arial" w:cs="Arial" w:eastAsia="Arial" w:hAnsi="Arial"/>
          <w:sz w:val="18"/>
          <w:szCs w:val="18"/>
          <w:color w:val="auto"/>
        </w:rPr>
        <w:t>the ability and experience to understand the sometimes conflicting interests of our various constituencies and to act in the interests of all stockholders; and</w:t>
      </w:r>
    </w:p>
    <w:p>
      <w:pPr>
        <w:spacing w:after="0" w:line="18" w:lineRule="exact"/>
        <w:rPr>
          <w:rFonts w:ascii="Arial" w:cs="Arial" w:eastAsia="Arial" w:hAnsi="Arial"/>
          <w:sz w:val="18"/>
          <w:szCs w:val="18"/>
          <w:color w:val="62259D"/>
        </w:rPr>
      </w:pPr>
    </w:p>
    <w:p>
      <w:pPr>
        <w:ind w:left="1280" w:right="259" w:hanging="356"/>
        <w:spacing w:after="0" w:line="271" w:lineRule="auto"/>
        <w:tabs>
          <w:tab w:leader="none" w:pos="1280" w:val="left"/>
        </w:tabs>
        <w:numPr>
          <w:ilvl w:val="0"/>
          <w:numId w:val="75"/>
        </w:numPr>
        <w:rPr>
          <w:rFonts w:ascii="Arial" w:cs="Arial" w:eastAsia="Arial" w:hAnsi="Arial"/>
          <w:sz w:val="18"/>
          <w:szCs w:val="18"/>
          <w:color w:val="62259D"/>
        </w:rPr>
      </w:pPr>
      <w:r>
        <w:rPr>
          <w:rFonts w:ascii="Arial" w:cs="Arial" w:eastAsia="Arial" w:hAnsi="Arial"/>
          <w:sz w:val="18"/>
          <w:szCs w:val="18"/>
          <w:color w:val="auto"/>
        </w:rPr>
        <w:t>the absence of any conflict of interest that would impair the nominee’s ability to represent the interest of all our stockholders and to fulfill the responsibilities of being a director.</w:t>
      </w:r>
    </w:p>
    <w:p>
      <w:pPr>
        <w:spacing w:after="0" w:line="73" w:lineRule="exact"/>
        <w:rPr>
          <w:sz w:val="20"/>
          <w:szCs w:val="20"/>
          <w:color w:val="auto"/>
        </w:rPr>
      </w:pPr>
    </w:p>
    <w:p>
      <w:pPr>
        <w:ind w:left="920" w:right="399"/>
        <w:spacing w:after="0" w:line="245" w:lineRule="auto"/>
        <w:rPr>
          <w:sz w:val="20"/>
          <w:szCs w:val="20"/>
          <w:color w:val="auto"/>
        </w:rPr>
      </w:pPr>
      <w:r>
        <w:rPr>
          <w:rFonts w:ascii="Arial" w:cs="Arial" w:eastAsia="Arial" w:hAnsi="Arial"/>
          <w:sz w:val="18"/>
          <w:szCs w:val="18"/>
          <w:color w:val="auto"/>
        </w:rPr>
        <w:t>In considering whether to recommend any particular candidate for inclusion in our Board’s slate of recommended director nominees, the Nominating, Sustainability and Corporate Governance Committee</w:t>
      </w:r>
    </w:p>
    <w:p>
      <w:pPr>
        <w:ind w:left="920" w:right="439"/>
        <w:spacing w:after="0" w:line="226" w:lineRule="auto"/>
        <w:rPr>
          <w:sz w:val="20"/>
          <w:szCs w:val="20"/>
          <w:color w:val="auto"/>
        </w:rPr>
      </w:pPr>
      <w:r>
        <w:rPr>
          <w:rFonts w:ascii="Arial" w:cs="Arial" w:eastAsia="Arial" w:hAnsi="Arial"/>
          <w:sz w:val="18"/>
          <w:szCs w:val="18"/>
          <w:color w:val="auto"/>
        </w:rPr>
        <w:t>applies the criteria generally set forth in the Nominating, Sustainability and Corporate Governance Committee Charter. The process followed by the Nominating, Sustainability and Corporate Governance</w:t>
      </w:r>
    </w:p>
    <w:p>
      <w:pPr>
        <w:ind w:left="920"/>
        <w:spacing w:after="0" w:line="236" w:lineRule="auto"/>
        <w:rPr>
          <w:sz w:val="20"/>
          <w:szCs w:val="20"/>
          <w:color w:val="auto"/>
        </w:rPr>
      </w:pPr>
      <w:r>
        <w:rPr>
          <w:rFonts w:ascii="Arial" w:cs="Arial" w:eastAsia="Arial" w:hAnsi="Arial"/>
          <w:sz w:val="18"/>
          <w:szCs w:val="18"/>
          <w:color w:val="auto"/>
        </w:rPr>
        <w:t>Committee to identify and evaluate director candidates includes requests to our Board members and</w:t>
      </w:r>
    </w:p>
    <w:p>
      <w:pPr>
        <w:spacing w:after="0" w:line="1" w:lineRule="exact"/>
        <w:rPr>
          <w:sz w:val="20"/>
          <w:szCs w:val="20"/>
          <w:color w:val="auto"/>
        </w:rPr>
      </w:pPr>
    </w:p>
    <w:p>
      <w:pPr>
        <w:ind w:left="920" w:right="219"/>
        <w:spacing w:after="0" w:line="226" w:lineRule="auto"/>
        <w:rPr>
          <w:sz w:val="20"/>
          <w:szCs w:val="20"/>
          <w:color w:val="auto"/>
        </w:rPr>
      </w:pPr>
      <w:r>
        <w:rPr>
          <w:rFonts w:ascii="Arial" w:cs="Arial" w:eastAsia="Arial" w:hAnsi="Arial"/>
          <w:sz w:val="18"/>
          <w:szCs w:val="18"/>
          <w:color w:val="auto"/>
        </w:rPr>
        <w:t>others for recommendations, meetings from time to time to evaluate biographical information and background material relating to potential candidates and interviews of selected candidates by members of</w:t>
      </w:r>
    </w:p>
    <w:p>
      <w:pPr>
        <w:spacing w:after="0" w:line="2" w:lineRule="exact"/>
        <w:rPr>
          <w:sz w:val="20"/>
          <w:szCs w:val="20"/>
          <w:color w:val="auto"/>
        </w:rPr>
      </w:pPr>
    </w:p>
    <w:p>
      <w:pPr>
        <w:ind w:left="920" w:right="159"/>
        <w:spacing w:after="0" w:line="226" w:lineRule="auto"/>
        <w:rPr>
          <w:sz w:val="20"/>
          <w:szCs w:val="20"/>
          <w:color w:val="auto"/>
        </w:rPr>
      </w:pPr>
      <w:r>
        <w:rPr>
          <w:rFonts w:ascii="Arial" w:cs="Arial" w:eastAsia="Arial" w:hAnsi="Arial"/>
          <w:sz w:val="18"/>
          <w:szCs w:val="18"/>
          <w:color w:val="auto"/>
        </w:rPr>
        <w:t>the Nominating, Sustainability and Corporate Governance Committee and our Board. Our Board believes that the backgrounds and qualifications of its directors, considered as a group, should provide a composite</w:t>
      </w:r>
    </w:p>
    <w:p>
      <w:pPr>
        <w:ind w:left="920"/>
        <w:spacing w:after="0" w:line="236" w:lineRule="auto"/>
        <w:rPr>
          <w:sz w:val="20"/>
          <w:szCs w:val="20"/>
          <w:color w:val="auto"/>
        </w:rPr>
      </w:pPr>
      <w:r>
        <w:rPr>
          <w:rFonts w:ascii="Arial" w:cs="Arial" w:eastAsia="Arial" w:hAnsi="Arial"/>
          <w:sz w:val="18"/>
          <w:szCs w:val="18"/>
          <w:color w:val="auto"/>
        </w:rPr>
        <w:t>mix of experience, knowledge and abilities that will allow our Board to fulfill its responsibilities. In</w:t>
      </w:r>
    </w:p>
    <w:p>
      <w:pPr>
        <w:spacing w:after="0" w:line="1" w:lineRule="exact"/>
        <w:rPr>
          <w:sz w:val="20"/>
          <w:szCs w:val="20"/>
          <w:color w:val="auto"/>
        </w:rPr>
      </w:pPr>
    </w:p>
    <w:p>
      <w:pPr>
        <w:ind w:left="920" w:right="139"/>
        <w:spacing w:after="0" w:line="226" w:lineRule="auto"/>
        <w:rPr>
          <w:sz w:val="20"/>
          <w:szCs w:val="20"/>
          <w:color w:val="auto"/>
        </w:rPr>
      </w:pPr>
      <w:r>
        <w:rPr>
          <w:rFonts w:ascii="Arial" w:cs="Arial" w:eastAsia="Arial" w:hAnsi="Arial"/>
          <w:sz w:val="18"/>
          <w:szCs w:val="18"/>
          <w:color w:val="auto"/>
        </w:rPr>
        <w:t>identifying potential director candidates, the Nominating, Sustainability and Corporate Governance Committee and the Board also focus on ensuring that the Board reflects diversity, including in experiences,</w:t>
      </w:r>
    </w:p>
    <w:p>
      <w:pPr>
        <w:ind w:left="920"/>
        <w:spacing w:after="0" w:line="236" w:lineRule="auto"/>
        <w:rPr>
          <w:sz w:val="20"/>
          <w:szCs w:val="20"/>
          <w:color w:val="auto"/>
        </w:rPr>
      </w:pPr>
      <w:r>
        <w:rPr>
          <w:rFonts w:ascii="Arial" w:cs="Arial" w:eastAsia="Arial" w:hAnsi="Arial"/>
          <w:sz w:val="18"/>
          <w:szCs w:val="18"/>
          <w:color w:val="auto"/>
        </w:rPr>
        <w:t>backgrounds and skills. The Nominating, Sustainability and Corporate Governance Committee has the</w:t>
      </w:r>
    </w:p>
    <w:p>
      <w:pPr>
        <w:spacing w:after="0" w:line="1" w:lineRule="exact"/>
        <w:rPr>
          <w:sz w:val="20"/>
          <w:szCs w:val="20"/>
          <w:color w:val="auto"/>
        </w:rPr>
      </w:pPr>
    </w:p>
    <w:p>
      <w:pPr>
        <w:ind w:left="920" w:right="519"/>
        <w:spacing w:after="0" w:line="237" w:lineRule="auto"/>
        <w:rPr>
          <w:sz w:val="20"/>
          <w:szCs w:val="20"/>
          <w:color w:val="auto"/>
        </w:rPr>
      </w:pPr>
      <w:r>
        <w:rPr>
          <w:rFonts w:ascii="Arial" w:cs="Arial" w:eastAsia="Arial" w:hAnsi="Arial"/>
          <w:sz w:val="18"/>
          <w:szCs w:val="18"/>
          <w:color w:val="auto"/>
        </w:rPr>
        <w:t>authority to engage independent advisors to assist in the process of identifying and evaluating director candidates, but has not engaged any such advisors to date.</w:t>
      </w:r>
    </w:p>
    <w:p>
      <w:pPr>
        <w:spacing w:after="0" w:line="162" w:lineRule="exact"/>
        <w:rPr>
          <w:sz w:val="20"/>
          <w:szCs w:val="20"/>
          <w:color w:val="auto"/>
        </w:rPr>
      </w:pPr>
    </w:p>
    <w:p>
      <w:pPr>
        <w:ind w:left="920" w:right="1119"/>
        <w:spacing w:after="0" w:line="271" w:lineRule="auto"/>
        <w:rPr>
          <w:sz w:val="20"/>
          <w:szCs w:val="20"/>
          <w:color w:val="auto"/>
        </w:rPr>
      </w:pPr>
      <w:r>
        <w:rPr>
          <w:rFonts w:ascii="Arial" w:cs="Arial" w:eastAsia="Arial" w:hAnsi="Arial"/>
          <w:sz w:val="36"/>
          <w:szCs w:val="36"/>
          <w:b w:val="1"/>
          <w:bCs w:val="1"/>
          <w:color w:val="E7417A"/>
        </w:rPr>
        <w:t>Stockholder Nominations and Recommendations of Director Candidates</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Stockholders who wish to recommend candidates to the Nominating, Sustainability and Corporate</w:t>
      </w:r>
    </w:p>
    <w:p>
      <w:pPr>
        <w:spacing w:after="0" w:line="14" w:lineRule="exact"/>
        <w:rPr>
          <w:sz w:val="20"/>
          <w:szCs w:val="20"/>
          <w:color w:val="auto"/>
        </w:rPr>
      </w:pPr>
    </w:p>
    <w:p>
      <w:pPr>
        <w:ind w:left="920" w:right="1419"/>
        <w:spacing w:after="0" w:line="237" w:lineRule="auto"/>
        <w:rPr>
          <w:sz w:val="20"/>
          <w:szCs w:val="20"/>
          <w:color w:val="auto"/>
        </w:rPr>
      </w:pPr>
      <w:r>
        <w:rPr>
          <w:rFonts w:ascii="Arial" w:cs="Arial" w:eastAsia="Arial" w:hAnsi="Arial"/>
          <w:sz w:val="18"/>
          <w:szCs w:val="18"/>
          <w:color w:val="auto"/>
        </w:rPr>
        <w:t>Governance Committee for consideration as potential director candidates should send their recommendation to:</w:t>
      </w:r>
    </w:p>
    <w:p>
      <w:pPr>
        <w:sectPr>
          <w:pgSz w:w="11900" w:h="16838" w:orient="portrait"/>
          <w:cols w:equalWidth="0" w:num="1">
            <w:col w:w="9879"/>
          </w:cols>
          <w:pgMar w:left="580" w:top="97" w:right="1440" w:bottom="1440" w:gutter="0" w:footer="0" w:header="0"/>
        </w:sectPr>
      </w:pPr>
    </w:p>
    <w:p>
      <w:pPr>
        <w:spacing w:after="0" w:line="31" w:lineRule="exact"/>
        <w:rPr>
          <w:sz w:val="20"/>
          <w:szCs w:val="20"/>
          <w:color w:val="auto"/>
        </w:rPr>
      </w:pPr>
    </w:p>
    <w:tbl>
      <w:tblPr>
        <w:tblLayout w:type="fixed"/>
        <w:tblInd w:w="196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6060" w:type="dxa"/>
            <w:vAlign w:val="bottom"/>
          </w:tcPr>
          <w:p>
            <w:pPr>
              <w:ind w:left="360"/>
              <w:spacing w:after="0"/>
              <w:rPr>
                <w:sz w:val="20"/>
                <w:szCs w:val="20"/>
                <w:color w:val="auto"/>
              </w:rPr>
            </w:pPr>
            <w:r>
              <w:rPr>
                <w:rFonts w:ascii="Arial" w:cs="Arial" w:eastAsia="Arial" w:hAnsi="Arial"/>
                <w:sz w:val="17"/>
                <w:szCs w:val="17"/>
                <w:color w:val="auto"/>
              </w:rPr>
              <w:t>​</w:t>
            </w:r>
          </w:p>
        </w:tc>
      </w:tr>
      <w:tr>
        <w:trPr>
          <w:trHeight w:val="68"/>
        </w:trPr>
        <w:tc>
          <w:tcPr>
            <w:tcW w:w="100" w:type="dxa"/>
            <w:vAlign w:val="bottom"/>
          </w:tcPr>
          <w:p>
            <w:pPr>
              <w:spacing w:after="0" w:line="68" w:lineRule="exact"/>
              <w:rPr>
                <w:sz w:val="20"/>
                <w:szCs w:val="20"/>
                <w:color w:val="auto"/>
              </w:rPr>
            </w:pPr>
            <w:r>
              <w:rPr>
                <w:rFonts w:ascii="Arial" w:cs="Arial" w:eastAsia="Arial" w:hAnsi="Arial"/>
                <w:sz w:val="7"/>
                <w:szCs w:val="7"/>
                <w:color w:val="auto"/>
              </w:rPr>
              <w:t>​</w:t>
            </w:r>
          </w:p>
        </w:tc>
        <w:tc>
          <w:tcPr>
            <w:tcW w:w="400" w:type="dxa"/>
            <w:vAlign w:val="bottom"/>
          </w:tcPr>
          <w:p>
            <w:pPr>
              <w:spacing w:after="0"/>
              <w:rPr>
                <w:sz w:val="5"/>
                <w:szCs w:val="5"/>
                <w:color w:val="auto"/>
              </w:rPr>
            </w:pPr>
          </w:p>
        </w:tc>
        <w:tc>
          <w:tcPr>
            <w:tcW w:w="6060" w:type="dxa"/>
            <w:vAlign w:val="bottom"/>
          </w:tcPr>
          <w:p>
            <w:pPr>
              <w:ind w:left="360"/>
              <w:spacing w:after="0" w:line="68" w:lineRule="exact"/>
              <w:rPr>
                <w:sz w:val="20"/>
                <w:szCs w:val="20"/>
                <w:color w:val="auto"/>
              </w:rPr>
            </w:pPr>
            <w:r>
              <w:rPr>
                <w:rFonts w:ascii="Arial" w:cs="Arial" w:eastAsia="Arial" w:hAnsi="Arial"/>
                <w:sz w:val="7"/>
                <w:szCs w:val="7"/>
                <w:color w:val="auto"/>
              </w:rPr>
              <w:t>​</w:t>
            </w:r>
          </w:p>
        </w:tc>
      </w:tr>
      <w:tr>
        <w:trPr>
          <w:trHeight w:val="108"/>
        </w:trPr>
        <w:tc>
          <w:tcPr>
            <w:tcW w:w="100" w:type="dxa"/>
            <w:vAlign w:val="bottom"/>
          </w:tcPr>
          <w:p>
            <w:pPr>
              <w:spacing w:after="0" w:line="108"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9"/>
                <w:szCs w:val="9"/>
                <w:color w:val="auto"/>
              </w:rPr>
            </w:pPr>
          </w:p>
        </w:tc>
        <w:tc>
          <w:tcPr>
            <w:tcW w:w="6060" w:type="dxa"/>
            <w:vAlign w:val="bottom"/>
          </w:tcPr>
          <w:p>
            <w:pPr>
              <w:ind w:left="360"/>
              <w:spacing w:after="0" w:line="108" w:lineRule="exact"/>
              <w:rPr>
                <w:sz w:val="20"/>
                <w:szCs w:val="20"/>
                <w:color w:val="auto"/>
              </w:rPr>
            </w:pPr>
            <w:r>
              <w:rPr>
                <w:rFonts w:ascii="Arial" w:cs="Arial" w:eastAsia="Arial" w:hAnsi="Arial"/>
                <w:sz w:val="12"/>
                <w:szCs w:val="12"/>
                <w:color w:val="auto"/>
              </w:rPr>
              <w:t>​</w:t>
            </w:r>
          </w:p>
        </w:tc>
      </w:tr>
      <w:tr>
        <w:trPr>
          <w:trHeight w:val="59"/>
        </w:trPr>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60" w:type="dxa"/>
            <w:vAlign w:val="bottom"/>
          </w:tcPr>
          <w:p>
            <w:pPr>
              <w:ind w:left="360"/>
              <w:spacing w:after="0" w:line="59" w:lineRule="exact"/>
              <w:rPr>
                <w:sz w:val="20"/>
                <w:szCs w:val="20"/>
                <w:color w:val="auto"/>
              </w:rPr>
            </w:pPr>
            <w:r>
              <w:rPr>
                <w:rFonts w:ascii="Arial" w:cs="Arial" w:eastAsia="Arial" w:hAnsi="Arial"/>
                <w:sz w:val="6"/>
                <w:szCs w:val="6"/>
                <w:color w:val="auto"/>
              </w:rPr>
              <w:t>The Nominating, Sustainability &amp; Corporate Governance Committee</w:t>
            </w:r>
          </w:p>
        </w:tc>
      </w:tr>
      <w:tr>
        <w:trPr>
          <w:trHeight w:val="189"/>
        </w:trPr>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60" w:type="dxa"/>
            <w:vAlign w:val="bottom"/>
          </w:tcPr>
          <w:p>
            <w:pPr>
              <w:ind w:left="360"/>
              <w:spacing w:after="0" w:line="189" w:lineRule="exact"/>
              <w:rPr>
                <w:sz w:val="20"/>
                <w:szCs w:val="20"/>
                <w:color w:val="auto"/>
              </w:rPr>
            </w:pPr>
            <w:r>
              <w:rPr>
                <w:rFonts w:ascii="Arial" w:cs="Arial" w:eastAsia="Arial" w:hAnsi="Arial"/>
                <w:sz w:val="17"/>
                <w:szCs w:val="17"/>
                <w:color w:val="auto"/>
              </w:rPr>
              <w:t>c/o Corporate Secretary</w:t>
            </w:r>
          </w:p>
        </w:tc>
      </w:tr>
      <w:tr>
        <w:trPr>
          <w:trHeight w:val="189"/>
        </w:trPr>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60" w:type="dxa"/>
            <w:vAlign w:val="bottom"/>
          </w:tcPr>
          <w:p>
            <w:pPr>
              <w:ind w:left="360"/>
              <w:spacing w:after="0" w:line="189" w:lineRule="exact"/>
              <w:rPr>
                <w:sz w:val="20"/>
                <w:szCs w:val="20"/>
                <w:color w:val="auto"/>
              </w:rPr>
            </w:pPr>
            <w:r>
              <w:rPr>
                <w:rFonts w:ascii="Arial" w:cs="Arial" w:eastAsia="Arial" w:hAnsi="Arial"/>
                <w:sz w:val="17"/>
                <w:szCs w:val="17"/>
                <w:color w:val="auto"/>
              </w:rPr>
              <w:t>Ribbon Communications Inc.</w:t>
            </w:r>
          </w:p>
        </w:tc>
      </w:tr>
      <w:tr>
        <w:trPr>
          <w:trHeight w:val="189"/>
        </w:trPr>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60" w:type="dxa"/>
            <w:vAlign w:val="bottom"/>
          </w:tcPr>
          <w:p>
            <w:pPr>
              <w:ind w:left="360"/>
              <w:spacing w:after="0" w:line="189" w:lineRule="exact"/>
              <w:rPr>
                <w:sz w:val="20"/>
                <w:szCs w:val="20"/>
                <w:color w:val="auto"/>
              </w:rPr>
            </w:pPr>
            <w:r>
              <w:rPr>
                <w:rFonts w:ascii="Arial" w:cs="Arial" w:eastAsia="Arial" w:hAnsi="Arial"/>
                <w:sz w:val="17"/>
                <w:szCs w:val="17"/>
                <w:color w:val="auto"/>
              </w:rPr>
              <w:t>6500 Chase Oaks Blvd., Suite 100</w:t>
            </w:r>
          </w:p>
        </w:tc>
      </w:tr>
      <w:tr>
        <w:trPr>
          <w:trHeight w:val="225"/>
        </w:trPr>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60" w:type="dxa"/>
            <w:vAlign w:val="bottom"/>
          </w:tcPr>
          <w:p>
            <w:pPr>
              <w:ind w:left="360"/>
              <w:spacing w:after="0"/>
              <w:rPr>
                <w:sz w:val="20"/>
                <w:szCs w:val="20"/>
                <w:color w:val="auto"/>
              </w:rPr>
            </w:pPr>
            <w:r>
              <w:rPr>
                <w:rFonts w:ascii="Arial" w:cs="Arial" w:eastAsia="Arial" w:hAnsi="Arial"/>
                <w:sz w:val="17"/>
                <w:szCs w:val="17"/>
                <w:color w:val="auto"/>
              </w:rPr>
              <w:t>Plano, Texas 75023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-641985</wp:posOffset>
            </wp:positionV>
            <wp:extent cx="410591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column">
              <wp:posOffset>1374140</wp:posOffset>
            </wp:positionH>
            <wp:positionV relativeFrom="paragraph">
              <wp:posOffset>-591185</wp:posOffset>
            </wp:positionV>
            <wp:extent cx="240030" cy="2400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rPr>
          <w:sz w:val="20"/>
          <w:szCs w:val="20"/>
          <w:color w:val="auto"/>
        </w:rPr>
      </w:pPr>
      <w:r>
        <w:rPr>
          <w:rFonts w:ascii="Arial" w:cs="Arial" w:eastAsia="Arial" w:hAnsi="Arial"/>
          <w:sz w:val="17"/>
          <w:szCs w:val="17"/>
          <w:color w:val="auto"/>
        </w:rPr>
        <w:t>​</w:t>
      </w:r>
    </w:p>
    <w:p>
      <w:pPr>
        <w:spacing w:after="0" w:line="979" w:lineRule="exact"/>
        <w:rPr>
          <w:sz w:val="20"/>
          <w:szCs w:val="20"/>
          <w:color w:val="auto"/>
        </w:rPr>
      </w:pPr>
    </w:p>
    <w:p>
      <w:pPr>
        <w:sectPr>
          <w:pgSz w:w="11900" w:h="16838" w:orient="portrait"/>
          <w:cols w:equalWidth="0" w:num="2">
            <w:col w:w="8520" w:space="0"/>
            <w:col w:w="1359"/>
          </w:cols>
          <w:pgMar w:left="580" w:top="97" w:right="1440" w:bottom="1440" w:gutter="0" w:footer="0" w:header="0"/>
          <w:type w:val="continuous"/>
        </w:sectPr>
      </w:pPr>
    </w:p>
    <w:p>
      <w:pPr>
        <w:ind w:left="920" w:right="119"/>
        <w:spacing w:after="0" w:line="245" w:lineRule="auto"/>
        <w:rPr>
          <w:sz w:val="20"/>
          <w:szCs w:val="20"/>
          <w:color w:val="auto"/>
        </w:rPr>
      </w:pPr>
      <w:r>
        <w:rPr>
          <w:rFonts w:ascii="Arial" w:cs="Arial" w:eastAsia="Arial" w:hAnsi="Arial"/>
          <w:sz w:val="18"/>
          <w:szCs w:val="18"/>
          <w:color w:val="auto"/>
        </w:rPr>
        <w:t>In considering candidates submitted by stockholders, the Nominating, Sustainability and Corporate Governance Committee will take into consideration the current make-up of the Board, what skills should be</w:t>
      </w:r>
    </w:p>
    <w:p>
      <w:pPr>
        <w:ind w:left="920" w:right="739"/>
        <w:spacing w:after="0" w:line="237" w:lineRule="auto"/>
        <w:rPr>
          <w:sz w:val="20"/>
          <w:szCs w:val="20"/>
          <w:color w:val="auto"/>
        </w:rPr>
      </w:pPr>
      <w:r>
        <w:rPr>
          <w:rFonts w:ascii="Arial" w:cs="Arial" w:eastAsia="Arial" w:hAnsi="Arial"/>
          <w:sz w:val="18"/>
          <w:szCs w:val="18"/>
          <w:color w:val="auto"/>
        </w:rPr>
        <w:t>added (if any) and the qualifications of the candidate. The Nominating, Sustainability and Corporate Governance Committee will consider director candidates recommended by stockholders</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24</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right="839"/>
        <w:spacing w:after="0" w:line="256" w:lineRule="auto"/>
        <w:rPr>
          <w:sz w:val="20"/>
          <w:szCs w:val="20"/>
          <w:color w:val="auto"/>
        </w:rPr>
      </w:pPr>
      <w:r>
        <w:rPr>
          <w:rFonts w:ascii="Arial" w:cs="Arial" w:eastAsia="Arial" w:hAnsi="Arial"/>
          <w:sz w:val="18"/>
          <w:szCs w:val="18"/>
          <w:color w:val="auto"/>
        </w:rPr>
        <w:t>in the same manner as candidates recommended by the Nominating, Sustainability and Corporate Governance Committee, as described above in “</w:t>
      </w:r>
      <w:r>
        <w:rPr>
          <w:rFonts w:ascii="Arial" w:cs="Arial" w:eastAsia="Arial" w:hAnsi="Arial"/>
          <w:sz w:val="18"/>
          <w:szCs w:val="18"/>
          <w:i w:val="1"/>
          <w:iCs w:val="1"/>
          <w:color w:val="auto"/>
        </w:rPr>
        <w:t>Director Nomination Process.</w:t>
      </w:r>
      <w:r>
        <w:rPr>
          <w:rFonts w:ascii="Arial" w:cs="Arial" w:eastAsia="Arial" w:hAnsi="Arial"/>
          <w:sz w:val="18"/>
          <w:szCs w:val="18"/>
          <w:color w:val="auto"/>
        </w:rPr>
        <w:t>”</w:t>
      </w:r>
    </w:p>
    <w:p>
      <w:pPr>
        <w:spacing w:after="0" w:line="85" w:lineRule="exact"/>
        <w:rPr>
          <w:sz w:val="20"/>
          <w:szCs w:val="20"/>
          <w:color w:val="auto"/>
        </w:rPr>
      </w:pPr>
    </w:p>
    <w:p>
      <w:pPr>
        <w:ind w:left="920" w:right="99"/>
        <w:spacing w:after="0" w:line="233" w:lineRule="auto"/>
        <w:rPr>
          <w:sz w:val="20"/>
          <w:szCs w:val="20"/>
          <w:color w:val="auto"/>
        </w:rPr>
      </w:pPr>
      <w:r>
        <w:rPr>
          <w:rFonts w:ascii="Arial" w:cs="Arial" w:eastAsia="Arial" w:hAnsi="Arial"/>
          <w:sz w:val="18"/>
          <w:szCs w:val="18"/>
          <w:color w:val="auto"/>
        </w:rPr>
        <w:t>Stockholders who wish to nominate director candidates or propose business to be considered directly at an annual meeting in accordance with the procedures set forth in our by-laws should follow the procedures set forth under the sections entitled “</w:t>
      </w:r>
      <w:r>
        <w:rPr>
          <w:rFonts w:ascii="Arial" w:cs="Arial" w:eastAsia="Arial" w:hAnsi="Arial"/>
          <w:sz w:val="18"/>
          <w:szCs w:val="18"/>
          <w:i w:val="1"/>
          <w:iCs w:val="1"/>
          <w:color w:val="auto"/>
        </w:rPr>
        <w:t>Stockholder Nominations and Proposals for Presentation at 2025 Annual</w:t>
      </w:r>
      <w:r>
        <w:rPr>
          <w:rFonts w:ascii="Arial" w:cs="Arial" w:eastAsia="Arial" w:hAnsi="Arial"/>
          <w:sz w:val="18"/>
          <w:szCs w:val="18"/>
          <w:color w:val="auto"/>
        </w:rPr>
        <w:t xml:space="preserve"> </w:t>
      </w:r>
      <w:r>
        <w:rPr>
          <w:rFonts w:ascii="Arial" w:cs="Arial" w:eastAsia="Arial" w:hAnsi="Arial"/>
          <w:sz w:val="18"/>
          <w:szCs w:val="18"/>
          <w:i w:val="1"/>
          <w:iCs w:val="1"/>
          <w:color w:val="auto"/>
        </w:rPr>
        <w:t>Meeting</w:t>
      </w:r>
      <w:r>
        <w:rPr>
          <w:rFonts w:ascii="Arial" w:cs="Arial" w:eastAsia="Arial" w:hAnsi="Arial"/>
          <w:sz w:val="18"/>
          <w:szCs w:val="18"/>
          <w:color w:val="auto"/>
        </w:rPr>
        <w:t>.”</w:t>
      </w:r>
    </w:p>
    <w:p>
      <w:pPr>
        <w:spacing w:after="0" w:line="149"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Board Leadership Structure</w:t>
      </w:r>
    </w:p>
    <w:p>
      <w:pPr>
        <w:spacing w:after="0" w:line="145" w:lineRule="exact"/>
        <w:rPr>
          <w:sz w:val="20"/>
          <w:szCs w:val="20"/>
          <w:color w:val="auto"/>
        </w:rPr>
      </w:pPr>
    </w:p>
    <w:p>
      <w:pPr>
        <w:ind w:left="920" w:right="179"/>
        <w:spacing w:after="0" w:line="227" w:lineRule="auto"/>
        <w:rPr>
          <w:sz w:val="20"/>
          <w:szCs w:val="20"/>
          <w:color w:val="auto"/>
        </w:rPr>
      </w:pPr>
      <w:r>
        <w:rPr>
          <w:rFonts w:ascii="Arial" w:cs="Arial" w:eastAsia="Arial" w:hAnsi="Arial"/>
          <w:sz w:val="18"/>
          <w:szCs w:val="18"/>
          <w:color w:val="auto"/>
        </w:rPr>
        <w:t>The Company’s Corporate Governance Guidelines provide that the Board leadership structure that is most appropriate for the Company at this time is a non-executive Chairman. The Board evaluates its leadership structure and role in risk oversight on an ongoing basis and makes decisions on the basis of what it considers to be best for the Company at any given point in time. Currently, our Board leadership structure consists of a non-executive Chairman, a separate CEO, a lead independent director and strong committee chairs. The Board believes its leadership structure provides for appropriate independence between the Board and management because the current leadership structure offers the following benefits:</w:t>
      </w:r>
    </w:p>
    <w:p>
      <w:pPr>
        <w:spacing w:after="0" w:line="101" w:lineRule="exact"/>
        <w:rPr>
          <w:sz w:val="20"/>
          <w:szCs w:val="20"/>
          <w:color w:val="auto"/>
        </w:rPr>
      </w:pPr>
    </w:p>
    <w:p>
      <w:pPr>
        <w:ind w:left="1280" w:right="179" w:hanging="356"/>
        <w:spacing w:after="0" w:line="271" w:lineRule="auto"/>
        <w:tabs>
          <w:tab w:leader="none" w:pos="1280" w:val="left"/>
        </w:tabs>
        <w:numPr>
          <w:ilvl w:val="0"/>
          <w:numId w:val="76"/>
        </w:numPr>
        <w:rPr>
          <w:rFonts w:ascii="Arial" w:cs="Arial" w:eastAsia="Arial" w:hAnsi="Arial"/>
          <w:sz w:val="18"/>
          <w:szCs w:val="18"/>
          <w:color w:val="62259D"/>
        </w:rPr>
      </w:pPr>
      <w:r>
        <w:rPr>
          <w:rFonts w:ascii="Arial" w:cs="Arial" w:eastAsia="Arial" w:hAnsi="Arial"/>
          <w:sz w:val="18"/>
          <w:szCs w:val="18"/>
          <w:color w:val="auto"/>
        </w:rPr>
        <w:t>increasing the independent oversight of Ribbon and enhancing our Board’s objective evaluation of our CEO;</w:t>
      </w:r>
    </w:p>
    <w:p>
      <w:pPr>
        <w:spacing w:after="0" w:line="5" w:lineRule="exact"/>
        <w:rPr>
          <w:rFonts w:ascii="Arial" w:cs="Arial" w:eastAsia="Arial" w:hAnsi="Arial"/>
          <w:sz w:val="18"/>
          <w:szCs w:val="18"/>
          <w:color w:val="62259D"/>
        </w:rPr>
      </w:pPr>
    </w:p>
    <w:p>
      <w:pPr>
        <w:ind w:left="1280" w:hanging="356"/>
        <w:spacing w:after="0"/>
        <w:tabs>
          <w:tab w:leader="none" w:pos="1280" w:val="left"/>
        </w:tabs>
        <w:numPr>
          <w:ilvl w:val="0"/>
          <w:numId w:val="76"/>
        </w:numPr>
        <w:rPr>
          <w:rFonts w:ascii="Arial" w:cs="Arial" w:eastAsia="Arial" w:hAnsi="Arial"/>
          <w:sz w:val="18"/>
          <w:szCs w:val="18"/>
          <w:color w:val="62259D"/>
        </w:rPr>
      </w:pPr>
      <w:r>
        <w:rPr>
          <w:rFonts w:ascii="Arial" w:cs="Arial" w:eastAsia="Arial" w:hAnsi="Arial"/>
          <w:sz w:val="18"/>
          <w:szCs w:val="18"/>
          <w:color w:val="auto"/>
        </w:rPr>
        <w:t>focusing the CEO on Company operations instead of Board administration;</w:t>
      </w:r>
    </w:p>
    <w:p>
      <w:pPr>
        <w:spacing w:after="0" w:line="63" w:lineRule="exact"/>
        <w:rPr>
          <w:rFonts w:ascii="Arial" w:cs="Arial" w:eastAsia="Arial" w:hAnsi="Arial"/>
          <w:sz w:val="18"/>
          <w:szCs w:val="18"/>
          <w:color w:val="62259D"/>
        </w:rPr>
      </w:pPr>
    </w:p>
    <w:p>
      <w:pPr>
        <w:ind w:left="1280" w:hanging="356"/>
        <w:spacing w:after="0"/>
        <w:tabs>
          <w:tab w:leader="none" w:pos="1280" w:val="left"/>
        </w:tabs>
        <w:numPr>
          <w:ilvl w:val="0"/>
          <w:numId w:val="76"/>
        </w:numPr>
        <w:rPr>
          <w:rFonts w:ascii="Arial" w:cs="Arial" w:eastAsia="Arial" w:hAnsi="Arial"/>
          <w:sz w:val="18"/>
          <w:szCs w:val="18"/>
          <w:color w:val="62259D"/>
        </w:rPr>
      </w:pPr>
      <w:r>
        <w:rPr>
          <w:rFonts w:ascii="Arial" w:cs="Arial" w:eastAsia="Arial" w:hAnsi="Arial"/>
          <w:sz w:val="18"/>
          <w:szCs w:val="18"/>
          <w:color w:val="auto"/>
        </w:rPr>
        <w:t>providing the CEO with an experienced sounding board;</w:t>
      </w:r>
    </w:p>
    <w:p>
      <w:pPr>
        <w:spacing w:after="0" w:line="49" w:lineRule="exact"/>
        <w:rPr>
          <w:rFonts w:ascii="Arial" w:cs="Arial" w:eastAsia="Arial" w:hAnsi="Arial"/>
          <w:sz w:val="18"/>
          <w:szCs w:val="18"/>
          <w:color w:val="62259D"/>
        </w:rPr>
      </w:pPr>
    </w:p>
    <w:p>
      <w:pPr>
        <w:ind w:left="1280" w:hanging="356"/>
        <w:spacing w:after="0"/>
        <w:tabs>
          <w:tab w:leader="none" w:pos="1280" w:val="left"/>
        </w:tabs>
        <w:numPr>
          <w:ilvl w:val="0"/>
          <w:numId w:val="76"/>
        </w:numPr>
        <w:rPr>
          <w:rFonts w:ascii="Arial" w:cs="Arial" w:eastAsia="Arial" w:hAnsi="Arial"/>
          <w:sz w:val="18"/>
          <w:szCs w:val="18"/>
          <w:color w:val="62259D"/>
        </w:rPr>
      </w:pPr>
      <w:r>
        <w:rPr>
          <w:rFonts w:ascii="Arial" w:cs="Arial" w:eastAsia="Arial" w:hAnsi="Arial"/>
          <w:sz w:val="18"/>
          <w:szCs w:val="18"/>
          <w:color w:val="auto"/>
        </w:rPr>
        <w:t>providing greater opportunities for communication between stockholders and our Board;</w:t>
      </w:r>
    </w:p>
    <w:p>
      <w:pPr>
        <w:spacing w:after="0" w:line="63" w:lineRule="exact"/>
        <w:rPr>
          <w:rFonts w:ascii="Arial" w:cs="Arial" w:eastAsia="Arial" w:hAnsi="Arial"/>
          <w:sz w:val="18"/>
          <w:szCs w:val="18"/>
          <w:color w:val="62259D"/>
        </w:rPr>
      </w:pPr>
    </w:p>
    <w:p>
      <w:pPr>
        <w:ind w:left="1280" w:hanging="356"/>
        <w:spacing w:after="0"/>
        <w:tabs>
          <w:tab w:leader="none" w:pos="1280" w:val="left"/>
        </w:tabs>
        <w:numPr>
          <w:ilvl w:val="0"/>
          <w:numId w:val="76"/>
        </w:numPr>
        <w:rPr>
          <w:rFonts w:ascii="Arial" w:cs="Arial" w:eastAsia="Arial" w:hAnsi="Arial"/>
          <w:sz w:val="18"/>
          <w:szCs w:val="18"/>
          <w:color w:val="62259D"/>
        </w:rPr>
      </w:pPr>
      <w:r>
        <w:rPr>
          <w:rFonts w:ascii="Arial" w:cs="Arial" w:eastAsia="Arial" w:hAnsi="Arial"/>
          <w:sz w:val="18"/>
          <w:szCs w:val="18"/>
          <w:color w:val="auto"/>
        </w:rPr>
        <w:t>enhancing the independent and objective assessment of risk by our Board; and</w:t>
      </w:r>
    </w:p>
    <w:p>
      <w:pPr>
        <w:spacing w:after="0" w:line="63" w:lineRule="exact"/>
        <w:rPr>
          <w:rFonts w:ascii="Arial" w:cs="Arial" w:eastAsia="Arial" w:hAnsi="Arial"/>
          <w:sz w:val="18"/>
          <w:szCs w:val="18"/>
          <w:color w:val="62259D"/>
        </w:rPr>
      </w:pPr>
    </w:p>
    <w:p>
      <w:pPr>
        <w:ind w:left="1280" w:hanging="356"/>
        <w:spacing w:after="0"/>
        <w:tabs>
          <w:tab w:leader="none" w:pos="1280" w:val="left"/>
        </w:tabs>
        <w:numPr>
          <w:ilvl w:val="0"/>
          <w:numId w:val="76"/>
        </w:numPr>
        <w:rPr>
          <w:rFonts w:ascii="Arial" w:cs="Arial" w:eastAsia="Arial" w:hAnsi="Arial"/>
          <w:sz w:val="18"/>
          <w:szCs w:val="18"/>
          <w:color w:val="62259D"/>
        </w:rPr>
      </w:pPr>
      <w:r>
        <w:rPr>
          <w:rFonts w:ascii="Arial" w:cs="Arial" w:eastAsia="Arial" w:hAnsi="Arial"/>
          <w:sz w:val="18"/>
          <w:szCs w:val="18"/>
          <w:color w:val="auto"/>
        </w:rPr>
        <w:t>providing an independent spokesperson for our Company.</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Executive Sessions of the Board</w:t>
      </w:r>
    </w:p>
    <w:p>
      <w:pPr>
        <w:spacing w:after="0" w:line="145" w:lineRule="exact"/>
        <w:rPr>
          <w:sz w:val="20"/>
          <w:szCs w:val="20"/>
          <w:color w:val="auto"/>
        </w:rPr>
      </w:pPr>
    </w:p>
    <w:p>
      <w:pPr>
        <w:ind w:left="920" w:right="439"/>
        <w:spacing w:after="0" w:line="245" w:lineRule="auto"/>
        <w:rPr>
          <w:sz w:val="20"/>
          <w:szCs w:val="20"/>
          <w:color w:val="auto"/>
        </w:rPr>
      </w:pPr>
      <w:r>
        <w:rPr>
          <w:rFonts w:ascii="Arial" w:cs="Arial" w:eastAsia="Arial" w:hAnsi="Arial"/>
          <w:sz w:val="18"/>
          <w:szCs w:val="18"/>
          <w:color w:val="auto"/>
        </w:rPr>
        <w:t>The Company’s Board is structured to promote independence and is designed so that independent directors exercise oversight of the Company’s management and key issues related to strategy and risk.</w:t>
      </w:r>
    </w:p>
    <w:p>
      <w:pPr>
        <w:ind w:left="920" w:right="239"/>
        <w:spacing w:after="0" w:line="226" w:lineRule="auto"/>
        <w:rPr>
          <w:sz w:val="20"/>
          <w:szCs w:val="20"/>
          <w:color w:val="auto"/>
        </w:rPr>
      </w:pPr>
      <w:r>
        <w:rPr>
          <w:rFonts w:ascii="Arial" w:cs="Arial" w:eastAsia="Arial" w:hAnsi="Arial"/>
          <w:sz w:val="18"/>
          <w:szCs w:val="18"/>
          <w:color w:val="auto"/>
        </w:rPr>
        <w:t>Under our Corporate Governance Guidelines, our independent directors are required to meet in executive session at regularly scheduled Board meetings without management present to discuss any matters the</w:t>
      </w:r>
    </w:p>
    <w:p>
      <w:pPr>
        <w:spacing w:after="0" w:line="2" w:lineRule="exact"/>
        <w:rPr>
          <w:sz w:val="20"/>
          <w:szCs w:val="20"/>
          <w:color w:val="auto"/>
        </w:rPr>
      </w:pPr>
    </w:p>
    <w:p>
      <w:pPr>
        <w:ind w:left="920" w:right="279"/>
        <w:spacing w:after="0" w:line="250" w:lineRule="auto"/>
        <w:rPr>
          <w:sz w:val="20"/>
          <w:szCs w:val="20"/>
          <w:color w:val="auto"/>
        </w:rPr>
      </w:pPr>
      <w:r>
        <w:rPr>
          <w:rFonts w:ascii="Arial" w:cs="Arial" w:eastAsia="Arial" w:hAnsi="Arial"/>
          <w:sz w:val="18"/>
          <w:szCs w:val="18"/>
          <w:color w:val="auto"/>
        </w:rPr>
        <w:t>independent directors consider appropriate. We expect the Board to have a least four executive sessions each year.</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Additional Governance Matters</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Code of Ethics</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Board has adopted a written Amended and Restated Code of Conduct, which qualifies as a “code of</w:t>
      </w:r>
    </w:p>
    <w:p>
      <w:pPr>
        <w:spacing w:after="0" w:line="14" w:lineRule="exact"/>
        <w:rPr>
          <w:sz w:val="20"/>
          <w:szCs w:val="20"/>
          <w:color w:val="auto"/>
        </w:rPr>
      </w:pPr>
    </w:p>
    <w:p>
      <w:pPr>
        <w:ind w:left="920" w:right="619"/>
        <w:spacing w:after="0" w:line="226" w:lineRule="auto"/>
        <w:rPr>
          <w:sz w:val="20"/>
          <w:szCs w:val="20"/>
          <w:color w:val="auto"/>
        </w:rPr>
      </w:pPr>
      <w:r>
        <w:rPr>
          <w:rFonts w:ascii="Arial" w:cs="Arial" w:eastAsia="Arial" w:hAnsi="Arial"/>
          <w:sz w:val="18"/>
          <w:szCs w:val="18"/>
          <w:color w:val="auto"/>
        </w:rPr>
        <w:t>ethics” as defined by SEC rules. The Amended and Restated Code of Conduct is intended to provide guidance on the conduct expected of Ribbon’s employees, officers and directors in the interests of</w:t>
      </w:r>
    </w:p>
    <w:p>
      <w:pPr>
        <w:ind w:left="920"/>
        <w:spacing w:after="0" w:line="236" w:lineRule="auto"/>
        <w:rPr>
          <w:sz w:val="20"/>
          <w:szCs w:val="20"/>
          <w:color w:val="auto"/>
        </w:rPr>
      </w:pPr>
      <w:r>
        <w:rPr>
          <w:rFonts w:ascii="Arial" w:cs="Arial" w:eastAsia="Arial" w:hAnsi="Arial"/>
          <w:sz w:val="18"/>
          <w:szCs w:val="18"/>
          <w:color w:val="auto"/>
        </w:rPr>
        <w:t>preserving Ribbon’s reputation for integrity, accountability and fair dealing. To ensure that our business is</w:t>
      </w:r>
    </w:p>
    <w:p>
      <w:pPr>
        <w:spacing w:after="0" w:line="1" w:lineRule="exact"/>
        <w:rPr>
          <w:sz w:val="20"/>
          <w:szCs w:val="20"/>
          <w:color w:val="auto"/>
        </w:rPr>
      </w:pPr>
    </w:p>
    <w:p>
      <w:pPr>
        <w:ind w:left="920" w:right="139"/>
        <w:spacing w:after="0" w:line="237" w:lineRule="auto"/>
        <w:rPr>
          <w:sz w:val="20"/>
          <w:szCs w:val="20"/>
          <w:color w:val="auto"/>
        </w:rPr>
      </w:pPr>
      <w:r>
        <w:rPr>
          <w:rFonts w:ascii="Arial" w:cs="Arial" w:eastAsia="Arial" w:hAnsi="Arial"/>
          <w:sz w:val="18"/>
          <w:szCs w:val="18"/>
          <w:color w:val="auto"/>
        </w:rPr>
        <w:t>conducted in a consistently legal and ethical manner, our Amended and Restated Code of Conduct applies to all of our directors, officers and employees.</w:t>
      </w:r>
    </w:p>
    <w:p>
      <w:pPr>
        <w:spacing w:after="0" w:line="113" w:lineRule="exact"/>
        <w:rPr>
          <w:sz w:val="20"/>
          <w:szCs w:val="20"/>
          <w:color w:val="auto"/>
        </w:rPr>
      </w:pPr>
    </w:p>
    <w:p>
      <w:pPr>
        <w:ind w:left="920" w:right="139"/>
        <w:spacing w:after="0" w:line="237" w:lineRule="auto"/>
        <w:rPr>
          <w:sz w:val="20"/>
          <w:szCs w:val="20"/>
          <w:color w:val="auto"/>
        </w:rPr>
      </w:pPr>
      <w:r>
        <w:rPr>
          <w:rFonts w:ascii="Arial" w:cs="Arial" w:eastAsia="Arial" w:hAnsi="Arial"/>
          <w:sz w:val="18"/>
          <w:szCs w:val="18"/>
          <w:color w:val="auto"/>
        </w:rPr>
        <w:t>We intend to disclose any amendment to or waiver of a provision of the Amended and Restated Code of Conduct that applies to our principal executive officer, principal financial officer, principal accounting officer</w:t>
      </w:r>
    </w:p>
    <w:p>
      <w:pPr>
        <w:spacing w:after="0" w:line="1" w:lineRule="exact"/>
        <w:rPr>
          <w:sz w:val="20"/>
          <w:szCs w:val="20"/>
          <w:color w:val="auto"/>
        </w:rPr>
      </w:pPr>
    </w:p>
    <w:p>
      <w:pPr>
        <w:ind w:left="920" w:right="779"/>
        <w:spacing w:after="0" w:line="250" w:lineRule="auto"/>
        <w:rPr>
          <w:sz w:val="20"/>
          <w:szCs w:val="20"/>
          <w:color w:val="auto"/>
        </w:rPr>
      </w:pPr>
      <w:r>
        <w:rPr>
          <w:rFonts w:ascii="Arial" w:cs="Arial" w:eastAsia="Arial" w:hAnsi="Arial"/>
          <w:sz w:val="18"/>
          <w:szCs w:val="18"/>
          <w:color w:val="auto"/>
        </w:rPr>
        <w:t xml:space="preserve">or controller, or persons performing similar functions, by posting such information on our website at </w:t>
      </w:r>
      <w:r>
        <w:rPr>
          <w:rFonts w:ascii="Arial" w:cs="Arial" w:eastAsia="Arial" w:hAnsi="Arial"/>
          <w:sz w:val="18"/>
          <w:szCs w:val="18"/>
          <w:color w:val="E7417A"/>
        </w:rPr>
        <w:t>www.ribboncommunications.com</w:t>
      </w:r>
      <w:r>
        <w:rPr>
          <w:rFonts w:ascii="Arial" w:cs="Arial" w:eastAsia="Arial" w:hAnsi="Arial"/>
          <w:sz w:val="18"/>
          <w:szCs w:val="18"/>
          <w:color w:val="000000"/>
        </w:rPr>
        <w:t>.</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Public Availability of Corporate Governance Documents</w:t>
      </w:r>
    </w:p>
    <w:p>
      <w:pPr>
        <w:spacing w:after="0" w:line="139" w:lineRule="exact"/>
        <w:rPr>
          <w:sz w:val="20"/>
          <w:szCs w:val="20"/>
          <w:color w:val="auto"/>
        </w:rPr>
      </w:pPr>
    </w:p>
    <w:p>
      <w:pPr>
        <w:ind w:left="920" w:right="659"/>
        <w:spacing w:after="0" w:line="271" w:lineRule="auto"/>
        <w:rPr>
          <w:sz w:val="20"/>
          <w:szCs w:val="20"/>
          <w:color w:val="auto"/>
        </w:rPr>
      </w:pPr>
      <w:r>
        <w:rPr>
          <w:rFonts w:ascii="Arial" w:cs="Arial" w:eastAsia="Arial" w:hAnsi="Arial"/>
          <w:sz w:val="18"/>
          <w:szCs w:val="18"/>
          <w:color w:val="auto"/>
        </w:rPr>
        <w:t>For more corporate governance information, you are invited to access our key corporate governance documents, including our Corporate Governance Guidelines, Amended and Restated Code of</w:t>
      </w:r>
    </w:p>
    <w:p>
      <w:pPr>
        <w:spacing w:after="0" w:line="140"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Conduct and the charters of our Audit Committee, Compensation Committee, Nominating, Sustainability</w:t>
      </w:r>
    </w:p>
    <w:p>
      <w:pPr>
        <w:spacing w:after="0" w:line="14" w:lineRule="exact"/>
        <w:rPr>
          <w:sz w:val="20"/>
          <w:szCs w:val="20"/>
          <w:color w:val="auto"/>
        </w:rPr>
      </w:pPr>
    </w:p>
    <w:p>
      <w:pPr>
        <w:ind w:left="920" w:right="679"/>
        <w:spacing w:after="0" w:line="226" w:lineRule="auto"/>
        <w:rPr>
          <w:sz w:val="20"/>
          <w:szCs w:val="20"/>
          <w:color w:val="auto"/>
        </w:rPr>
      </w:pPr>
      <w:r>
        <w:rPr>
          <w:rFonts w:ascii="Arial" w:cs="Arial" w:eastAsia="Arial" w:hAnsi="Arial"/>
          <w:sz w:val="18"/>
          <w:szCs w:val="18"/>
          <w:color w:val="auto"/>
        </w:rPr>
        <w:t xml:space="preserve">and Corporate Governance Committee, and Technology and Innovation Committee on our corporate website at </w:t>
      </w:r>
      <w:r>
        <w:rPr>
          <w:rFonts w:ascii="Arial" w:cs="Arial" w:eastAsia="Arial" w:hAnsi="Arial"/>
          <w:sz w:val="18"/>
          <w:szCs w:val="18"/>
          <w:color w:val="E7417A"/>
        </w:rPr>
        <w:t>www.ribboncommunications.com</w:t>
      </w:r>
      <w:r>
        <w:rPr>
          <w:rFonts w:ascii="Arial" w:cs="Arial" w:eastAsia="Arial" w:hAnsi="Arial"/>
          <w:sz w:val="18"/>
          <w:szCs w:val="18"/>
          <w:color w:val="auto"/>
        </w:rPr>
        <w:t xml:space="preserve">, in the section entitled </w:t>
      </w:r>
      <w:r>
        <w:rPr>
          <w:rFonts w:ascii="Arial" w:cs="Arial" w:eastAsia="Arial" w:hAnsi="Arial"/>
          <w:sz w:val="18"/>
          <w:szCs w:val="18"/>
          <w:i w:val="1"/>
          <w:iCs w:val="1"/>
          <w:color w:val="auto"/>
        </w:rPr>
        <w:t xml:space="preserve">Company —  </w:t>
      </w:r>
    </w:p>
    <w:p>
      <w:pPr>
        <w:ind w:left="920"/>
        <w:spacing w:after="0" w:line="236" w:lineRule="auto"/>
        <w:rPr>
          <w:sz w:val="20"/>
          <w:szCs w:val="20"/>
          <w:color w:val="auto"/>
        </w:rPr>
      </w:pPr>
      <w:r>
        <w:rPr>
          <w:rFonts w:ascii="Arial" w:cs="Arial" w:eastAsia="Arial" w:hAnsi="Arial"/>
          <w:sz w:val="18"/>
          <w:szCs w:val="18"/>
          <w:i w:val="1"/>
          <w:iCs w:val="1"/>
          <w:color w:val="auto"/>
        </w:rPr>
        <w:t>Investor Relations — Corporate Governance — Governance Highlights</w:t>
      </w:r>
      <w:r>
        <w:rPr>
          <w:rFonts w:ascii="Arial" w:cs="Arial" w:eastAsia="Arial" w:hAnsi="Arial"/>
          <w:sz w:val="18"/>
          <w:szCs w:val="18"/>
          <w:color w:val="auto"/>
        </w:rPr>
        <w:t>. The references in this Proxy</w:t>
      </w:r>
    </w:p>
    <w:p>
      <w:pPr>
        <w:spacing w:after="0" w:line="1" w:lineRule="exact"/>
        <w:rPr>
          <w:sz w:val="20"/>
          <w:szCs w:val="20"/>
          <w:color w:val="auto"/>
        </w:rPr>
      </w:pPr>
    </w:p>
    <w:p>
      <w:pPr>
        <w:ind w:left="920" w:right="599"/>
        <w:spacing w:after="0" w:line="237" w:lineRule="auto"/>
        <w:rPr>
          <w:sz w:val="20"/>
          <w:szCs w:val="20"/>
          <w:color w:val="auto"/>
        </w:rPr>
      </w:pPr>
      <w:r>
        <w:rPr>
          <w:rFonts w:ascii="Arial" w:cs="Arial" w:eastAsia="Arial" w:hAnsi="Arial"/>
          <w:sz w:val="18"/>
          <w:szCs w:val="18"/>
          <w:color w:val="auto"/>
        </w:rPr>
        <w:t>Statement to our corporate website are not intended to, and do not, incorporate by reference into this Proxy Statement any materials contained on such website.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Stockholder Communications with the Board of Directors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Stockholders may communicate with our Board by contacting our Investor Relations Department:</w:t>
      </w:r>
    </w:p>
    <w:p>
      <w:pPr>
        <w:spacing w:after="0" w:line="48"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80" w:type="dxa"/>
            <w:vAlign w:val="bottom"/>
          </w:tcPr>
          <w:p>
            <w:pPr>
              <w:spacing w:after="0"/>
              <w:rPr>
                <w:sz w:val="16"/>
                <w:szCs w:val="16"/>
                <w:color w:val="auto"/>
              </w:rPr>
            </w:pPr>
          </w:p>
        </w:tc>
        <w:tc>
          <w:tcPr>
            <w:tcW w:w="420" w:type="dxa"/>
            <w:vAlign w:val="bottom"/>
          </w:tcPr>
          <w:p>
            <w:pPr>
              <w:ind w:left="20"/>
              <w:spacing w:after="0"/>
              <w:rPr>
                <w:sz w:val="20"/>
                <w:szCs w:val="20"/>
                <w:color w:val="auto"/>
              </w:rPr>
            </w:pPr>
            <w:r>
              <w:rPr>
                <w:rFonts w:ascii="Arial" w:cs="Arial" w:eastAsia="Arial" w:hAnsi="Arial"/>
                <w:sz w:val="17"/>
                <w:szCs w:val="17"/>
                <w:color w:val="auto"/>
              </w:rPr>
              <w:t>​</w:t>
            </w:r>
          </w:p>
        </w:tc>
        <w:tc>
          <w:tcPr>
            <w:tcW w:w="3100" w:type="dxa"/>
            <w:vAlign w:val="bottom"/>
          </w:tcPr>
          <w:p>
            <w:pPr>
              <w:ind w:lef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7"/>
                <w:szCs w:val="17"/>
                <w:color w:val="auto"/>
              </w:rPr>
              <w:t>​</w:t>
            </w:r>
          </w:p>
        </w:tc>
        <w:tc>
          <w:tcPr>
            <w:tcW w:w="1600" w:type="dxa"/>
            <w:vAlign w:val="bottom"/>
          </w:tcPr>
          <w:p>
            <w:pPr>
              <w:ind w:left="3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987"/>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r>
      <w:tr>
        <w:trPr>
          <w:trHeight w:val="68"/>
        </w:trPr>
        <w:tc>
          <w:tcPr>
            <w:tcW w:w="80" w:type="dxa"/>
            <w:vAlign w:val="bottom"/>
          </w:tcPr>
          <w:p>
            <w:pPr>
              <w:spacing w:after="0" w:line="68" w:lineRule="exact"/>
              <w:rPr>
                <w:sz w:val="20"/>
                <w:szCs w:val="20"/>
                <w:color w:val="auto"/>
              </w:rPr>
            </w:pPr>
            <w:r>
              <w:rPr>
                <w:rFonts w:ascii="Arial" w:cs="Arial" w:eastAsia="Arial" w:hAnsi="Arial"/>
                <w:sz w:val="7"/>
                <w:szCs w:val="7"/>
                <w:color w:val="auto"/>
              </w:rPr>
              <w:t>​</w:t>
            </w:r>
          </w:p>
        </w:tc>
        <w:tc>
          <w:tcPr>
            <w:tcW w:w="420" w:type="dxa"/>
            <w:vAlign w:val="bottom"/>
          </w:tcPr>
          <w:p>
            <w:pPr>
              <w:spacing w:after="0"/>
              <w:rPr>
                <w:sz w:val="5"/>
                <w:szCs w:val="5"/>
                <w:color w:val="auto"/>
              </w:rPr>
            </w:pPr>
          </w:p>
        </w:tc>
        <w:tc>
          <w:tcPr>
            <w:tcW w:w="3100" w:type="dxa"/>
            <w:vAlign w:val="bottom"/>
          </w:tcPr>
          <w:p>
            <w:pPr>
              <w:ind w:left="360"/>
              <w:spacing w:after="0" w:line="68" w:lineRule="exact"/>
              <w:rPr>
                <w:sz w:val="20"/>
                <w:szCs w:val="20"/>
                <w:color w:val="auto"/>
              </w:rPr>
            </w:pPr>
            <w:r>
              <w:rPr>
                <w:rFonts w:ascii="Arial" w:cs="Arial" w:eastAsia="Arial" w:hAnsi="Arial"/>
                <w:sz w:val="7"/>
                <w:szCs w:val="7"/>
                <w:color w:val="auto"/>
              </w:rPr>
              <w:t>​</w:t>
            </w:r>
          </w:p>
        </w:tc>
        <w:tc>
          <w:tcPr>
            <w:tcW w:w="160" w:type="dxa"/>
            <w:vAlign w:val="bottom"/>
          </w:tcPr>
          <w:p>
            <w:pPr>
              <w:jc w:val="right"/>
              <w:ind w:right="12"/>
              <w:spacing w:after="0" w:line="68" w:lineRule="exact"/>
              <w:rPr>
                <w:sz w:val="20"/>
                <w:szCs w:val="20"/>
                <w:color w:val="auto"/>
              </w:rPr>
            </w:pPr>
            <w:r>
              <w:rPr>
                <w:rFonts w:ascii="Arial" w:cs="Arial" w:eastAsia="Arial" w:hAnsi="Arial"/>
                <w:sz w:val="7"/>
                <w:szCs w:val="7"/>
                <w:color w:val="auto"/>
              </w:rPr>
              <w:t>​</w:t>
            </w:r>
          </w:p>
        </w:tc>
        <w:tc>
          <w:tcPr>
            <w:tcW w:w="160" w:type="dxa"/>
            <w:vAlign w:val="bottom"/>
          </w:tcPr>
          <w:p>
            <w:pPr>
              <w:ind w:left="60"/>
              <w:spacing w:after="0" w:line="68" w:lineRule="exact"/>
              <w:rPr>
                <w:sz w:val="20"/>
                <w:szCs w:val="20"/>
                <w:color w:val="auto"/>
              </w:rPr>
            </w:pPr>
            <w:r>
              <w:rPr>
                <w:rFonts w:ascii="Arial" w:cs="Arial" w:eastAsia="Arial" w:hAnsi="Arial"/>
                <w:sz w:val="7"/>
                <w:szCs w:val="7"/>
                <w:color w:val="auto"/>
              </w:rPr>
              <w:t>​</w:t>
            </w:r>
          </w:p>
        </w:tc>
        <w:tc>
          <w:tcPr>
            <w:tcW w:w="460" w:type="dxa"/>
            <w:vAlign w:val="bottom"/>
          </w:tcPr>
          <w:p>
            <w:pPr>
              <w:spacing w:after="0"/>
              <w:rPr>
                <w:sz w:val="5"/>
                <w:szCs w:val="5"/>
                <w:color w:val="auto"/>
              </w:rPr>
            </w:pPr>
          </w:p>
        </w:tc>
        <w:tc>
          <w:tcPr>
            <w:tcW w:w="1600" w:type="dxa"/>
            <w:vAlign w:val="bottom"/>
          </w:tcPr>
          <w:p>
            <w:pPr>
              <w:ind w:left="360"/>
              <w:spacing w:after="0" w:line="68" w:lineRule="exact"/>
              <w:rPr>
                <w:sz w:val="20"/>
                <w:szCs w:val="20"/>
                <w:color w:val="auto"/>
              </w:rPr>
            </w:pPr>
            <w:r>
              <w:rPr>
                <w:rFonts w:ascii="Arial" w:cs="Arial" w:eastAsia="Arial" w:hAnsi="Arial"/>
                <w:sz w:val="7"/>
                <w:szCs w:val="7"/>
                <w:color w:val="auto"/>
              </w:rPr>
              <w:t>​</w:t>
            </w:r>
          </w:p>
        </w:tc>
        <w:tc>
          <w:tcPr>
            <w:tcW w:w="14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160" w:type="dxa"/>
            <w:vAlign w:val="bottom"/>
          </w:tcPr>
          <w:p>
            <w:pPr>
              <w:ind w:left="60"/>
              <w:spacing w:after="0" w:line="68" w:lineRule="exact"/>
              <w:rPr>
                <w:sz w:val="20"/>
                <w:szCs w:val="20"/>
                <w:color w:val="auto"/>
              </w:rPr>
            </w:pPr>
            <w:r>
              <w:rPr>
                <w:rFonts w:ascii="Arial" w:cs="Arial" w:eastAsia="Arial" w:hAnsi="Arial"/>
                <w:sz w:val="7"/>
                <w:szCs w:val="7"/>
                <w:color w:val="auto"/>
              </w:rPr>
              <w:t>​</w:t>
            </w:r>
          </w:p>
        </w:tc>
        <w:tc>
          <w:tcPr>
            <w:tcW w:w="460" w:type="dxa"/>
            <w:vAlign w:val="bottom"/>
          </w:tcPr>
          <w:p>
            <w:pPr>
              <w:spacing w:after="0"/>
              <w:rPr>
                <w:sz w:val="5"/>
                <w:szCs w:val="5"/>
                <w:color w:val="auto"/>
              </w:rPr>
            </w:pPr>
          </w:p>
        </w:tc>
        <w:tc>
          <w:tcPr>
            <w:tcW w:w="1460" w:type="dxa"/>
            <w:vAlign w:val="bottom"/>
          </w:tcPr>
          <w:p>
            <w:pPr>
              <w:jc w:val="right"/>
              <w:ind w:right="987"/>
              <w:spacing w:after="0" w:line="68" w:lineRule="exact"/>
              <w:rPr>
                <w:sz w:val="20"/>
                <w:szCs w:val="20"/>
                <w:color w:val="auto"/>
              </w:rPr>
            </w:pPr>
            <w:r>
              <w:rPr>
                <w:rFonts w:ascii="Arial" w:cs="Arial" w:eastAsia="Arial" w:hAnsi="Arial"/>
                <w:sz w:val="7"/>
                <w:szCs w:val="7"/>
                <w:color w:val="auto"/>
              </w:rPr>
              <w:t>​</w:t>
            </w:r>
          </w:p>
        </w:tc>
        <w:tc>
          <w:tcPr>
            <w:tcW w:w="40" w:type="dxa"/>
            <w:vAlign w:val="bottom"/>
          </w:tcPr>
          <w:p>
            <w:pPr>
              <w:spacing w:after="0" w:line="68" w:lineRule="exact"/>
              <w:rPr>
                <w:sz w:val="20"/>
                <w:szCs w:val="20"/>
                <w:color w:val="auto"/>
              </w:rPr>
            </w:pPr>
            <w:r>
              <w:rPr>
                <w:rFonts w:ascii="Arial" w:cs="Arial" w:eastAsia="Arial" w:hAnsi="Arial"/>
                <w:sz w:val="7"/>
                <w:szCs w:val="7"/>
                <w:color w:val="auto"/>
              </w:rPr>
              <w:t>​</w:t>
            </w:r>
          </w:p>
        </w:tc>
      </w:tr>
      <w:tr>
        <w:trPr>
          <w:trHeight w:val="108"/>
        </w:trPr>
        <w:tc>
          <w:tcPr>
            <w:tcW w:w="80" w:type="dxa"/>
            <w:vAlign w:val="bottom"/>
          </w:tcPr>
          <w:p>
            <w:pPr>
              <w:spacing w:after="0" w:line="108" w:lineRule="exact"/>
              <w:rPr>
                <w:sz w:val="20"/>
                <w:szCs w:val="20"/>
                <w:color w:val="auto"/>
              </w:rPr>
            </w:pPr>
            <w:r>
              <w:rPr>
                <w:rFonts w:ascii="Arial" w:cs="Arial" w:eastAsia="Arial" w:hAnsi="Arial"/>
                <w:sz w:val="12"/>
                <w:szCs w:val="12"/>
                <w:color w:val="auto"/>
              </w:rPr>
              <w:t>​</w:t>
            </w:r>
          </w:p>
        </w:tc>
        <w:tc>
          <w:tcPr>
            <w:tcW w:w="420" w:type="dxa"/>
            <w:vAlign w:val="bottom"/>
          </w:tcPr>
          <w:p>
            <w:pPr>
              <w:spacing w:after="0"/>
              <w:rPr>
                <w:sz w:val="9"/>
                <w:szCs w:val="9"/>
                <w:color w:val="auto"/>
              </w:rPr>
            </w:pPr>
          </w:p>
        </w:tc>
        <w:tc>
          <w:tcPr>
            <w:tcW w:w="3100" w:type="dxa"/>
            <w:vAlign w:val="bottom"/>
          </w:tcPr>
          <w:p>
            <w:pPr>
              <w:ind w:left="360"/>
              <w:spacing w:after="0" w:line="108" w:lineRule="exact"/>
              <w:rPr>
                <w:sz w:val="20"/>
                <w:szCs w:val="20"/>
                <w:color w:val="auto"/>
              </w:rPr>
            </w:pPr>
            <w:r>
              <w:rPr>
                <w:rFonts w:ascii="Arial" w:cs="Arial" w:eastAsia="Arial" w:hAnsi="Arial"/>
                <w:sz w:val="12"/>
                <w:szCs w:val="12"/>
                <w:color w:val="auto"/>
              </w:rPr>
              <w:t>​</w:t>
            </w:r>
          </w:p>
        </w:tc>
        <w:tc>
          <w:tcPr>
            <w:tcW w:w="160" w:type="dxa"/>
            <w:vAlign w:val="bottom"/>
          </w:tcPr>
          <w:p>
            <w:pPr>
              <w:jc w:val="right"/>
              <w:ind w:right="12"/>
              <w:spacing w:after="0" w:line="108" w:lineRule="exact"/>
              <w:rPr>
                <w:sz w:val="20"/>
                <w:szCs w:val="20"/>
                <w:color w:val="auto"/>
              </w:rPr>
            </w:pPr>
            <w:r>
              <w:rPr>
                <w:rFonts w:ascii="Arial" w:cs="Arial" w:eastAsia="Arial" w:hAnsi="Arial"/>
                <w:sz w:val="12"/>
                <w:szCs w:val="12"/>
                <w:color w:val="auto"/>
              </w:rPr>
              <w:t>​</w:t>
            </w:r>
          </w:p>
        </w:tc>
        <w:tc>
          <w:tcPr>
            <w:tcW w:w="160" w:type="dxa"/>
            <w:vAlign w:val="bottom"/>
          </w:tcPr>
          <w:p>
            <w:pPr>
              <w:ind w:left="60"/>
              <w:spacing w:after="0" w:line="10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9"/>
                <w:szCs w:val="9"/>
                <w:color w:val="auto"/>
              </w:rPr>
            </w:pPr>
          </w:p>
        </w:tc>
        <w:tc>
          <w:tcPr>
            <w:tcW w:w="1600" w:type="dxa"/>
            <w:vAlign w:val="bottom"/>
          </w:tcPr>
          <w:p>
            <w:pPr>
              <w:ind w:left="360"/>
              <w:spacing w:after="0" w:line="108" w:lineRule="exact"/>
              <w:rPr>
                <w:sz w:val="20"/>
                <w:szCs w:val="20"/>
                <w:color w:val="auto"/>
              </w:rPr>
            </w:pPr>
            <w:r>
              <w:rPr>
                <w:rFonts w:ascii="Arial" w:cs="Arial" w:eastAsia="Arial" w:hAnsi="Arial"/>
                <w:sz w:val="12"/>
                <w:szCs w:val="12"/>
                <w:color w:val="auto"/>
              </w:rPr>
              <w:t>​</w:t>
            </w:r>
          </w:p>
        </w:tc>
        <w:tc>
          <w:tcPr>
            <w:tcW w:w="140" w:type="dxa"/>
            <w:vAlign w:val="bottom"/>
          </w:tcPr>
          <w:p>
            <w:pPr>
              <w:ind w:left="40"/>
              <w:spacing w:after="0" w:line="108" w:lineRule="exact"/>
              <w:rPr>
                <w:sz w:val="20"/>
                <w:szCs w:val="20"/>
                <w:color w:val="auto"/>
              </w:rPr>
            </w:pPr>
            <w:r>
              <w:rPr>
                <w:rFonts w:ascii="Arial" w:cs="Arial" w:eastAsia="Arial" w:hAnsi="Arial"/>
                <w:sz w:val="12"/>
                <w:szCs w:val="12"/>
                <w:color w:val="auto"/>
              </w:rPr>
              <w:t>​</w:t>
            </w:r>
          </w:p>
        </w:tc>
        <w:tc>
          <w:tcPr>
            <w:tcW w:w="160" w:type="dxa"/>
            <w:vAlign w:val="bottom"/>
          </w:tcPr>
          <w:p>
            <w:pPr>
              <w:ind w:left="60"/>
              <w:spacing w:after="0" w:line="10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9"/>
                <w:szCs w:val="9"/>
                <w:color w:val="auto"/>
              </w:rPr>
            </w:pPr>
          </w:p>
        </w:tc>
        <w:tc>
          <w:tcPr>
            <w:tcW w:w="1460" w:type="dxa"/>
            <w:vAlign w:val="bottom"/>
          </w:tcPr>
          <w:p>
            <w:pPr>
              <w:jc w:val="right"/>
              <w:ind w:right="987"/>
              <w:spacing w:after="0" w:line="108" w:lineRule="exact"/>
              <w:rPr>
                <w:sz w:val="20"/>
                <w:szCs w:val="20"/>
                <w:color w:val="auto"/>
              </w:rPr>
            </w:pPr>
            <w:r>
              <w:rPr>
                <w:rFonts w:ascii="Arial" w:cs="Arial" w:eastAsia="Arial" w:hAnsi="Arial"/>
                <w:sz w:val="12"/>
                <w:szCs w:val="12"/>
                <w:color w:val="auto"/>
              </w:rPr>
              <w:t>​</w:t>
            </w:r>
          </w:p>
        </w:tc>
        <w:tc>
          <w:tcPr>
            <w:tcW w:w="40" w:type="dxa"/>
            <w:vAlign w:val="bottom"/>
          </w:tcPr>
          <w:p>
            <w:pPr>
              <w:spacing w:after="0" w:line="108" w:lineRule="exact"/>
              <w:rPr>
                <w:sz w:val="20"/>
                <w:szCs w:val="20"/>
                <w:color w:val="auto"/>
              </w:rPr>
            </w:pPr>
            <w:r>
              <w:rPr>
                <w:rFonts w:ascii="Arial" w:cs="Arial" w:eastAsia="Arial" w:hAnsi="Arial"/>
                <w:sz w:val="12"/>
                <w:szCs w:val="12"/>
                <w:color w:val="auto"/>
              </w:rPr>
              <w:t>​</w:t>
            </w:r>
          </w:p>
        </w:tc>
      </w:tr>
      <w:tr>
        <w:trPr>
          <w:trHeight w:val="59"/>
        </w:trPr>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100" w:type="dxa"/>
            <w:vAlign w:val="bottom"/>
          </w:tcPr>
          <w:p>
            <w:pPr>
              <w:ind w:left="360"/>
              <w:spacing w:after="0" w:line="59" w:lineRule="exact"/>
              <w:rPr>
                <w:sz w:val="20"/>
                <w:szCs w:val="20"/>
                <w:color w:val="auto"/>
              </w:rPr>
            </w:pPr>
            <w:r>
              <w:rPr>
                <w:rFonts w:ascii="Arial" w:cs="Arial" w:eastAsia="Arial" w:hAnsi="Arial"/>
                <w:sz w:val="6"/>
                <w:szCs w:val="6"/>
                <w:color w:val="auto"/>
              </w:rPr>
              <w:t>Investor Relations Department</w:t>
            </w: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0" w:type="dxa"/>
            <w:vAlign w:val="bottom"/>
          </w:tcPr>
          <w:p>
            <w:pPr>
              <w:ind w:left="360"/>
              <w:spacing w:after="0" w:line="59" w:lineRule="exact"/>
              <w:rPr>
                <w:sz w:val="20"/>
                <w:szCs w:val="20"/>
                <w:color w:val="auto"/>
              </w:rPr>
            </w:pPr>
            <w:r>
              <w:rPr>
                <w:rFonts w:ascii="Arial" w:cs="Arial" w:eastAsia="Arial" w:hAnsi="Arial"/>
                <w:sz w:val="6"/>
                <w:szCs w:val="6"/>
                <w:color w:val="auto"/>
              </w:rPr>
              <w:t>(978) 614-8050</w:t>
            </w: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60" w:type="dxa"/>
            <w:vAlign w:val="bottom"/>
          </w:tcPr>
          <w:p>
            <w:pPr>
              <w:jc w:val="right"/>
              <w:ind w:right="7"/>
              <w:spacing w:after="0" w:line="59" w:lineRule="exact"/>
              <w:rPr>
                <w:sz w:val="20"/>
                <w:szCs w:val="20"/>
                <w:color w:val="auto"/>
              </w:rPr>
            </w:pPr>
            <w:r>
              <w:rPr>
                <w:rFonts w:ascii="Arial" w:cs="Arial" w:eastAsia="Arial" w:hAnsi="Arial"/>
                <w:sz w:val="6"/>
                <w:szCs w:val="6"/>
                <w:color w:val="auto"/>
              </w:rPr>
              <w:t>ir@rbbn.com</w:t>
            </w:r>
          </w:p>
        </w:tc>
        <w:tc>
          <w:tcPr>
            <w:tcW w:w="40" w:type="dxa"/>
            <w:vAlign w:val="bottom"/>
          </w:tcPr>
          <w:p>
            <w:pPr>
              <w:spacing w:after="0"/>
              <w:rPr>
                <w:sz w:val="5"/>
                <w:szCs w:val="5"/>
                <w:color w:val="auto"/>
              </w:rPr>
            </w:pPr>
          </w:p>
        </w:tc>
      </w:tr>
      <w:tr>
        <w:trPr>
          <w:trHeight w:val="189"/>
        </w:trPr>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tcPr>
          <w:p>
            <w:pPr>
              <w:ind w:left="360"/>
              <w:spacing w:after="0" w:line="189" w:lineRule="exact"/>
              <w:rPr>
                <w:sz w:val="20"/>
                <w:szCs w:val="20"/>
                <w:color w:val="auto"/>
              </w:rPr>
            </w:pPr>
            <w:r>
              <w:rPr>
                <w:rFonts w:ascii="Arial" w:cs="Arial" w:eastAsia="Arial" w:hAnsi="Arial"/>
                <w:sz w:val="17"/>
                <w:szCs w:val="17"/>
                <w:color w:val="auto"/>
              </w:rPr>
              <w:t>Ribbon Communications Inc.</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tcPr>
          <w:p>
            <w:pPr>
              <w:ind w:left="360"/>
              <w:spacing w:after="0" w:line="189" w:lineRule="exact"/>
              <w:rPr>
                <w:sz w:val="20"/>
                <w:szCs w:val="20"/>
                <w:color w:val="auto"/>
              </w:rPr>
            </w:pPr>
            <w:r>
              <w:rPr>
                <w:rFonts w:ascii="Arial" w:cs="Arial" w:eastAsia="Arial" w:hAnsi="Arial"/>
                <w:sz w:val="17"/>
                <w:szCs w:val="17"/>
                <w:color w:val="auto"/>
              </w:rPr>
              <w:t>6500 Chase Oaks Blvd., Suite 100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5"/>
        </w:trPr>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00" w:type="dxa"/>
            <w:vAlign w:val="bottom"/>
          </w:tcPr>
          <w:p>
            <w:pPr>
              <w:ind w:left="360"/>
              <w:spacing w:after="0"/>
              <w:rPr>
                <w:sz w:val="20"/>
                <w:szCs w:val="20"/>
                <w:color w:val="auto"/>
              </w:rPr>
            </w:pPr>
            <w:r>
              <w:rPr>
                <w:rFonts w:ascii="Arial" w:cs="Arial" w:eastAsia="Arial" w:hAnsi="Arial"/>
                <w:sz w:val="17"/>
                <w:szCs w:val="17"/>
                <w:color w:val="auto"/>
              </w:rPr>
              <w:t>Plano, Texas 75023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-521970</wp:posOffset>
            </wp:positionV>
            <wp:extent cx="51435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-471170</wp:posOffset>
            </wp:positionV>
            <wp:extent cx="240030" cy="2400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-471170</wp:posOffset>
            </wp:positionV>
            <wp:extent cx="171450" cy="2489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71450" cy="24892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-471170</wp:posOffset>
            </wp:positionV>
            <wp:extent cx="248285" cy="2489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258" w:lineRule="exact"/>
        <w:rPr>
          <w:sz w:val="20"/>
          <w:szCs w:val="20"/>
          <w:color w:val="auto"/>
        </w:rPr>
      </w:pPr>
    </w:p>
    <w:p>
      <w:pPr>
        <w:ind w:left="920" w:right="379"/>
        <w:spacing w:after="0" w:line="271" w:lineRule="auto"/>
        <w:rPr>
          <w:sz w:val="20"/>
          <w:szCs w:val="20"/>
          <w:color w:val="auto"/>
        </w:rPr>
      </w:pPr>
      <w:r>
        <w:rPr>
          <w:rFonts w:ascii="Arial" w:cs="Arial" w:eastAsia="Arial" w:hAnsi="Arial"/>
          <w:sz w:val="18"/>
          <w:szCs w:val="18"/>
          <w:color w:val="auto"/>
        </w:rPr>
        <w:t>Our Investor Relations Department will review all such communications and will forward to the Lead Independent Director all communications that raise an issue appropriate for consideration by our Board.</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Transactions with Related Persons</w:t>
      </w:r>
    </w:p>
    <w:p>
      <w:pPr>
        <w:spacing w:after="0" w:line="145" w:lineRule="exact"/>
        <w:rPr>
          <w:sz w:val="20"/>
          <w:szCs w:val="20"/>
          <w:color w:val="auto"/>
        </w:rPr>
      </w:pPr>
    </w:p>
    <w:p>
      <w:pPr>
        <w:jc w:val="both"/>
        <w:ind w:left="920" w:right="99"/>
        <w:spacing w:after="0" w:line="245" w:lineRule="auto"/>
        <w:rPr>
          <w:sz w:val="20"/>
          <w:szCs w:val="20"/>
          <w:color w:val="auto"/>
        </w:rPr>
      </w:pPr>
      <w:r>
        <w:rPr>
          <w:rFonts w:ascii="Arial" w:cs="Arial" w:eastAsia="Arial" w:hAnsi="Arial"/>
          <w:sz w:val="18"/>
          <w:szCs w:val="18"/>
          <w:color w:val="auto"/>
        </w:rPr>
        <w:t>The Board adopted a written related person transaction policy, which sets forth our policies and procedures for the review, approval or ratification of any transaction required to be reported in our filings with the SEC.</w:t>
      </w:r>
    </w:p>
    <w:p>
      <w:pPr>
        <w:ind w:left="920" w:right="99"/>
        <w:spacing w:after="0" w:line="226" w:lineRule="auto"/>
        <w:rPr>
          <w:sz w:val="20"/>
          <w:szCs w:val="20"/>
          <w:color w:val="auto"/>
        </w:rPr>
      </w:pPr>
      <w:r>
        <w:rPr>
          <w:rFonts w:ascii="Arial" w:cs="Arial" w:eastAsia="Arial" w:hAnsi="Arial"/>
          <w:sz w:val="18"/>
          <w:szCs w:val="18"/>
          <w:color w:val="auto"/>
        </w:rPr>
        <w:t>Under the policy, any potential related person transactions must be reported to our Chief Legal Officer, who is responsible for determining whether such transactions constitute related person transactions subject to</w:t>
      </w:r>
    </w:p>
    <w:p>
      <w:pPr>
        <w:ind w:left="920"/>
        <w:spacing w:after="0" w:line="236" w:lineRule="auto"/>
        <w:rPr>
          <w:sz w:val="20"/>
          <w:szCs w:val="20"/>
          <w:color w:val="auto"/>
        </w:rPr>
      </w:pPr>
      <w:r>
        <w:rPr>
          <w:rFonts w:ascii="Arial" w:cs="Arial" w:eastAsia="Arial" w:hAnsi="Arial"/>
          <w:sz w:val="18"/>
          <w:szCs w:val="18"/>
          <w:color w:val="auto"/>
        </w:rPr>
        <w:t>the policy. Our Chief Legal Officer is required to present to the Audit Committee each proposed related</w:t>
      </w:r>
    </w:p>
    <w:p>
      <w:pPr>
        <w:spacing w:after="0" w:line="1" w:lineRule="exact"/>
        <w:rPr>
          <w:sz w:val="20"/>
          <w:szCs w:val="20"/>
          <w:color w:val="auto"/>
        </w:rPr>
      </w:pPr>
    </w:p>
    <w:p>
      <w:pPr>
        <w:ind w:left="920" w:right="139"/>
        <w:spacing w:after="0" w:line="226" w:lineRule="auto"/>
        <w:rPr>
          <w:sz w:val="20"/>
          <w:szCs w:val="20"/>
          <w:color w:val="auto"/>
        </w:rPr>
      </w:pPr>
      <w:r>
        <w:rPr>
          <w:rFonts w:ascii="Arial" w:cs="Arial" w:eastAsia="Arial" w:hAnsi="Arial"/>
          <w:sz w:val="18"/>
          <w:szCs w:val="18"/>
          <w:color w:val="auto"/>
        </w:rPr>
        <w:t>person transaction. The Audit Committee may approve or ratify the transaction only if the Audit Committee determines that, under all of the circumstances, the transaction is in the best interests of the Company and</w:t>
      </w:r>
    </w:p>
    <w:p>
      <w:pPr>
        <w:ind w:left="920"/>
        <w:spacing w:after="0" w:line="236" w:lineRule="auto"/>
        <w:rPr>
          <w:sz w:val="20"/>
          <w:szCs w:val="20"/>
          <w:color w:val="auto"/>
        </w:rPr>
      </w:pPr>
      <w:r>
        <w:rPr>
          <w:rFonts w:ascii="Arial" w:cs="Arial" w:eastAsia="Arial" w:hAnsi="Arial"/>
          <w:sz w:val="18"/>
          <w:szCs w:val="18"/>
          <w:color w:val="auto"/>
        </w:rPr>
        <w:t>its stockholders, as the Audit Committee determines in good faith. The Audit Committee may, in its sole</w:t>
      </w:r>
    </w:p>
    <w:p>
      <w:pPr>
        <w:spacing w:after="0" w:line="1" w:lineRule="exact"/>
        <w:rPr>
          <w:sz w:val="20"/>
          <w:szCs w:val="20"/>
          <w:color w:val="auto"/>
        </w:rPr>
      </w:pPr>
    </w:p>
    <w:p>
      <w:pPr>
        <w:ind w:left="920" w:right="479"/>
        <w:spacing w:after="0" w:line="226" w:lineRule="auto"/>
        <w:rPr>
          <w:sz w:val="20"/>
          <w:szCs w:val="20"/>
          <w:color w:val="auto"/>
        </w:rPr>
      </w:pPr>
      <w:r>
        <w:rPr>
          <w:rFonts w:ascii="Arial" w:cs="Arial" w:eastAsia="Arial" w:hAnsi="Arial"/>
          <w:sz w:val="18"/>
          <w:szCs w:val="18"/>
          <w:color w:val="auto"/>
        </w:rPr>
        <w:t>discretion, impose such conditions as it deems appropriate on the Company or the related person in connection with approval of the related person transaction. If the Audit Committee does not approve or</w:t>
      </w:r>
    </w:p>
    <w:p>
      <w:pPr>
        <w:spacing w:after="0" w:line="2" w:lineRule="exact"/>
        <w:rPr>
          <w:sz w:val="20"/>
          <w:szCs w:val="20"/>
          <w:color w:val="auto"/>
        </w:rPr>
      </w:pPr>
    </w:p>
    <w:p>
      <w:pPr>
        <w:ind w:left="920" w:right="419"/>
        <w:spacing w:after="0" w:line="237" w:lineRule="auto"/>
        <w:rPr>
          <w:sz w:val="20"/>
          <w:szCs w:val="20"/>
          <w:color w:val="auto"/>
        </w:rPr>
      </w:pPr>
      <w:r>
        <w:rPr>
          <w:rFonts w:ascii="Arial" w:cs="Arial" w:eastAsia="Arial" w:hAnsi="Arial"/>
          <w:sz w:val="18"/>
          <w:szCs w:val="18"/>
          <w:color w:val="auto"/>
        </w:rPr>
        <w:t>ratify a related person transaction, such transaction will not be entered into or will be terminated, as the Audit Committee directs.</w:t>
      </w:r>
    </w:p>
    <w:p>
      <w:pPr>
        <w:spacing w:after="0" w:line="113" w:lineRule="exact"/>
        <w:rPr>
          <w:sz w:val="20"/>
          <w:szCs w:val="20"/>
          <w:color w:val="auto"/>
        </w:rPr>
      </w:pPr>
    </w:p>
    <w:p>
      <w:pPr>
        <w:ind w:left="920" w:right="499"/>
        <w:spacing w:after="0" w:line="256" w:lineRule="auto"/>
        <w:rPr>
          <w:sz w:val="20"/>
          <w:szCs w:val="20"/>
          <w:color w:val="auto"/>
        </w:rPr>
      </w:pPr>
      <w:r>
        <w:rPr>
          <w:rFonts w:ascii="Arial" w:cs="Arial" w:eastAsia="Arial" w:hAnsi="Arial"/>
          <w:sz w:val="18"/>
          <w:szCs w:val="18"/>
          <w:color w:val="auto"/>
        </w:rPr>
        <w:t>The following are certain transactions, arrangements and relationships with our directors, executive officers and stockholders owning 5% or more of our outstanding common stock since January 1, 2024.</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Stockholders Agreement</w:t>
      </w:r>
    </w:p>
    <w:p>
      <w:pPr>
        <w:spacing w:after="0" w:line="139" w:lineRule="exact"/>
        <w:rPr>
          <w:sz w:val="20"/>
          <w:szCs w:val="20"/>
          <w:color w:val="auto"/>
        </w:rPr>
      </w:pPr>
    </w:p>
    <w:p>
      <w:pPr>
        <w:ind w:left="920" w:right="319"/>
        <w:spacing w:after="0" w:line="237" w:lineRule="auto"/>
        <w:rPr>
          <w:sz w:val="20"/>
          <w:szCs w:val="20"/>
          <w:color w:val="auto"/>
        </w:rPr>
      </w:pPr>
      <w:r>
        <w:rPr>
          <w:rFonts w:ascii="Arial" w:cs="Arial" w:eastAsia="Arial" w:hAnsi="Arial"/>
          <w:sz w:val="18"/>
          <w:szCs w:val="18"/>
          <w:color w:val="auto"/>
        </w:rPr>
        <w:t>The Company has entered into the Stockholders Agreement with the JPM Stockholders and Swarth. The Stockholders Agreement provides the JPM Stockholders and Swarth with certain Board and Board</w:t>
      </w:r>
    </w:p>
    <w:p>
      <w:pPr>
        <w:ind w:left="920"/>
        <w:spacing w:after="0" w:line="235" w:lineRule="auto"/>
        <w:rPr>
          <w:sz w:val="20"/>
          <w:szCs w:val="20"/>
          <w:color w:val="auto"/>
        </w:rPr>
      </w:pPr>
      <w:r>
        <w:rPr>
          <w:rFonts w:ascii="Arial" w:cs="Arial" w:eastAsia="Arial" w:hAnsi="Arial"/>
          <w:sz w:val="18"/>
          <w:szCs w:val="18"/>
          <w:color w:val="auto"/>
        </w:rPr>
        <w:t>committee designation rights as described above under “</w:t>
      </w:r>
      <w:r>
        <w:rPr>
          <w:rFonts w:ascii="Arial" w:cs="Arial" w:eastAsia="Arial" w:hAnsi="Arial"/>
          <w:sz w:val="18"/>
          <w:szCs w:val="18"/>
          <w:i w:val="1"/>
          <w:iCs w:val="1"/>
          <w:color w:val="auto"/>
        </w:rPr>
        <w:t>Corporate Governance —Board​ Composition and</w:t>
      </w:r>
    </w:p>
    <w:p>
      <w:pPr>
        <w:spacing w:after="0" w:line="1" w:lineRule="exact"/>
        <w:rPr>
          <w:sz w:val="20"/>
          <w:szCs w:val="20"/>
          <w:color w:val="auto"/>
        </w:rPr>
      </w:pPr>
    </w:p>
    <w:p>
      <w:pPr>
        <w:ind w:left="920" w:right="279"/>
        <w:spacing w:after="0" w:line="237" w:lineRule="auto"/>
        <w:rPr>
          <w:sz w:val="20"/>
          <w:szCs w:val="20"/>
          <w:color w:val="auto"/>
        </w:rPr>
      </w:pPr>
      <w:r>
        <w:rPr>
          <w:rFonts w:ascii="Arial" w:cs="Arial" w:eastAsia="Arial" w:hAnsi="Arial"/>
          <w:sz w:val="18"/>
          <w:szCs w:val="18"/>
          <w:i w:val="1"/>
          <w:iCs w:val="1"/>
          <w:color w:val="auto"/>
        </w:rPr>
        <w:t>Stockholders Agreement</w:t>
      </w:r>
      <w:r>
        <w:rPr>
          <w:rFonts w:ascii="Arial" w:cs="Arial" w:eastAsia="Arial" w:hAnsi="Arial"/>
          <w:sz w:val="18"/>
          <w:szCs w:val="18"/>
          <w:color w:val="auto"/>
        </w:rPr>
        <w:t>” and “</w:t>
      </w:r>
      <w:r>
        <w:rPr>
          <w:rFonts w:ascii="Arial" w:cs="Arial" w:eastAsia="Arial" w:hAnsi="Arial"/>
          <w:sz w:val="18"/>
          <w:szCs w:val="18"/>
          <w:i w:val="1"/>
          <w:iCs w:val="1"/>
          <w:color w:val="auto"/>
        </w:rPr>
        <w:t>Corporate Governance — Board Committees,</w:t>
      </w:r>
      <w:r>
        <w:rPr>
          <w:rFonts w:ascii="Arial" w:cs="Arial" w:eastAsia="Arial" w:hAnsi="Arial"/>
          <w:sz w:val="18"/>
          <w:szCs w:val="18"/>
          <w:color w:val="auto"/>
        </w:rPr>
        <w:t>” and contains certain voting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as described in “</w:t>
      </w:r>
      <w:r>
        <w:rPr>
          <w:rFonts w:ascii="Arial" w:cs="Arial" w:eastAsia="Arial" w:hAnsi="Arial"/>
          <w:sz w:val="18"/>
          <w:szCs w:val="18"/>
          <w:i w:val="1"/>
          <w:iCs w:val="1"/>
          <w:color w:val="auto"/>
        </w:rPr>
        <w:t>Proposal 1 — Election of Directors</w:t>
      </w:r>
      <w:r>
        <w:rPr>
          <w:rFonts w:ascii="Arial" w:cs="Arial" w:eastAsia="Arial" w:hAnsi="Arial"/>
          <w:sz w:val="18"/>
          <w:szCs w:val="18"/>
          <w:color w:val="auto"/>
        </w:rPr>
        <w: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Standstill Restrictions</w:t>
      </w:r>
    </w:p>
    <w:p>
      <w:pPr>
        <w:spacing w:after="0" w:line="139" w:lineRule="exact"/>
        <w:rPr>
          <w:sz w:val="20"/>
          <w:szCs w:val="20"/>
          <w:color w:val="auto"/>
        </w:rPr>
      </w:pPr>
    </w:p>
    <w:p>
      <w:pPr>
        <w:ind w:left="920" w:right="399"/>
        <w:spacing w:after="0" w:line="237" w:lineRule="auto"/>
        <w:rPr>
          <w:sz w:val="20"/>
          <w:szCs w:val="20"/>
          <w:color w:val="auto"/>
        </w:rPr>
      </w:pPr>
      <w:r>
        <w:rPr>
          <w:rFonts w:ascii="Arial" w:cs="Arial" w:eastAsia="Arial" w:hAnsi="Arial"/>
          <w:sz w:val="18"/>
          <w:szCs w:val="18"/>
          <w:color w:val="auto"/>
        </w:rPr>
        <w:t>The Stockholders Agreement contains certain standstill provisions restricting the JPM Stockholders and Swarth from acquiring (or seeking or making any proposal or offer with respect to acquiring) additional</w:t>
      </w:r>
    </w:p>
    <w:p>
      <w:pPr>
        <w:ind w:left="920"/>
        <w:spacing w:after="0" w:line="235" w:lineRule="auto"/>
        <w:rPr>
          <w:sz w:val="20"/>
          <w:szCs w:val="20"/>
          <w:color w:val="auto"/>
        </w:rPr>
      </w:pPr>
      <w:r>
        <w:rPr>
          <w:rFonts w:ascii="Arial" w:cs="Arial" w:eastAsia="Arial" w:hAnsi="Arial"/>
          <w:sz w:val="18"/>
          <w:szCs w:val="18"/>
          <w:color w:val="auto"/>
        </w:rPr>
        <w:t>shares of Ribbon common stock or any security convertible into Ribbon common stock or any assets,</w:t>
      </w:r>
    </w:p>
    <w:p>
      <w:pPr>
        <w:spacing w:after="0" w:line="1" w:lineRule="exact"/>
        <w:rPr>
          <w:sz w:val="20"/>
          <w:szCs w:val="20"/>
          <w:color w:val="auto"/>
        </w:rPr>
      </w:pPr>
    </w:p>
    <w:p>
      <w:pPr>
        <w:ind w:left="920" w:right="679"/>
        <w:spacing w:after="0" w:line="226" w:lineRule="auto"/>
        <w:rPr>
          <w:sz w:val="20"/>
          <w:szCs w:val="20"/>
          <w:color w:val="auto"/>
        </w:rPr>
      </w:pPr>
      <w:r>
        <w:rPr>
          <w:rFonts w:ascii="Arial" w:cs="Arial" w:eastAsia="Arial" w:hAnsi="Arial"/>
          <w:sz w:val="18"/>
          <w:szCs w:val="18"/>
          <w:color w:val="auto"/>
        </w:rPr>
        <w:t>indebtedness or businesses of Ribbon common stock or any of its subsidiaries. Certain customary exclusions apply, and acquisition of shares of Ribbon common stock by a Ribbon stockholder will be</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permitted so long as such acquisition would not result in such stockholder and</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26</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right="99"/>
        <w:spacing w:after="0" w:line="268" w:lineRule="auto"/>
        <w:rPr>
          <w:sz w:val="20"/>
          <w:szCs w:val="20"/>
          <w:color w:val="auto"/>
        </w:rPr>
      </w:pPr>
      <w:r>
        <w:rPr>
          <w:rFonts w:ascii="Arial" w:cs="Arial" w:eastAsia="Arial" w:hAnsi="Arial"/>
          <w:sz w:val="18"/>
          <w:szCs w:val="18"/>
          <w:color w:val="auto"/>
        </w:rPr>
        <w:t>its affiliates beneficially owning a number of Ribbon common stock that is greater than 120% of the number of voting shares of Ribbon common stock held by the JPM Stockholders or Swarth, as applicable, on March 3, 2020 (or such lower number as specified in the Stockholders Agreement).</w:t>
      </w:r>
    </w:p>
    <w:p>
      <w:pPr>
        <w:spacing w:after="0" w:line="103" w:lineRule="exact"/>
        <w:rPr>
          <w:sz w:val="20"/>
          <w:szCs w:val="20"/>
          <w:color w:val="auto"/>
        </w:rPr>
      </w:pPr>
    </w:p>
    <w:p>
      <w:pPr>
        <w:ind w:left="920" w:right="119"/>
        <w:spacing w:after="0" w:line="262" w:lineRule="auto"/>
        <w:rPr>
          <w:sz w:val="20"/>
          <w:szCs w:val="20"/>
          <w:color w:val="auto"/>
        </w:rPr>
      </w:pPr>
      <w:r>
        <w:rPr>
          <w:rFonts w:ascii="Arial" w:cs="Arial" w:eastAsia="Arial" w:hAnsi="Arial"/>
          <w:sz w:val="18"/>
          <w:szCs w:val="18"/>
          <w:color w:val="auto"/>
        </w:rPr>
        <w:t>The standstill restrictions apply from the date of the Stockholders Agreement until the earlier of (i) the entry by Ribbon into a definitive agreement constituting a change of control transaction as discussed in further detail below and (ii) such date as the JPM Stockholders or Swarth, as applicable, no longer has a right to designate any members of the Board.</w:t>
      </w:r>
    </w:p>
    <w:p>
      <w:pPr>
        <w:spacing w:after="0" w:line="163"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Change of Control</w:t>
      </w:r>
    </w:p>
    <w:p>
      <w:pPr>
        <w:spacing w:after="0" w:line="139" w:lineRule="exact"/>
        <w:rPr>
          <w:sz w:val="20"/>
          <w:szCs w:val="20"/>
          <w:color w:val="auto"/>
        </w:rPr>
      </w:pPr>
    </w:p>
    <w:p>
      <w:pPr>
        <w:ind w:left="920" w:right="419"/>
        <w:spacing w:after="0" w:line="262" w:lineRule="auto"/>
        <w:rPr>
          <w:sz w:val="20"/>
          <w:szCs w:val="20"/>
          <w:color w:val="auto"/>
        </w:rPr>
      </w:pPr>
      <w:r>
        <w:rPr>
          <w:rFonts w:ascii="Arial" w:cs="Arial" w:eastAsia="Arial" w:hAnsi="Arial"/>
          <w:sz w:val="18"/>
          <w:szCs w:val="18"/>
          <w:color w:val="auto"/>
        </w:rPr>
        <w:t>Without the approval of a majority of the disinterested directors serving on the Board, neither the JPM Stockholders nor Swarth may enter into or affirmatively support any transaction resulting in a change of control of Ribbon in which any such stockholder receives per share consideration as a holder of Ribbon common stock in excess of that to be received by other holders of Ribbon common stock.</w:t>
      </w:r>
    </w:p>
    <w:p>
      <w:pPr>
        <w:spacing w:after="0" w:line="163"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Termination</w:t>
      </w:r>
    </w:p>
    <w:p>
      <w:pPr>
        <w:spacing w:after="0" w:line="152" w:lineRule="exact"/>
        <w:rPr>
          <w:sz w:val="20"/>
          <w:szCs w:val="20"/>
          <w:color w:val="auto"/>
        </w:rPr>
      </w:pPr>
    </w:p>
    <w:p>
      <w:pPr>
        <w:jc w:val="both"/>
        <w:ind w:left="920" w:right="139"/>
        <w:spacing w:after="0" w:line="262" w:lineRule="auto"/>
        <w:rPr>
          <w:sz w:val="20"/>
          <w:szCs w:val="20"/>
          <w:color w:val="auto"/>
        </w:rPr>
      </w:pPr>
      <w:r>
        <w:rPr>
          <w:rFonts w:ascii="Arial" w:cs="Arial" w:eastAsia="Arial" w:hAnsi="Arial"/>
          <w:sz w:val="18"/>
          <w:szCs w:val="18"/>
          <w:color w:val="auto"/>
        </w:rPr>
        <w:t>The Stockholders Agreement will terminate by mutual consent of Ribbon, a majority in interest of the JPM Stockholders and Swarth (including the approval by a majority of Independent Directors) or with respect to either the JPM Stockholders or Swarth, on the date that such stockholder ceases to beneficially own 2% or more of the issued and outstanding Ribbon common stock.</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Director Compensation</w:t>
      </w:r>
    </w:p>
    <w:p>
      <w:pPr>
        <w:spacing w:after="0" w:line="158" w:lineRule="exact"/>
        <w:rPr>
          <w:sz w:val="20"/>
          <w:szCs w:val="20"/>
          <w:color w:val="auto"/>
        </w:rPr>
      </w:pPr>
    </w:p>
    <w:p>
      <w:pPr>
        <w:ind w:left="920" w:right="379"/>
        <w:spacing w:after="0" w:line="262" w:lineRule="auto"/>
        <w:rPr>
          <w:sz w:val="20"/>
          <w:szCs w:val="20"/>
          <w:color w:val="auto"/>
        </w:rPr>
      </w:pPr>
      <w:r>
        <w:rPr>
          <w:rFonts w:ascii="Arial" w:cs="Arial" w:eastAsia="Arial" w:hAnsi="Arial"/>
          <w:sz w:val="18"/>
          <w:szCs w:val="18"/>
          <w:color w:val="auto"/>
        </w:rPr>
        <w:t>The Compensation Committee reviews the Non-Employee Director Compensation Policy (the “</w:t>
      </w:r>
      <w:r>
        <w:rPr>
          <w:rFonts w:ascii="Arial" w:cs="Arial" w:eastAsia="Arial" w:hAnsi="Arial"/>
          <w:sz w:val="18"/>
          <w:szCs w:val="18"/>
          <w:i w:val="1"/>
          <w:iCs w:val="1"/>
          <w:color w:val="auto"/>
        </w:rPr>
        <w:t>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Policy</w:t>
      </w:r>
      <w:r>
        <w:rPr>
          <w:rFonts w:ascii="Arial" w:cs="Arial" w:eastAsia="Arial" w:hAnsi="Arial"/>
          <w:sz w:val="18"/>
          <w:szCs w:val="18"/>
          <w:color w:val="auto"/>
        </w:rPr>
        <w:t>”) periodically and, in consultation with its independent compensation 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compensation on levels for peer companies and the broader market, recommends changes to the Board when it deems appropriate.</w:t>
      </w:r>
    </w:p>
    <w:p>
      <w:pPr>
        <w:spacing w:after="0" w:line="109" w:lineRule="exact"/>
        <w:rPr>
          <w:sz w:val="20"/>
          <w:szCs w:val="20"/>
          <w:color w:val="auto"/>
        </w:rPr>
      </w:pPr>
    </w:p>
    <w:p>
      <w:pPr>
        <w:ind w:left="920" w:right="119"/>
        <w:spacing w:after="0" w:line="256" w:lineRule="auto"/>
        <w:rPr>
          <w:sz w:val="20"/>
          <w:szCs w:val="20"/>
          <w:color w:val="auto"/>
        </w:rPr>
      </w:pPr>
      <w:r>
        <w:rPr>
          <w:rFonts w:ascii="Arial" w:cs="Arial" w:eastAsia="Arial" w:hAnsi="Arial"/>
          <w:sz w:val="18"/>
          <w:szCs w:val="18"/>
          <w:color w:val="auto"/>
        </w:rPr>
        <w:t>The Director Compensation Policy permits a director to elect to receive all or 50% of the cash fees payable to her or him in shares of the Company’s common stock and further permits a director to defer receipt of all or 50% of any shares payable to her or him upon vesting of equity awards until the 15th day of the month following the date on which the electing director ceases to serve on the Board (or earlier in connection with a change in control as defined under the Director Compensation Policy) . Pursuant to the Director Compensation Policy, Mr. Grayson elected to receive 100% of the 2024 cash fees payable to him in shares of the Company’s common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describes the components of the non-employee directors’ compensation for 2024:</w:t>
      </w:r>
    </w:p>
    <w:p>
      <w:pPr>
        <w:spacing w:after="0" w:line="78" w:lineRule="exact"/>
        <w:rPr>
          <w:sz w:val="20"/>
          <w:szCs w:val="20"/>
          <w:color w:val="auto"/>
        </w:rPr>
      </w:pPr>
    </w:p>
    <w:tbl>
      <w:tblPr>
        <w:tblLayout w:type="fixed"/>
        <w:tblInd w:w="920" w:type="dxa"/>
        <w:tblCellMar>
          <w:top w:w="0" w:type="dxa"/>
          <w:left w:w="0" w:type="dxa"/>
          <w:bottom w:w="0" w:type="dxa"/>
          <w:right w:w="0" w:type="dxa"/>
        </w:tblCellMar>
      </w:tblPr>
      <w:tr>
        <w:trPr>
          <w:trHeight w:val="368"/>
        </w:trPr>
        <w:tc>
          <w:tcPr>
            <w:tcW w:w="3460" w:type="dxa"/>
            <w:vAlign w:val="bottom"/>
            <w:gridSpan w:val="2"/>
            <w:shd w:val="clear" w:color="auto" w:fill="62259D"/>
          </w:tcPr>
          <w:p>
            <w:pPr>
              <w:spacing w:after="0"/>
              <w:rPr>
                <w:sz w:val="20"/>
                <w:szCs w:val="20"/>
                <w:color w:val="auto"/>
              </w:rPr>
            </w:pPr>
            <w:r>
              <w:rPr>
                <w:rFonts w:ascii="Arial" w:cs="Arial" w:eastAsia="Arial" w:hAnsi="Arial"/>
                <w:sz w:val="32"/>
                <w:szCs w:val="32"/>
                <w:b w:val="1"/>
                <w:bCs w:val="1"/>
                <w:color w:val="FEFEFE"/>
                <w:vertAlign w:val="subscript"/>
              </w:rPr>
              <w:t>​</w:t>
            </w:r>
            <w:r>
              <w:rPr>
                <w:rFonts w:ascii="Arial" w:cs="Arial" w:eastAsia="Arial" w:hAnsi="Arial"/>
                <w:sz w:val="16"/>
                <w:szCs w:val="16"/>
                <w:b w:val="1"/>
                <w:bCs w:val="1"/>
                <w:color w:val="FEFEFE"/>
              </w:rPr>
              <w:t xml:space="preserve"> Compensation Element</w:t>
            </w:r>
          </w:p>
        </w:tc>
        <w:tc>
          <w:tcPr>
            <w:tcW w:w="5260" w:type="dxa"/>
            <w:vAlign w:val="bottom"/>
            <w:shd w:val="clear" w:color="auto" w:fill="62259D"/>
          </w:tcPr>
          <w:p>
            <w:pPr>
              <w:ind w:left="100"/>
              <w:spacing w:after="0"/>
              <w:rPr>
                <w:sz w:val="20"/>
                <w:szCs w:val="20"/>
                <w:color w:val="auto"/>
              </w:rPr>
            </w:pPr>
            <w:r>
              <w:rPr>
                <w:rFonts w:ascii="Arial" w:cs="Arial" w:eastAsia="Arial" w:hAnsi="Arial"/>
                <w:sz w:val="32"/>
                <w:szCs w:val="32"/>
                <w:b w:val="1"/>
                <w:bCs w:val="1"/>
                <w:color w:val="FEFEFE"/>
                <w:vertAlign w:val="subscript"/>
              </w:rPr>
              <w:t>​​</w:t>
            </w:r>
            <w:r>
              <w:rPr>
                <w:rFonts w:ascii="Arial" w:cs="Arial" w:eastAsia="Arial" w:hAnsi="Arial"/>
                <w:sz w:val="16"/>
                <w:szCs w:val="16"/>
                <w:b w:val="1"/>
                <w:bCs w:val="1"/>
                <w:color w:val="FEFEFE"/>
              </w:rPr>
              <w:t>Compensation Payment</w:t>
            </w:r>
          </w:p>
        </w:tc>
        <w:tc>
          <w:tcPr>
            <w:tcW w:w="140" w:type="dxa"/>
            <w:vAlign w:val="bottom"/>
            <w:shd w:val="clear" w:color="auto" w:fill="62259D"/>
          </w:tcPr>
          <w:p>
            <w:pPr>
              <w:ind w:left="40"/>
              <w:spacing w:after="0"/>
              <w:rPr>
                <w:sz w:val="20"/>
                <w:szCs w:val="20"/>
                <w:color w:val="auto"/>
              </w:rPr>
            </w:pPr>
            <w:r>
              <w:rPr>
                <w:rFonts w:ascii="Arial" w:cs="Arial" w:eastAsia="Arial" w:hAnsi="Arial"/>
                <w:sz w:val="16"/>
                <w:szCs w:val="16"/>
                <w:b w:val="1"/>
                <w:bCs w:val="1"/>
                <w:color w:val="FEFEFE"/>
              </w:rPr>
              <w:t>​</w:t>
            </w:r>
          </w:p>
        </w:tc>
      </w:tr>
      <w:tr>
        <w:trPr>
          <w:trHeight w:val="283"/>
        </w:trPr>
        <w:tc>
          <w:tcPr>
            <w:tcW w:w="3460" w:type="dxa"/>
            <w:vAlign w:val="bottom"/>
            <w:tcBorders>
              <w:bottom w:val="single" w:sz="8" w:color="E7417A"/>
            </w:tcBorders>
            <w:gridSpan w:val="2"/>
          </w:tcPr>
          <w:p>
            <w:pPr>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Annual Retainer</w:t>
            </w:r>
          </w:p>
        </w:tc>
        <w:tc>
          <w:tcPr>
            <w:tcW w:w="5260" w:type="dxa"/>
            <w:vAlign w:val="bottom"/>
            <w:tcBorders>
              <w:bottom w:val="single" w:sz="8" w:color="E7417A"/>
            </w:tcBorders>
          </w:tcPr>
          <w:p>
            <w:pPr>
              <w:ind w:left="100"/>
              <w:spacing w:after="0" w:line="283"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$60,000</w:t>
            </w:r>
            <w:r>
              <w:rPr>
                <w:rFonts w:ascii="Arial" w:cs="Arial" w:eastAsia="Arial" w:hAnsi="Arial"/>
                <w:sz w:val="9"/>
                <w:szCs w:val="9"/>
                <w:color w:val="auto"/>
              </w:rPr>
              <w:t>(1)(2)</w:t>
            </w:r>
          </w:p>
        </w:tc>
        <w:tc>
          <w:tcPr>
            <w:tcW w:w="14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r>
      <w:tr>
        <w:trPr>
          <w:trHeight w:val="222"/>
        </w:trPr>
        <w:tc>
          <w:tcPr>
            <w:tcW w:w="3460" w:type="dxa"/>
            <w:vAlign w:val="bottom"/>
            <w:gridSpan w:val="2"/>
          </w:tcPr>
          <w:p>
            <w:pPr>
              <w:spacing w:after="0"/>
              <w:rPr>
                <w:sz w:val="20"/>
                <w:szCs w:val="20"/>
                <w:color w:val="auto"/>
              </w:rPr>
            </w:pPr>
            <w:r>
              <w:rPr>
                <w:rFonts w:ascii="Arial" w:cs="Arial" w:eastAsia="Arial" w:hAnsi="Arial"/>
                <w:sz w:val="16"/>
                <w:szCs w:val="16"/>
                <w:color w:val="auto"/>
              </w:rPr>
              <w:t>​ Annual Equity Retainer</w:t>
            </w:r>
          </w:p>
        </w:tc>
        <w:tc>
          <w:tcPr>
            <w:tcW w:w="5260" w:type="dxa"/>
            <w:vAlign w:val="bottom"/>
          </w:tcPr>
          <w:p>
            <w:pPr>
              <w:ind w:left="100"/>
              <w:spacing w:after="0"/>
              <w:rPr>
                <w:sz w:val="20"/>
                <w:szCs w:val="20"/>
                <w:color w:val="auto"/>
              </w:rPr>
            </w:pPr>
            <w:r>
              <w:rPr>
                <w:rFonts w:ascii="Arial" w:cs="Arial" w:eastAsia="Arial" w:hAnsi="Arial"/>
                <w:sz w:val="16"/>
                <w:szCs w:val="16"/>
                <w:color w:val="auto"/>
              </w:rPr>
              <w:t>​​$145,000</w:t>
            </w:r>
            <w:r>
              <w:rPr>
                <w:rFonts w:ascii="Arial" w:cs="Arial" w:eastAsia="Arial" w:hAnsi="Arial"/>
                <w:sz w:val="19"/>
                <w:szCs w:val="19"/>
                <w:color w:val="auto"/>
                <w:vertAlign w:val="superscript"/>
              </w:rPr>
              <w:t>(1)</w:t>
            </w:r>
            <w:r>
              <w:rPr>
                <w:rFonts w:ascii="Arial" w:cs="Arial" w:eastAsia="Arial" w:hAnsi="Arial"/>
                <w:sz w:val="16"/>
                <w:szCs w:val="16"/>
                <w:color w:val="auto"/>
              </w:rPr>
              <w:t xml:space="preserve"> in restricted stock units that vest after one year (or, if</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189"/>
        </w:trPr>
        <w:tc>
          <w:tcPr>
            <w:tcW w:w="1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5260" w:type="dxa"/>
            <w:vAlign w:val="bottom"/>
          </w:tcPr>
          <w:p>
            <w:pPr>
              <w:ind w:left="220"/>
              <w:spacing w:after="0"/>
              <w:rPr>
                <w:sz w:val="20"/>
                <w:szCs w:val="20"/>
                <w:color w:val="auto"/>
              </w:rPr>
            </w:pPr>
            <w:r>
              <w:rPr>
                <w:rFonts w:ascii="Arial" w:cs="Arial" w:eastAsia="Arial" w:hAnsi="Arial"/>
                <w:sz w:val="16"/>
                <w:szCs w:val="16"/>
                <w:color w:val="auto"/>
              </w:rPr>
              <w:t>earlier, on the date of the next annual meeting if the non- employee</w:t>
            </w:r>
          </w:p>
        </w:tc>
        <w:tc>
          <w:tcPr>
            <w:tcW w:w="140" w:type="dxa"/>
            <w:vAlign w:val="bottom"/>
          </w:tcPr>
          <w:p>
            <w:pPr>
              <w:spacing w:after="0"/>
              <w:rPr>
                <w:sz w:val="16"/>
                <w:szCs w:val="16"/>
                <w:color w:val="auto"/>
              </w:rPr>
            </w:pPr>
          </w:p>
        </w:tc>
      </w:tr>
      <w:tr>
        <w:trPr>
          <w:trHeight w:val="189"/>
        </w:trPr>
        <w:tc>
          <w:tcPr>
            <w:tcW w:w="1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5260" w:type="dxa"/>
            <w:vAlign w:val="bottom"/>
          </w:tcPr>
          <w:p>
            <w:pPr>
              <w:ind w:left="220"/>
              <w:spacing w:after="0"/>
              <w:rPr>
                <w:sz w:val="20"/>
                <w:szCs w:val="20"/>
                <w:color w:val="auto"/>
              </w:rPr>
            </w:pPr>
            <w:r>
              <w:rPr>
                <w:rFonts w:ascii="Arial" w:cs="Arial" w:eastAsia="Arial" w:hAnsi="Arial"/>
                <w:sz w:val="16"/>
                <w:szCs w:val="16"/>
                <w:color w:val="auto"/>
              </w:rPr>
              <w:t>director does not stand for re-election or is not re-elected by</w:t>
            </w:r>
          </w:p>
        </w:tc>
        <w:tc>
          <w:tcPr>
            <w:tcW w:w="140" w:type="dxa"/>
            <w:vAlign w:val="bottom"/>
          </w:tcPr>
          <w:p>
            <w:pPr>
              <w:spacing w:after="0"/>
              <w:rPr>
                <w:sz w:val="16"/>
                <w:szCs w:val="16"/>
                <w:color w:val="auto"/>
              </w:rPr>
            </w:pPr>
          </w:p>
        </w:tc>
      </w:tr>
      <w:tr>
        <w:trPr>
          <w:trHeight w:val="224"/>
        </w:trPr>
        <w:tc>
          <w:tcPr>
            <w:tcW w:w="160" w:type="dxa"/>
            <w:vAlign w:val="bottom"/>
            <w:tcBorders>
              <w:bottom w:val="single" w:sz="8" w:color="E7417A"/>
            </w:tcBorders>
          </w:tcPr>
          <w:p>
            <w:pPr>
              <w:spacing w:after="0"/>
              <w:rPr>
                <w:sz w:val="19"/>
                <w:szCs w:val="19"/>
                <w:color w:val="auto"/>
              </w:rPr>
            </w:pPr>
          </w:p>
        </w:tc>
        <w:tc>
          <w:tcPr>
            <w:tcW w:w="3300" w:type="dxa"/>
            <w:vAlign w:val="bottom"/>
            <w:tcBorders>
              <w:bottom w:val="single" w:sz="8" w:color="E7417A"/>
            </w:tcBorders>
          </w:tcPr>
          <w:p>
            <w:pPr>
              <w:spacing w:after="0"/>
              <w:rPr>
                <w:sz w:val="19"/>
                <w:szCs w:val="19"/>
                <w:color w:val="auto"/>
              </w:rPr>
            </w:pPr>
          </w:p>
        </w:tc>
        <w:tc>
          <w:tcPr>
            <w:tcW w:w="5260" w:type="dxa"/>
            <w:vAlign w:val="bottom"/>
            <w:tcBorders>
              <w:bottom w:val="single" w:sz="8" w:color="E7417A"/>
            </w:tcBorders>
          </w:tcPr>
          <w:p>
            <w:pPr>
              <w:ind w:left="220"/>
              <w:spacing w:after="0"/>
              <w:rPr>
                <w:sz w:val="20"/>
                <w:szCs w:val="20"/>
                <w:color w:val="auto"/>
              </w:rPr>
            </w:pPr>
            <w:r>
              <w:rPr>
                <w:rFonts w:ascii="Arial" w:cs="Arial" w:eastAsia="Arial" w:hAnsi="Arial"/>
                <w:sz w:val="16"/>
                <w:szCs w:val="16"/>
                <w:color w:val="auto"/>
              </w:rPr>
              <w:t>stockholders of the Company)</w:t>
            </w:r>
          </w:p>
        </w:tc>
        <w:tc>
          <w:tcPr>
            <w:tcW w:w="140" w:type="dxa"/>
            <w:vAlign w:val="bottom"/>
            <w:tcBorders>
              <w:bottom w:val="single" w:sz="8" w:color="E7417A"/>
            </w:tcBorders>
          </w:tcPr>
          <w:p>
            <w:pPr>
              <w:spacing w:after="0"/>
              <w:rPr>
                <w:sz w:val="19"/>
                <w:szCs w:val="19"/>
                <w:color w:val="auto"/>
              </w:rPr>
            </w:pPr>
          </w:p>
        </w:tc>
      </w:tr>
      <w:tr>
        <w:trPr>
          <w:trHeight w:val="283"/>
        </w:trPr>
        <w:tc>
          <w:tcPr>
            <w:tcW w:w="3460" w:type="dxa"/>
            <w:vAlign w:val="bottom"/>
            <w:tcBorders>
              <w:bottom w:val="single" w:sz="8" w:color="E7417A"/>
            </w:tcBorders>
            <w:gridSpan w:val="2"/>
          </w:tcPr>
          <w:p>
            <w:pPr>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Non-Executive Chairman Fee</w:t>
            </w:r>
            <w:r>
              <w:rPr>
                <w:rFonts w:ascii="Arial" w:cs="Arial" w:eastAsia="Arial" w:hAnsi="Arial"/>
                <w:sz w:val="19"/>
                <w:szCs w:val="19"/>
                <w:color w:val="auto"/>
                <w:vertAlign w:val="superscript"/>
              </w:rPr>
              <w:t>(3)</w:t>
            </w:r>
          </w:p>
        </w:tc>
        <w:tc>
          <w:tcPr>
            <w:tcW w:w="5260" w:type="dxa"/>
            <w:vAlign w:val="bottom"/>
            <w:tcBorders>
              <w:bottom w:val="single" w:sz="8" w:color="E7417A"/>
            </w:tcBorders>
          </w:tcPr>
          <w:p>
            <w:pPr>
              <w:ind w:left="100"/>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$50,000</w:t>
            </w:r>
            <w:r>
              <w:rPr>
                <w:rFonts w:ascii="Arial" w:cs="Arial" w:eastAsia="Arial" w:hAnsi="Arial"/>
                <w:sz w:val="19"/>
                <w:szCs w:val="19"/>
                <w:color w:val="auto"/>
                <w:vertAlign w:val="superscript"/>
              </w:rPr>
              <w:t>(2)</w:t>
            </w:r>
          </w:p>
        </w:tc>
        <w:tc>
          <w:tcPr>
            <w:tcW w:w="14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r>
      <w:tr>
        <w:trPr>
          <w:trHeight w:val="277"/>
        </w:trPr>
        <w:tc>
          <w:tcPr>
            <w:tcW w:w="3460" w:type="dxa"/>
            <w:vAlign w:val="bottom"/>
            <w:tcBorders>
              <w:bottom w:val="single" w:sz="8" w:color="E7417A"/>
            </w:tcBorders>
            <w:gridSpan w:val="2"/>
          </w:tcPr>
          <w:p>
            <w:pPr>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Lead Independent Director Fee</w:t>
            </w:r>
            <w:r>
              <w:rPr>
                <w:rFonts w:ascii="Arial" w:cs="Arial" w:eastAsia="Arial" w:hAnsi="Arial"/>
                <w:sz w:val="19"/>
                <w:szCs w:val="19"/>
                <w:color w:val="auto"/>
                <w:vertAlign w:val="superscript"/>
              </w:rPr>
              <w:t>(3)</w:t>
            </w:r>
          </w:p>
        </w:tc>
        <w:tc>
          <w:tcPr>
            <w:tcW w:w="5260" w:type="dxa"/>
            <w:vAlign w:val="bottom"/>
            <w:tcBorders>
              <w:bottom w:val="single" w:sz="8" w:color="E7417A"/>
            </w:tcBorders>
          </w:tcPr>
          <w:p>
            <w:pPr>
              <w:ind w:left="100"/>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$50,000</w:t>
            </w:r>
          </w:p>
        </w:tc>
        <w:tc>
          <w:tcPr>
            <w:tcW w:w="14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r>
      <w:tr>
        <w:trPr>
          <w:trHeight w:val="277"/>
        </w:trPr>
        <w:tc>
          <w:tcPr>
            <w:tcW w:w="3460" w:type="dxa"/>
            <w:vAlign w:val="bottom"/>
            <w:tcBorders>
              <w:bottom w:val="single" w:sz="8" w:color="4C4C4C"/>
            </w:tcBorders>
            <w:gridSpan w:val="2"/>
            <w:shd w:val="clear" w:color="auto" w:fill="F2F2F2"/>
          </w:tcPr>
          <w:p>
            <w:pPr>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Committee Fees</w:t>
            </w:r>
            <w:r>
              <w:rPr>
                <w:rFonts w:ascii="Arial" w:cs="Arial" w:eastAsia="Arial" w:hAnsi="Arial"/>
                <w:sz w:val="19"/>
                <w:szCs w:val="19"/>
                <w:color w:val="auto"/>
                <w:vertAlign w:val="superscript"/>
              </w:rPr>
              <w:t>(3)</w:t>
            </w:r>
          </w:p>
        </w:tc>
        <w:tc>
          <w:tcPr>
            <w:tcW w:w="5260" w:type="dxa"/>
            <w:vAlign w:val="bottom"/>
            <w:tcBorders>
              <w:bottom w:val="single" w:sz="8" w:color="4C4C4C"/>
            </w:tcBorders>
            <w:shd w:val="clear" w:color="auto" w:fill="F2F2F2"/>
          </w:tcPr>
          <w:p>
            <w:pPr>
              <w:ind w:left="1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C4C4C"/>
            </w:tcBorders>
            <w:shd w:val="clear" w:color="auto" w:fill="F2F2F2"/>
          </w:tcPr>
          <w:p>
            <w:pPr>
              <w:ind w:left="40"/>
              <w:spacing w:after="0"/>
              <w:rPr>
                <w:sz w:val="20"/>
                <w:szCs w:val="20"/>
                <w:color w:val="auto"/>
              </w:rPr>
            </w:pPr>
            <w:r>
              <w:rPr>
                <w:rFonts w:ascii="Arial" w:cs="Arial" w:eastAsia="Arial" w:hAnsi="Arial"/>
                <w:sz w:val="16"/>
                <w:szCs w:val="16"/>
                <w:color w:val="auto"/>
              </w:rPr>
              <w:t>​</w:t>
            </w:r>
          </w:p>
        </w:tc>
      </w:tr>
      <w:tr>
        <w:trPr>
          <w:trHeight w:val="263"/>
        </w:trPr>
        <w:tc>
          <w:tcPr>
            <w:tcW w:w="16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33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Audit Committee</w:t>
            </w:r>
          </w:p>
        </w:tc>
        <w:tc>
          <w:tcPr>
            <w:tcW w:w="5260" w:type="dxa"/>
            <w:vAlign w:val="bottom"/>
            <w:tcBorders>
              <w:bottom w:val="single" w:sz="8" w:color="E7417A"/>
            </w:tcBorders>
          </w:tcPr>
          <w:p>
            <w:pPr>
              <w:ind w:left="100"/>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$15,000</w:t>
            </w:r>
          </w:p>
        </w:tc>
        <w:tc>
          <w:tcPr>
            <w:tcW w:w="14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r>
      <w:tr>
        <w:trPr>
          <w:trHeight w:val="250"/>
        </w:trPr>
        <w:tc>
          <w:tcPr>
            <w:tcW w:w="16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33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Compensation Committee</w:t>
            </w:r>
          </w:p>
        </w:tc>
        <w:tc>
          <w:tcPr>
            <w:tcW w:w="5260" w:type="dxa"/>
            <w:vAlign w:val="bottom"/>
            <w:tcBorders>
              <w:bottom w:val="single" w:sz="8" w:color="E7417A"/>
            </w:tcBorders>
          </w:tcPr>
          <w:p>
            <w:pPr>
              <w:ind w:left="10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$10,000</w:t>
            </w:r>
          </w:p>
        </w:tc>
        <w:tc>
          <w:tcPr>
            <w:tcW w:w="14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r>
      <w:tr>
        <w:trPr>
          <w:trHeight w:val="195"/>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300" w:type="dxa"/>
            <w:vAlign w:val="bottom"/>
          </w:tcPr>
          <w:p>
            <w:pPr>
              <w:ind w:left="120"/>
              <w:spacing w:after="0"/>
              <w:rPr>
                <w:sz w:val="20"/>
                <w:szCs w:val="20"/>
                <w:color w:val="auto"/>
              </w:rPr>
            </w:pPr>
            <w:r>
              <w:rPr>
                <w:rFonts w:ascii="Arial" w:cs="Arial" w:eastAsia="Arial" w:hAnsi="Arial"/>
                <w:sz w:val="16"/>
                <w:szCs w:val="16"/>
                <w:color w:val="auto"/>
              </w:rPr>
              <w:t>Nominating, Sustainability and Corporate</w:t>
            </w:r>
          </w:p>
        </w:tc>
        <w:tc>
          <w:tcPr>
            <w:tcW w:w="5260" w:type="dxa"/>
            <w:vAlign w:val="bottom"/>
          </w:tcPr>
          <w:p>
            <w:pPr>
              <w:ind w:left="100"/>
              <w:spacing w:after="0"/>
              <w:rPr>
                <w:sz w:val="20"/>
                <w:szCs w:val="20"/>
                <w:color w:val="auto"/>
              </w:rPr>
            </w:pPr>
            <w:r>
              <w:rPr>
                <w:rFonts w:ascii="Arial" w:cs="Arial" w:eastAsia="Arial" w:hAnsi="Arial"/>
                <w:sz w:val="16"/>
                <w:szCs w:val="16"/>
                <w:color w:val="auto"/>
              </w:rPr>
              <w:t>​​$5,000</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24"/>
        </w:trPr>
        <w:tc>
          <w:tcPr>
            <w:tcW w:w="160" w:type="dxa"/>
            <w:vAlign w:val="bottom"/>
            <w:tcBorders>
              <w:bottom w:val="single" w:sz="8" w:color="E7417A"/>
            </w:tcBorders>
          </w:tcPr>
          <w:p>
            <w:pPr>
              <w:spacing w:after="0"/>
              <w:rPr>
                <w:sz w:val="19"/>
                <w:szCs w:val="19"/>
                <w:color w:val="auto"/>
              </w:rPr>
            </w:pPr>
          </w:p>
        </w:tc>
        <w:tc>
          <w:tcPr>
            <w:tcW w:w="33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Governance Committee</w:t>
            </w:r>
          </w:p>
        </w:tc>
        <w:tc>
          <w:tcPr>
            <w:tcW w:w="5260" w:type="dxa"/>
            <w:vAlign w:val="bottom"/>
            <w:tcBorders>
              <w:bottom w:val="single" w:sz="8" w:color="E7417A"/>
            </w:tcBorders>
          </w:tcPr>
          <w:p>
            <w:pPr>
              <w:spacing w:after="0"/>
              <w:rPr>
                <w:sz w:val="19"/>
                <w:szCs w:val="19"/>
                <w:color w:val="auto"/>
              </w:rPr>
            </w:pPr>
          </w:p>
        </w:tc>
        <w:tc>
          <w:tcPr>
            <w:tcW w:w="140" w:type="dxa"/>
            <w:vAlign w:val="bottom"/>
            <w:tcBorders>
              <w:bottom w:val="single" w:sz="8" w:color="E7417A"/>
            </w:tcBorders>
          </w:tcPr>
          <w:p>
            <w:pPr>
              <w:spacing w:after="0"/>
              <w:rPr>
                <w:sz w:val="19"/>
                <w:szCs w:val="19"/>
                <w:color w:val="auto"/>
              </w:rPr>
            </w:pPr>
          </w:p>
        </w:tc>
      </w:tr>
      <w:tr>
        <w:trPr>
          <w:trHeight w:val="257"/>
        </w:trPr>
        <w:tc>
          <w:tcPr>
            <w:tcW w:w="16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33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Technology and Innovation Committee</w:t>
            </w:r>
          </w:p>
        </w:tc>
        <w:tc>
          <w:tcPr>
            <w:tcW w:w="5260" w:type="dxa"/>
            <w:vAlign w:val="bottom"/>
            <w:tcBorders>
              <w:bottom w:val="single" w:sz="8" w:color="E7417A"/>
            </w:tcBorders>
          </w:tcPr>
          <w:p>
            <w:pPr>
              <w:ind w:left="10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$5,000</w:t>
            </w:r>
          </w:p>
        </w:tc>
        <w:tc>
          <w:tcPr>
            <w:tcW w:w="14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r>
      <w:tr>
        <w:trPr>
          <w:trHeight w:val="277"/>
        </w:trPr>
        <w:tc>
          <w:tcPr>
            <w:tcW w:w="3460" w:type="dxa"/>
            <w:vAlign w:val="bottom"/>
            <w:tcBorders>
              <w:bottom w:val="single" w:sz="8" w:color="4C4C4C"/>
            </w:tcBorders>
            <w:gridSpan w:val="2"/>
            <w:shd w:val="clear" w:color="auto" w:fill="F2F2F2"/>
          </w:tcPr>
          <w:p>
            <w:pPr>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Chair Fees</w:t>
            </w:r>
            <w:r>
              <w:rPr>
                <w:rFonts w:ascii="Arial" w:cs="Arial" w:eastAsia="Arial" w:hAnsi="Arial"/>
                <w:sz w:val="19"/>
                <w:szCs w:val="19"/>
                <w:color w:val="auto"/>
                <w:vertAlign w:val="superscript"/>
              </w:rPr>
              <w:t>(3)</w:t>
            </w:r>
          </w:p>
        </w:tc>
        <w:tc>
          <w:tcPr>
            <w:tcW w:w="5260" w:type="dxa"/>
            <w:vAlign w:val="bottom"/>
            <w:tcBorders>
              <w:bottom w:val="single" w:sz="8" w:color="4C4C4C"/>
            </w:tcBorders>
            <w:shd w:val="clear" w:color="auto" w:fill="F2F2F2"/>
          </w:tcPr>
          <w:p>
            <w:pPr>
              <w:ind w:left="1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C4C4C"/>
            </w:tcBorders>
            <w:shd w:val="clear" w:color="auto" w:fill="F2F2F2"/>
          </w:tcPr>
          <w:p>
            <w:pPr>
              <w:ind w:left="40"/>
              <w:spacing w:after="0"/>
              <w:rPr>
                <w:sz w:val="20"/>
                <w:szCs w:val="20"/>
                <w:color w:val="auto"/>
              </w:rPr>
            </w:pPr>
            <w:r>
              <w:rPr>
                <w:rFonts w:ascii="Arial" w:cs="Arial" w:eastAsia="Arial" w:hAnsi="Arial"/>
                <w:sz w:val="16"/>
                <w:szCs w:val="16"/>
                <w:color w:val="auto"/>
              </w:rPr>
              <w:t>​</w:t>
            </w:r>
          </w:p>
        </w:tc>
      </w:tr>
      <w:tr>
        <w:trPr>
          <w:trHeight w:val="263"/>
        </w:trPr>
        <w:tc>
          <w:tcPr>
            <w:tcW w:w="16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33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Audit Committee</w:t>
            </w:r>
          </w:p>
        </w:tc>
        <w:tc>
          <w:tcPr>
            <w:tcW w:w="5260" w:type="dxa"/>
            <w:vAlign w:val="bottom"/>
            <w:tcBorders>
              <w:bottom w:val="single" w:sz="8" w:color="E7417A"/>
            </w:tcBorders>
          </w:tcPr>
          <w:p>
            <w:pPr>
              <w:ind w:left="100"/>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$25,000</w:t>
            </w:r>
          </w:p>
        </w:tc>
        <w:tc>
          <w:tcPr>
            <w:tcW w:w="14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r>
      <w:tr>
        <w:trPr>
          <w:trHeight w:val="250"/>
        </w:trPr>
        <w:tc>
          <w:tcPr>
            <w:tcW w:w="16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33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Compensation Committee</w:t>
            </w:r>
          </w:p>
        </w:tc>
        <w:tc>
          <w:tcPr>
            <w:tcW w:w="5260" w:type="dxa"/>
            <w:vAlign w:val="bottom"/>
            <w:tcBorders>
              <w:bottom w:val="single" w:sz="8" w:color="E7417A"/>
            </w:tcBorders>
          </w:tcPr>
          <w:p>
            <w:pPr>
              <w:ind w:left="10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$17,000</w:t>
            </w:r>
          </w:p>
        </w:tc>
        <w:tc>
          <w:tcPr>
            <w:tcW w:w="14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r>
      <w:tr>
        <w:trPr>
          <w:trHeight w:val="195"/>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300" w:type="dxa"/>
            <w:vAlign w:val="bottom"/>
          </w:tcPr>
          <w:p>
            <w:pPr>
              <w:ind w:left="120"/>
              <w:spacing w:after="0"/>
              <w:rPr>
                <w:sz w:val="20"/>
                <w:szCs w:val="20"/>
                <w:color w:val="auto"/>
              </w:rPr>
            </w:pPr>
            <w:r>
              <w:rPr>
                <w:rFonts w:ascii="Arial" w:cs="Arial" w:eastAsia="Arial" w:hAnsi="Arial"/>
                <w:sz w:val="16"/>
                <w:szCs w:val="16"/>
                <w:color w:val="auto"/>
              </w:rPr>
              <w:t>Nominating, Sustainability and Corporate</w:t>
            </w:r>
          </w:p>
        </w:tc>
        <w:tc>
          <w:tcPr>
            <w:tcW w:w="5260" w:type="dxa"/>
            <w:vAlign w:val="bottom"/>
          </w:tcPr>
          <w:p>
            <w:pPr>
              <w:ind w:left="100"/>
              <w:spacing w:after="0"/>
              <w:rPr>
                <w:sz w:val="20"/>
                <w:szCs w:val="20"/>
                <w:color w:val="auto"/>
              </w:rPr>
            </w:pPr>
            <w:r>
              <w:rPr>
                <w:rFonts w:ascii="Arial" w:cs="Arial" w:eastAsia="Arial" w:hAnsi="Arial"/>
                <w:sz w:val="16"/>
                <w:szCs w:val="16"/>
                <w:color w:val="auto"/>
              </w:rPr>
              <w:t>​​$10,000</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24"/>
        </w:trPr>
        <w:tc>
          <w:tcPr>
            <w:tcW w:w="160" w:type="dxa"/>
            <w:vAlign w:val="bottom"/>
            <w:tcBorders>
              <w:bottom w:val="single" w:sz="8" w:color="E7417A"/>
            </w:tcBorders>
          </w:tcPr>
          <w:p>
            <w:pPr>
              <w:spacing w:after="0"/>
              <w:rPr>
                <w:sz w:val="19"/>
                <w:szCs w:val="19"/>
                <w:color w:val="auto"/>
              </w:rPr>
            </w:pPr>
          </w:p>
        </w:tc>
        <w:tc>
          <w:tcPr>
            <w:tcW w:w="33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Governance Committee</w:t>
            </w:r>
          </w:p>
        </w:tc>
        <w:tc>
          <w:tcPr>
            <w:tcW w:w="5260" w:type="dxa"/>
            <w:vAlign w:val="bottom"/>
            <w:tcBorders>
              <w:bottom w:val="single" w:sz="8" w:color="E7417A"/>
            </w:tcBorders>
          </w:tcPr>
          <w:p>
            <w:pPr>
              <w:spacing w:after="0"/>
              <w:rPr>
                <w:sz w:val="19"/>
                <w:szCs w:val="19"/>
                <w:color w:val="auto"/>
              </w:rPr>
            </w:pPr>
          </w:p>
        </w:tc>
        <w:tc>
          <w:tcPr>
            <w:tcW w:w="140" w:type="dxa"/>
            <w:vAlign w:val="bottom"/>
            <w:tcBorders>
              <w:bottom w:val="single" w:sz="8" w:color="E7417A"/>
            </w:tcBorders>
          </w:tcPr>
          <w:p>
            <w:pPr>
              <w:spacing w:after="0"/>
              <w:rPr>
                <w:sz w:val="19"/>
                <w:szCs w:val="19"/>
                <w:color w:val="auto"/>
              </w:rPr>
            </w:pPr>
          </w:p>
        </w:tc>
      </w:tr>
      <w:tr>
        <w:trPr>
          <w:trHeight w:val="256"/>
        </w:trPr>
        <w:tc>
          <w:tcPr>
            <w:tcW w:w="16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33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Technology and Innovation Committee</w:t>
            </w:r>
          </w:p>
        </w:tc>
        <w:tc>
          <w:tcPr>
            <w:tcW w:w="5260" w:type="dxa"/>
            <w:vAlign w:val="bottom"/>
            <w:tcBorders>
              <w:bottom w:val="single" w:sz="8" w:color="E7417A"/>
            </w:tcBorders>
          </w:tcPr>
          <w:p>
            <w:pPr>
              <w:ind w:left="10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$10,000</w:t>
            </w:r>
          </w:p>
        </w:tc>
        <w:tc>
          <w:tcPr>
            <w:tcW w:w="14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r>
      <w:tr>
        <w:trPr>
          <w:trHeight w:val="195"/>
        </w:trPr>
        <w:tc>
          <w:tcPr>
            <w:tcW w:w="3460" w:type="dxa"/>
            <w:vAlign w:val="bottom"/>
            <w:gridSpan w:val="2"/>
          </w:tcPr>
          <w:p>
            <w:pPr>
              <w:spacing w:after="0"/>
              <w:rPr>
                <w:sz w:val="20"/>
                <w:szCs w:val="20"/>
                <w:color w:val="auto"/>
              </w:rPr>
            </w:pPr>
            <w:r>
              <w:rPr>
                <w:rFonts w:ascii="Arial" w:cs="Arial" w:eastAsia="Arial" w:hAnsi="Arial"/>
                <w:sz w:val="16"/>
                <w:szCs w:val="16"/>
                <w:color w:val="auto"/>
              </w:rPr>
              <w:t>​ New Director Retainer</w:t>
            </w:r>
          </w:p>
        </w:tc>
        <w:tc>
          <w:tcPr>
            <w:tcW w:w="5260" w:type="dxa"/>
            <w:vAlign w:val="bottom"/>
          </w:tcPr>
          <w:p>
            <w:pPr>
              <w:ind w:left="100"/>
              <w:spacing w:after="0"/>
              <w:rPr>
                <w:sz w:val="20"/>
                <w:szCs w:val="20"/>
                <w:color w:val="auto"/>
              </w:rPr>
            </w:pPr>
            <w:r>
              <w:rPr>
                <w:rFonts w:ascii="Arial" w:cs="Arial" w:eastAsia="Arial" w:hAnsi="Arial"/>
                <w:sz w:val="16"/>
                <w:szCs w:val="16"/>
                <w:color w:val="auto"/>
              </w:rPr>
              <w:t>​​New non-employee directors will receive a pro rata annual equity</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189"/>
        </w:trPr>
        <w:tc>
          <w:tcPr>
            <w:tcW w:w="1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5260" w:type="dxa"/>
            <w:vAlign w:val="bottom"/>
          </w:tcPr>
          <w:p>
            <w:pPr>
              <w:ind w:left="220"/>
              <w:spacing w:after="0"/>
              <w:rPr>
                <w:sz w:val="20"/>
                <w:szCs w:val="20"/>
                <w:color w:val="auto"/>
              </w:rPr>
            </w:pPr>
            <w:r>
              <w:rPr>
                <w:rFonts w:ascii="Arial" w:cs="Arial" w:eastAsia="Arial" w:hAnsi="Arial"/>
                <w:sz w:val="16"/>
                <w:szCs w:val="16"/>
                <w:color w:val="auto"/>
              </w:rPr>
              <w:t>award of restricted stock units, with the proration based on the</w:t>
            </w:r>
          </w:p>
        </w:tc>
        <w:tc>
          <w:tcPr>
            <w:tcW w:w="140" w:type="dxa"/>
            <w:vAlign w:val="bottom"/>
          </w:tcPr>
          <w:p>
            <w:pPr>
              <w:spacing w:after="0"/>
              <w:rPr>
                <w:sz w:val="16"/>
                <w:szCs w:val="16"/>
                <w:color w:val="auto"/>
              </w:rPr>
            </w:pPr>
          </w:p>
        </w:tc>
      </w:tr>
      <w:tr>
        <w:trPr>
          <w:trHeight w:val="189"/>
        </w:trPr>
        <w:tc>
          <w:tcPr>
            <w:tcW w:w="1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5260" w:type="dxa"/>
            <w:vAlign w:val="bottom"/>
          </w:tcPr>
          <w:p>
            <w:pPr>
              <w:ind w:left="220"/>
              <w:spacing w:after="0"/>
              <w:rPr>
                <w:sz w:val="20"/>
                <w:szCs w:val="20"/>
                <w:color w:val="auto"/>
              </w:rPr>
            </w:pPr>
            <w:r>
              <w:rPr>
                <w:rFonts w:ascii="Arial" w:cs="Arial" w:eastAsia="Arial" w:hAnsi="Arial"/>
                <w:sz w:val="16"/>
                <w:szCs w:val="16"/>
                <w:color w:val="auto"/>
              </w:rPr>
              <w:t>number of months of service until the month of the Company’s next</w:t>
            </w:r>
          </w:p>
        </w:tc>
        <w:tc>
          <w:tcPr>
            <w:tcW w:w="140" w:type="dxa"/>
            <w:vAlign w:val="bottom"/>
          </w:tcPr>
          <w:p>
            <w:pPr>
              <w:spacing w:after="0"/>
              <w:rPr>
                <w:sz w:val="16"/>
                <w:szCs w:val="16"/>
                <w:color w:val="auto"/>
              </w:rPr>
            </w:pPr>
          </w:p>
        </w:tc>
      </w:tr>
      <w:tr>
        <w:trPr>
          <w:trHeight w:val="224"/>
        </w:trPr>
        <w:tc>
          <w:tcPr>
            <w:tcW w:w="160" w:type="dxa"/>
            <w:vAlign w:val="bottom"/>
            <w:tcBorders>
              <w:bottom w:val="single" w:sz="8" w:color="E7417A"/>
            </w:tcBorders>
          </w:tcPr>
          <w:p>
            <w:pPr>
              <w:spacing w:after="0"/>
              <w:rPr>
                <w:sz w:val="19"/>
                <w:szCs w:val="19"/>
                <w:color w:val="auto"/>
              </w:rPr>
            </w:pPr>
          </w:p>
        </w:tc>
        <w:tc>
          <w:tcPr>
            <w:tcW w:w="3300" w:type="dxa"/>
            <w:vAlign w:val="bottom"/>
            <w:tcBorders>
              <w:bottom w:val="single" w:sz="8" w:color="E7417A"/>
            </w:tcBorders>
          </w:tcPr>
          <w:p>
            <w:pPr>
              <w:spacing w:after="0"/>
              <w:rPr>
                <w:sz w:val="19"/>
                <w:szCs w:val="19"/>
                <w:color w:val="auto"/>
              </w:rPr>
            </w:pPr>
          </w:p>
        </w:tc>
        <w:tc>
          <w:tcPr>
            <w:tcW w:w="5260" w:type="dxa"/>
            <w:vAlign w:val="bottom"/>
            <w:tcBorders>
              <w:bottom w:val="single" w:sz="8" w:color="E7417A"/>
            </w:tcBorders>
          </w:tcPr>
          <w:p>
            <w:pPr>
              <w:ind w:left="220"/>
              <w:spacing w:after="0"/>
              <w:rPr>
                <w:sz w:val="20"/>
                <w:szCs w:val="20"/>
                <w:color w:val="auto"/>
              </w:rPr>
            </w:pPr>
            <w:r>
              <w:rPr>
                <w:rFonts w:ascii="Arial" w:cs="Arial" w:eastAsia="Arial" w:hAnsi="Arial"/>
                <w:sz w:val="16"/>
                <w:szCs w:val="16"/>
                <w:color w:val="auto"/>
              </w:rPr>
              <w:t>annual stockholders meeting</w:t>
            </w:r>
          </w:p>
        </w:tc>
        <w:tc>
          <w:tcPr>
            <w:tcW w:w="140" w:type="dxa"/>
            <w:vAlign w:val="bottom"/>
            <w:tcBorders>
              <w:bottom w:val="single" w:sz="8" w:color="E7417A"/>
            </w:tcBorders>
          </w:tcPr>
          <w:p>
            <w:pPr>
              <w:spacing w:after="0"/>
              <w:rPr>
                <w:sz w:val="19"/>
                <w:szCs w:val="19"/>
                <w:color w:val="auto"/>
              </w:rPr>
            </w:pPr>
          </w:p>
        </w:tc>
      </w:tr>
      <w:tr>
        <w:trPr>
          <w:trHeight w:val="202"/>
        </w:trPr>
        <w:tc>
          <w:tcPr>
            <w:tcW w:w="3460" w:type="dxa"/>
            <w:vAlign w:val="bottom"/>
            <w:gridSpan w:val="2"/>
          </w:tcPr>
          <w:p>
            <w:pPr>
              <w:spacing w:after="0"/>
              <w:rPr>
                <w:sz w:val="20"/>
                <w:szCs w:val="20"/>
                <w:color w:val="auto"/>
              </w:rPr>
            </w:pPr>
            <w:r>
              <w:rPr>
                <w:rFonts w:ascii="Arial" w:cs="Arial" w:eastAsia="Arial" w:hAnsi="Arial"/>
                <w:sz w:val="16"/>
                <w:szCs w:val="16"/>
                <w:color w:val="auto"/>
              </w:rPr>
              <w:t>​ Stock Ownership Guidelines</w:t>
            </w:r>
          </w:p>
        </w:tc>
        <w:tc>
          <w:tcPr>
            <w:tcW w:w="5260" w:type="dxa"/>
            <w:vAlign w:val="bottom"/>
          </w:tcPr>
          <w:p>
            <w:pPr>
              <w:ind w:left="100"/>
              <w:spacing w:after="0"/>
              <w:rPr>
                <w:sz w:val="20"/>
                <w:szCs w:val="20"/>
                <w:color w:val="auto"/>
              </w:rPr>
            </w:pPr>
            <w:r>
              <w:rPr>
                <w:rFonts w:ascii="Arial" w:cs="Arial" w:eastAsia="Arial" w:hAnsi="Arial"/>
                <w:sz w:val="16"/>
                <w:szCs w:val="16"/>
                <w:color w:val="auto"/>
              </w:rPr>
              <w:t>​​Directors are expected to hold shares of the Company’s common</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189"/>
        </w:trPr>
        <w:tc>
          <w:tcPr>
            <w:tcW w:w="1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5260" w:type="dxa"/>
            <w:vAlign w:val="bottom"/>
          </w:tcPr>
          <w:p>
            <w:pPr>
              <w:ind w:left="220"/>
              <w:spacing w:after="0"/>
              <w:rPr>
                <w:sz w:val="20"/>
                <w:szCs w:val="20"/>
                <w:color w:val="auto"/>
              </w:rPr>
            </w:pPr>
            <w:r>
              <w:rPr>
                <w:rFonts w:ascii="Arial" w:cs="Arial" w:eastAsia="Arial" w:hAnsi="Arial"/>
                <w:sz w:val="16"/>
                <w:szCs w:val="16"/>
                <w:color w:val="auto"/>
              </w:rPr>
              <w:t>stock in an amount equal to five times the annual cash retainer</w:t>
            </w:r>
          </w:p>
        </w:tc>
        <w:tc>
          <w:tcPr>
            <w:tcW w:w="140" w:type="dxa"/>
            <w:vAlign w:val="bottom"/>
          </w:tcPr>
          <w:p>
            <w:pPr>
              <w:spacing w:after="0"/>
              <w:rPr>
                <w:sz w:val="16"/>
                <w:szCs w:val="16"/>
                <w:color w:val="auto"/>
              </w:rPr>
            </w:pPr>
          </w:p>
        </w:tc>
      </w:tr>
      <w:tr>
        <w:trPr>
          <w:trHeight w:val="224"/>
        </w:trPr>
        <w:tc>
          <w:tcPr>
            <w:tcW w:w="160" w:type="dxa"/>
            <w:vAlign w:val="bottom"/>
            <w:tcBorders>
              <w:bottom w:val="single" w:sz="8" w:color="62259D"/>
            </w:tcBorders>
          </w:tcPr>
          <w:p>
            <w:pPr>
              <w:spacing w:after="0"/>
              <w:rPr>
                <w:sz w:val="19"/>
                <w:szCs w:val="19"/>
                <w:color w:val="auto"/>
              </w:rPr>
            </w:pPr>
          </w:p>
        </w:tc>
        <w:tc>
          <w:tcPr>
            <w:tcW w:w="3300" w:type="dxa"/>
            <w:vAlign w:val="bottom"/>
            <w:tcBorders>
              <w:bottom w:val="single" w:sz="8" w:color="62259D"/>
            </w:tcBorders>
          </w:tcPr>
          <w:p>
            <w:pPr>
              <w:spacing w:after="0"/>
              <w:rPr>
                <w:sz w:val="19"/>
                <w:szCs w:val="19"/>
                <w:color w:val="auto"/>
              </w:rPr>
            </w:pPr>
          </w:p>
        </w:tc>
        <w:tc>
          <w:tcPr>
            <w:tcW w:w="5260" w:type="dxa"/>
            <w:vAlign w:val="bottom"/>
            <w:tcBorders>
              <w:bottom w:val="single" w:sz="8" w:color="62259D"/>
            </w:tcBorders>
          </w:tcPr>
          <w:p>
            <w:pPr>
              <w:ind w:left="220"/>
              <w:spacing w:after="0"/>
              <w:rPr>
                <w:sz w:val="20"/>
                <w:szCs w:val="20"/>
                <w:color w:val="auto"/>
              </w:rPr>
            </w:pPr>
            <w:r>
              <w:rPr>
                <w:rFonts w:ascii="Arial" w:cs="Arial" w:eastAsia="Arial" w:hAnsi="Arial"/>
                <w:sz w:val="16"/>
                <w:szCs w:val="16"/>
                <w:color w:val="auto"/>
              </w:rPr>
              <w:t>amount.</w:t>
            </w:r>
          </w:p>
        </w:tc>
        <w:tc>
          <w:tcPr>
            <w:tcW w:w="140" w:type="dxa"/>
            <w:vAlign w:val="bottom"/>
            <w:tcBorders>
              <w:bottom w:val="single" w:sz="8" w:color="62259D"/>
            </w:tcBorders>
          </w:tcPr>
          <w:p>
            <w:pPr>
              <w:spacing w:after="0"/>
              <w:rPr>
                <w:sz w:val="19"/>
                <w:szCs w:val="19"/>
                <w:color w:val="auto"/>
              </w:rPr>
            </w:pPr>
          </w:p>
        </w:tc>
      </w:tr>
    </w:tbl>
    <w:p>
      <w:pPr>
        <w:spacing w:after="0" w:line="188" w:lineRule="exact"/>
        <w:rPr>
          <w:sz w:val="20"/>
          <w:szCs w:val="20"/>
          <w:color w:val="auto"/>
        </w:rPr>
      </w:pPr>
    </w:p>
    <w:p>
      <w:pPr>
        <w:jc w:val="both"/>
        <w:ind w:left="1400" w:right="319" w:hanging="368"/>
        <w:spacing w:after="0" w:line="262" w:lineRule="auto"/>
        <w:tabs>
          <w:tab w:leader="none" w:pos="14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Mr. Smith is not entitled to any annual director equity grants. In lieu of such grants, Mr. Smith is entitled to an annual cash retainer of $160,000. As described below, Mr. Smith waived receipt of this cash retainer effective April 1, 2020. Any compensation paid to Mr. Smith will be paid directly to Heritage PE (OEP) III L.P. (“</w:t>
      </w:r>
      <w:r>
        <w:rPr>
          <w:rFonts w:ascii="Arial" w:cs="Arial" w:eastAsia="Arial" w:hAnsi="Arial"/>
          <w:sz w:val="16"/>
          <w:szCs w:val="16"/>
          <w:i w:val="1"/>
          <w:iCs w:val="1"/>
          <w:color w:val="auto"/>
        </w:rPr>
        <w:t>Heritage</w:t>
      </w:r>
      <w:r>
        <w:rPr>
          <w:rFonts w:ascii="Arial" w:cs="Arial" w:eastAsia="Arial" w:hAnsi="Arial"/>
          <w:sz w:val="16"/>
          <w:szCs w:val="16"/>
          <w:color w:val="auto"/>
        </w:rPr>
        <w:t xml:space="preserve"> </w:t>
      </w:r>
      <w:r>
        <w:rPr>
          <w:rFonts w:ascii="Arial" w:cs="Arial" w:eastAsia="Arial" w:hAnsi="Arial"/>
          <w:sz w:val="16"/>
          <w:szCs w:val="16"/>
          <w:i w:val="1"/>
          <w:iCs w:val="1"/>
          <w:color w:val="auto"/>
        </w:rPr>
        <w:t>III</w:t>
      </w:r>
      <w:r>
        <w:rPr>
          <w:rFonts w:ascii="Arial" w:cs="Arial" w:eastAsia="Arial" w:hAnsi="Arial"/>
          <w:sz w:val="16"/>
          <w:szCs w:val="16"/>
          <w:color w:val="auto"/>
        </w:rPr>
        <w:t>”).</w:t>
      </w:r>
    </w:p>
    <w:p>
      <w:pPr>
        <w:spacing w:after="0" w:line="220" w:lineRule="exact"/>
        <w:rPr>
          <w:rFonts w:ascii="Arial" w:cs="Arial" w:eastAsia="Arial" w:hAnsi="Arial"/>
          <w:sz w:val="16"/>
          <w:szCs w:val="16"/>
          <w:color w:val="auto"/>
        </w:rPr>
      </w:pPr>
    </w:p>
    <w:p>
      <w:pPr>
        <w:ind w:left="1400" w:hanging="368"/>
        <w:spacing w:after="0"/>
        <w:tabs>
          <w:tab w:leader="none" w:pos="14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Mr. Shani waived receipt of any cash compensation for his service as Chairman of the Board in 2024.</w:t>
      </w:r>
    </w:p>
    <w:p>
      <w:pPr>
        <w:spacing w:after="0" w:line="72" w:lineRule="exact"/>
        <w:rPr>
          <w:rFonts w:ascii="Arial" w:cs="Arial" w:eastAsia="Arial" w:hAnsi="Arial"/>
          <w:sz w:val="16"/>
          <w:szCs w:val="16"/>
          <w:color w:val="auto"/>
        </w:rPr>
      </w:pPr>
    </w:p>
    <w:p>
      <w:pPr>
        <w:ind w:left="1400" w:right="459" w:hanging="368"/>
        <w:spacing w:after="0" w:line="286" w:lineRule="auto"/>
        <w:tabs>
          <w:tab w:leader="none" w:pos="14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Compensation for service as the chairman of the Board, lead independent director or a committee chair is in addition to the compensation paid for Board and committee service.</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Total Director Compensation for 2024</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contains information on compensation earned by each non-employee member of our</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Board during 2024:</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218"/>
        </w:trPr>
        <w:tc>
          <w:tcPr>
            <w:tcW w:w="2220" w:type="dxa"/>
            <w:vAlign w:val="bottom"/>
            <w:shd w:val="clear" w:color="auto" w:fill="62259D"/>
          </w:tcPr>
          <w:p>
            <w:pPr>
              <w:spacing w:after="0"/>
              <w:rPr>
                <w:sz w:val="19"/>
                <w:szCs w:val="19"/>
                <w:color w:val="auto"/>
              </w:rPr>
            </w:pPr>
          </w:p>
        </w:tc>
        <w:tc>
          <w:tcPr>
            <w:tcW w:w="760" w:type="dxa"/>
            <w:vAlign w:val="bottom"/>
            <w:shd w:val="clear" w:color="auto" w:fill="62259D"/>
          </w:tcPr>
          <w:p>
            <w:pPr>
              <w:spacing w:after="0"/>
              <w:rPr>
                <w:sz w:val="19"/>
                <w:szCs w:val="19"/>
                <w:color w:val="auto"/>
              </w:rPr>
            </w:pPr>
          </w:p>
        </w:tc>
        <w:tc>
          <w:tcPr>
            <w:tcW w:w="200" w:type="dxa"/>
            <w:vAlign w:val="bottom"/>
            <w:shd w:val="clear" w:color="auto" w:fill="62259D"/>
          </w:tcPr>
          <w:p>
            <w:pPr>
              <w:spacing w:after="0"/>
              <w:rPr>
                <w:sz w:val="19"/>
                <w:szCs w:val="19"/>
                <w:color w:val="auto"/>
              </w:rPr>
            </w:pPr>
          </w:p>
        </w:tc>
        <w:tc>
          <w:tcPr>
            <w:tcW w:w="2560" w:type="dxa"/>
            <w:vAlign w:val="bottom"/>
            <w:gridSpan w:val="3"/>
            <w:shd w:val="clear" w:color="auto" w:fill="62259D"/>
          </w:tcPr>
          <w:p>
            <w:pPr>
              <w:ind w:left="20"/>
              <w:spacing w:after="0"/>
              <w:rPr>
                <w:sz w:val="20"/>
                <w:szCs w:val="20"/>
                <w:color w:val="auto"/>
              </w:rPr>
            </w:pPr>
            <w:r>
              <w:rPr>
                <w:rFonts w:ascii="Arial" w:cs="Arial" w:eastAsia="Arial" w:hAnsi="Arial"/>
                <w:sz w:val="16"/>
                <w:szCs w:val="16"/>
                <w:b w:val="1"/>
                <w:bCs w:val="1"/>
                <w:color w:val="FEFEFE"/>
              </w:rPr>
              <w:t>Fees Earned or Paid in Cash</w:t>
            </w:r>
          </w:p>
        </w:tc>
        <w:tc>
          <w:tcPr>
            <w:tcW w:w="320" w:type="dxa"/>
            <w:vAlign w:val="bottom"/>
            <w:shd w:val="clear" w:color="auto" w:fill="62259D"/>
          </w:tcPr>
          <w:p>
            <w:pPr>
              <w:spacing w:after="0"/>
              <w:rPr>
                <w:sz w:val="19"/>
                <w:szCs w:val="19"/>
                <w:color w:val="auto"/>
              </w:rPr>
            </w:pPr>
          </w:p>
        </w:tc>
        <w:tc>
          <w:tcPr>
            <w:tcW w:w="1340" w:type="dxa"/>
            <w:vAlign w:val="bottom"/>
            <w:gridSpan w:val="2"/>
            <w:shd w:val="clear" w:color="auto" w:fill="62259D"/>
          </w:tcPr>
          <w:p>
            <w:pPr>
              <w:jc w:val="right"/>
              <w:spacing w:after="0"/>
              <w:rPr>
                <w:sz w:val="20"/>
                <w:szCs w:val="20"/>
                <w:color w:val="auto"/>
              </w:rPr>
            </w:pPr>
            <w:r>
              <w:rPr>
                <w:rFonts w:ascii="Arial" w:cs="Arial" w:eastAsia="Arial" w:hAnsi="Arial"/>
                <w:sz w:val="16"/>
                <w:szCs w:val="16"/>
                <w:b w:val="1"/>
                <w:bCs w:val="1"/>
                <w:color w:val="FEFEFE"/>
              </w:rPr>
              <w:t>Stock Awards</w:t>
            </w:r>
            <w:r>
              <w:rPr>
                <w:rFonts w:ascii="Arial" w:cs="Arial" w:eastAsia="Arial" w:hAnsi="Arial"/>
                <w:sz w:val="19"/>
                <w:szCs w:val="19"/>
                <w:b w:val="1"/>
                <w:bCs w:val="1"/>
                <w:color w:val="FEFEFE"/>
                <w:vertAlign w:val="superscript"/>
              </w:rPr>
              <w:t>(1)</w:t>
            </w:r>
          </w:p>
        </w:tc>
        <w:tc>
          <w:tcPr>
            <w:tcW w:w="220" w:type="dxa"/>
            <w:vAlign w:val="bottom"/>
            <w:shd w:val="clear" w:color="auto" w:fill="62259D"/>
          </w:tcPr>
          <w:p>
            <w:pPr>
              <w:spacing w:after="0"/>
              <w:rPr>
                <w:sz w:val="19"/>
                <w:szCs w:val="19"/>
                <w:color w:val="auto"/>
              </w:rPr>
            </w:pPr>
          </w:p>
        </w:tc>
        <w:tc>
          <w:tcPr>
            <w:tcW w:w="200" w:type="dxa"/>
            <w:vAlign w:val="bottom"/>
            <w:shd w:val="clear" w:color="auto" w:fill="62259D"/>
          </w:tcPr>
          <w:p>
            <w:pPr>
              <w:spacing w:after="0"/>
              <w:rPr>
                <w:sz w:val="19"/>
                <w:szCs w:val="19"/>
                <w:color w:val="auto"/>
              </w:rPr>
            </w:pPr>
          </w:p>
        </w:tc>
        <w:tc>
          <w:tcPr>
            <w:tcW w:w="1040" w:type="dxa"/>
            <w:vAlign w:val="bottom"/>
            <w:gridSpan w:val="2"/>
            <w:shd w:val="clear" w:color="auto" w:fill="62259D"/>
          </w:tcPr>
          <w:p>
            <w:pPr>
              <w:ind w:left="40"/>
              <w:spacing w:after="0"/>
              <w:rPr>
                <w:sz w:val="20"/>
                <w:szCs w:val="20"/>
                <w:color w:val="auto"/>
              </w:rPr>
            </w:pPr>
            <w:r>
              <w:rPr>
                <w:rFonts w:ascii="Arial" w:cs="Arial" w:eastAsia="Arial" w:hAnsi="Arial"/>
                <w:sz w:val="16"/>
                <w:szCs w:val="16"/>
                <w:b w:val="1"/>
                <w:bCs w:val="1"/>
                <w:color w:val="FEFEFE"/>
              </w:rPr>
              <w:t>Total</w:t>
            </w:r>
            <w:r>
              <w:rPr>
                <w:rFonts w:ascii="Arial" w:cs="Arial" w:eastAsia="Arial" w:hAnsi="Arial"/>
                <w:sz w:val="19"/>
                <w:szCs w:val="19"/>
                <w:b w:val="1"/>
                <w:bCs w:val="1"/>
                <w:color w:val="FEFEFE"/>
                <w:vertAlign w:val="superscript"/>
              </w:rPr>
              <w:t>(2)</w:t>
            </w:r>
          </w:p>
        </w:tc>
      </w:tr>
      <w:tr>
        <w:trPr>
          <w:trHeight w:val="203"/>
        </w:trPr>
        <w:tc>
          <w:tcPr>
            <w:tcW w:w="2220" w:type="dxa"/>
            <w:vAlign w:val="bottom"/>
            <w:shd w:val="clear" w:color="auto" w:fill="62259D"/>
          </w:tcPr>
          <w:p>
            <w:pPr>
              <w:ind w:left="60"/>
              <w:spacing w:after="0"/>
              <w:rPr>
                <w:sz w:val="20"/>
                <w:szCs w:val="20"/>
                <w:color w:val="auto"/>
              </w:rPr>
            </w:pPr>
            <w:r>
              <w:rPr>
                <w:rFonts w:ascii="Arial" w:cs="Arial" w:eastAsia="Arial" w:hAnsi="Arial"/>
                <w:sz w:val="16"/>
                <w:szCs w:val="16"/>
                <w:b w:val="1"/>
                <w:bCs w:val="1"/>
                <w:color w:val="FEFEFE"/>
              </w:rPr>
              <w:t>​Director</w:t>
            </w:r>
          </w:p>
        </w:tc>
        <w:tc>
          <w:tcPr>
            <w:tcW w:w="760" w:type="dxa"/>
            <w:vAlign w:val="bottom"/>
            <w:shd w:val="clear" w:color="auto" w:fill="62259D"/>
          </w:tcPr>
          <w:p>
            <w:pPr>
              <w:ind w:left="680"/>
              <w:spacing w:after="0"/>
              <w:rPr>
                <w:sz w:val="20"/>
                <w:szCs w:val="20"/>
                <w:color w:val="auto"/>
              </w:rPr>
            </w:pPr>
            <w:r>
              <w:rPr>
                <w:rFonts w:ascii="Arial" w:cs="Arial" w:eastAsia="Arial" w:hAnsi="Arial"/>
                <w:sz w:val="16"/>
                <w:szCs w:val="16"/>
                <w:b w:val="1"/>
                <w:bCs w:val="1"/>
                <w:color w:val="FEFEFE"/>
              </w:rPr>
              <w:t>​</w:t>
            </w:r>
          </w:p>
        </w:tc>
        <w:tc>
          <w:tcPr>
            <w:tcW w:w="200" w:type="dxa"/>
            <w:vAlign w:val="bottom"/>
            <w:shd w:val="clear" w:color="auto" w:fill="62259D"/>
          </w:tcPr>
          <w:p>
            <w:pPr>
              <w:ind w:left="120"/>
              <w:spacing w:after="0"/>
              <w:rPr>
                <w:sz w:val="20"/>
                <w:szCs w:val="20"/>
                <w:color w:val="auto"/>
              </w:rPr>
            </w:pPr>
            <w:r>
              <w:rPr>
                <w:rFonts w:ascii="Arial" w:cs="Arial" w:eastAsia="Arial" w:hAnsi="Arial"/>
                <w:sz w:val="16"/>
                <w:szCs w:val="16"/>
                <w:b w:val="1"/>
                <w:bCs w:val="1"/>
                <w:color w:val="FEFEFE"/>
              </w:rPr>
              <w:t>​</w:t>
            </w:r>
          </w:p>
        </w:tc>
        <w:tc>
          <w:tcPr>
            <w:tcW w:w="1020" w:type="dxa"/>
            <w:vAlign w:val="bottom"/>
            <w:shd w:val="clear" w:color="auto" w:fill="62259D"/>
          </w:tcPr>
          <w:p>
            <w:pPr>
              <w:spacing w:after="0"/>
              <w:rPr>
                <w:sz w:val="17"/>
                <w:szCs w:val="17"/>
                <w:color w:val="auto"/>
              </w:rPr>
            </w:pPr>
          </w:p>
        </w:tc>
        <w:tc>
          <w:tcPr>
            <w:tcW w:w="1020" w:type="dxa"/>
            <w:vAlign w:val="bottom"/>
            <w:shd w:val="clear" w:color="auto" w:fill="62259D"/>
          </w:tcPr>
          <w:p>
            <w:pPr>
              <w:jc w:val="right"/>
              <w:ind w:right="599"/>
              <w:spacing w:after="0"/>
              <w:rPr>
                <w:sz w:val="20"/>
                <w:szCs w:val="20"/>
                <w:color w:val="auto"/>
              </w:rPr>
            </w:pPr>
            <w:r>
              <w:rPr>
                <w:rFonts w:ascii="Arial" w:cs="Arial" w:eastAsia="Arial" w:hAnsi="Arial"/>
                <w:sz w:val="16"/>
                <w:szCs w:val="16"/>
                <w:b w:val="1"/>
                <w:bCs w:val="1"/>
                <w:color w:val="FEFEFE"/>
              </w:rPr>
              <w:t>($)</w:t>
            </w:r>
          </w:p>
        </w:tc>
        <w:tc>
          <w:tcPr>
            <w:tcW w:w="520" w:type="dxa"/>
            <w:vAlign w:val="bottom"/>
            <w:shd w:val="clear" w:color="auto" w:fill="62259D"/>
          </w:tcPr>
          <w:p>
            <w:pPr>
              <w:spacing w:after="0"/>
              <w:rPr>
                <w:sz w:val="17"/>
                <w:szCs w:val="17"/>
                <w:color w:val="auto"/>
              </w:rPr>
            </w:pPr>
          </w:p>
        </w:tc>
        <w:tc>
          <w:tcPr>
            <w:tcW w:w="32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  ​</w:t>
            </w:r>
          </w:p>
        </w:tc>
        <w:tc>
          <w:tcPr>
            <w:tcW w:w="500" w:type="dxa"/>
            <w:vAlign w:val="bottom"/>
            <w:shd w:val="clear" w:color="auto" w:fill="62259D"/>
          </w:tcPr>
          <w:p>
            <w:pPr>
              <w:spacing w:after="0"/>
              <w:rPr>
                <w:sz w:val="17"/>
                <w:szCs w:val="17"/>
                <w:color w:val="auto"/>
              </w:rPr>
            </w:pPr>
          </w:p>
        </w:tc>
        <w:tc>
          <w:tcPr>
            <w:tcW w:w="840" w:type="dxa"/>
            <w:vAlign w:val="bottom"/>
            <w:shd w:val="clear" w:color="auto" w:fill="62259D"/>
          </w:tcPr>
          <w:p>
            <w:pPr>
              <w:jc w:val="right"/>
              <w:ind w:right="459"/>
              <w:spacing w:after="0"/>
              <w:rPr>
                <w:sz w:val="20"/>
                <w:szCs w:val="20"/>
                <w:color w:val="auto"/>
              </w:rPr>
            </w:pPr>
            <w:r>
              <w:rPr>
                <w:rFonts w:ascii="Arial" w:cs="Arial" w:eastAsia="Arial" w:hAnsi="Arial"/>
                <w:sz w:val="16"/>
                <w:szCs w:val="16"/>
                <w:b w:val="1"/>
                <w:bCs w:val="1"/>
                <w:color w:val="FEFEFE"/>
              </w:rPr>
              <w:t>($)</w:t>
            </w:r>
          </w:p>
        </w:tc>
        <w:tc>
          <w:tcPr>
            <w:tcW w:w="220" w:type="dxa"/>
            <w:vAlign w:val="bottom"/>
            <w:shd w:val="clear" w:color="auto" w:fill="62259D"/>
          </w:tcPr>
          <w:p>
            <w:pPr>
              <w:ind w:left="140"/>
              <w:spacing w:after="0"/>
              <w:rPr>
                <w:sz w:val="20"/>
                <w:szCs w:val="20"/>
                <w:color w:val="auto"/>
              </w:rPr>
            </w:pPr>
            <w:r>
              <w:rPr>
                <w:rFonts w:ascii="Arial" w:cs="Arial" w:eastAsia="Arial" w:hAnsi="Arial"/>
                <w:sz w:val="16"/>
                <w:szCs w:val="16"/>
                <w:b w:val="1"/>
                <w:bCs w:val="1"/>
                <w:color w:val="FEFEFE"/>
              </w:rPr>
              <w:t>​</w:t>
            </w:r>
          </w:p>
        </w:tc>
        <w:tc>
          <w:tcPr>
            <w:tcW w:w="200" w:type="dxa"/>
            <w:vAlign w:val="bottom"/>
            <w:shd w:val="clear" w:color="auto" w:fill="62259D"/>
          </w:tcPr>
          <w:p>
            <w:pPr>
              <w:ind w:left="120"/>
              <w:spacing w:after="0"/>
              <w:rPr>
                <w:sz w:val="20"/>
                <w:szCs w:val="20"/>
                <w:color w:val="auto"/>
              </w:rPr>
            </w:pPr>
            <w:r>
              <w:rPr>
                <w:rFonts w:ascii="Arial" w:cs="Arial" w:eastAsia="Arial" w:hAnsi="Arial"/>
                <w:sz w:val="16"/>
                <w:szCs w:val="16"/>
                <w:b w:val="1"/>
                <w:bCs w:val="1"/>
                <w:color w:val="FEFEFE"/>
              </w:rPr>
              <w:t>​</w:t>
            </w:r>
          </w:p>
        </w:tc>
        <w:tc>
          <w:tcPr>
            <w:tcW w:w="480" w:type="dxa"/>
            <w:vAlign w:val="bottom"/>
            <w:shd w:val="clear" w:color="auto" w:fill="62259D"/>
          </w:tcPr>
          <w:p>
            <w:pPr>
              <w:jc w:val="right"/>
              <w:spacing w:after="0"/>
              <w:rPr>
                <w:sz w:val="20"/>
                <w:szCs w:val="20"/>
                <w:color w:val="auto"/>
              </w:rPr>
            </w:pPr>
            <w:r>
              <w:rPr>
                <w:rFonts w:ascii="Arial" w:cs="Arial" w:eastAsia="Arial" w:hAnsi="Arial"/>
                <w:sz w:val="16"/>
                <w:szCs w:val="16"/>
                <w:b w:val="1"/>
                <w:bCs w:val="1"/>
                <w:color w:val="FEFEFE"/>
              </w:rPr>
              <w:t>($)</w:t>
            </w:r>
          </w:p>
        </w:tc>
        <w:tc>
          <w:tcPr>
            <w:tcW w:w="560" w:type="dxa"/>
            <w:vAlign w:val="bottom"/>
            <w:shd w:val="clear" w:color="auto" w:fill="62259D"/>
          </w:tcPr>
          <w:p>
            <w:pPr>
              <w:jc w:val="right"/>
              <w:ind w:right="79"/>
              <w:spacing w:after="0"/>
              <w:rPr>
                <w:sz w:val="20"/>
                <w:szCs w:val="20"/>
                <w:color w:val="auto"/>
              </w:rPr>
            </w:pPr>
            <w:r>
              <w:rPr>
                <w:rFonts w:ascii="Arial" w:cs="Arial" w:eastAsia="Arial" w:hAnsi="Arial"/>
                <w:sz w:val="16"/>
                <w:szCs w:val="16"/>
                <w:b w:val="1"/>
                <w:bCs w:val="1"/>
                <w:color w:val="FEFEFE"/>
              </w:rPr>
              <w:t>​</w:t>
            </w:r>
          </w:p>
        </w:tc>
      </w:tr>
      <w:tr>
        <w:trPr>
          <w:trHeight w:val="203"/>
        </w:trPr>
        <w:tc>
          <w:tcPr>
            <w:tcW w:w="222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R. Stewart Ewing, Jr.</w:t>
            </w:r>
          </w:p>
        </w:tc>
        <w:tc>
          <w:tcPr>
            <w:tcW w:w="760" w:type="dxa"/>
            <w:vAlign w:val="bottom"/>
            <w:tcBorders>
              <w:bottom w:val="single" w:sz="8" w:color="E7417A"/>
            </w:tcBorders>
          </w:tcPr>
          <w:p>
            <w:pPr>
              <w:ind w:left="5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E7417A"/>
            </w:tcBorders>
            <w:gridSpan w:val="2"/>
          </w:tcPr>
          <w:p>
            <w:pPr>
              <w:ind w:left="840"/>
              <w:spacing w:after="0"/>
              <w:rPr>
                <w:sz w:val="20"/>
                <w:szCs w:val="20"/>
                <w:color w:val="auto"/>
              </w:rPr>
            </w:pPr>
            <w:r>
              <w:rPr>
                <w:rFonts w:ascii="Arial" w:cs="Arial" w:eastAsia="Arial" w:hAnsi="Arial"/>
                <w:sz w:val="16"/>
                <w:szCs w:val="16"/>
                <w:color w:val="auto"/>
              </w:rPr>
              <w:t>​ ​105,000</w:t>
            </w:r>
          </w:p>
        </w:tc>
        <w:tc>
          <w:tcPr>
            <w:tcW w:w="520" w:type="dxa"/>
            <w:vAlign w:val="bottom"/>
            <w:tcBorders>
              <w:bottom w:val="single" w:sz="8" w:color="E7417A"/>
            </w:tcBorders>
          </w:tcPr>
          <w:p>
            <w:pPr>
              <w:ind w:left="360"/>
              <w:spacing w:after="0"/>
              <w:rPr>
                <w:sz w:val="20"/>
                <w:szCs w:val="20"/>
                <w:color w:val="auto"/>
              </w:rPr>
            </w:pPr>
            <w:r>
              <w:rPr>
                <w:rFonts w:ascii="Arial" w:cs="Arial" w:eastAsia="Arial" w:hAnsi="Arial"/>
                <w:sz w:val="16"/>
                <w:szCs w:val="16"/>
                <w:color w:val="auto"/>
              </w:rPr>
              <w:t>​ ​</w:t>
            </w:r>
          </w:p>
        </w:tc>
        <w:tc>
          <w:tcPr>
            <w:tcW w:w="32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7417A"/>
            </w:tcBorders>
            <w:gridSpan w:val="2"/>
          </w:tcPr>
          <w:p>
            <w:pPr>
              <w:jc w:val="right"/>
              <w:ind w:right="259"/>
              <w:spacing w:after="0"/>
              <w:rPr>
                <w:sz w:val="20"/>
                <w:szCs w:val="20"/>
                <w:color w:val="auto"/>
              </w:rPr>
            </w:pPr>
            <w:r>
              <w:rPr>
                <w:rFonts w:ascii="Arial" w:cs="Arial" w:eastAsia="Arial" w:hAnsi="Arial"/>
                <w:sz w:val="16"/>
                <w:szCs w:val="16"/>
                <w:color w:val="auto"/>
              </w:rPr>
              <w:t>​​145,000</w:t>
            </w:r>
          </w:p>
        </w:tc>
        <w:tc>
          <w:tcPr>
            <w:tcW w:w="22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7417A"/>
            </w:tcBorders>
            <w:gridSpan w:val="2"/>
          </w:tcPr>
          <w:p>
            <w:pPr>
              <w:jc w:val="right"/>
              <w:ind w:right="279"/>
              <w:spacing w:after="0"/>
              <w:rPr>
                <w:sz w:val="20"/>
                <w:szCs w:val="20"/>
                <w:color w:val="auto"/>
              </w:rPr>
            </w:pPr>
            <w:r>
              <w:rPr>
                <w:rFonts w:ascii="Arial" w:cs="Arial" w:eastAsia="Arial" w:hAnsi="Arial"/>
                <w:sz w:val="16"/>
                <w:szCs w:val="16"/>
                <w:color w:val="auto"/>
              </w:rPr>
              <w:t>​250,000​</w:t>
            </w:r>
          </w:p>
        </w:tc>
      </w:tr>
      <w:tr>
        <w:trPr>
          <w:trHeight w:val="196"/>
        </w:trPr>
        <w:tc>
          <w:tcPr>
            <w:tcW w:w="222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Bruns H. Grayson</w:t>
            </w:r>
          </w:p>
        </w:tc>
        <w:tc>
          <w:tcPr>
            <w:tcW w:w="760" w:type="dxa"/>
            <w:vAlign w:val="bottom"/>
            <w:tcBorders>
              <w:bottom w:val="single" w:sz="8" w:color="E7417A"/>
            </w:tcBorders>
          </w:tcPr>
          <w:p>
            <w:pPr>
              <w:ind w:left="5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E7417A"/>
            </w:tcBorders>
            <w:gridSpan w:val="2"/>
          </w:tcPr>
          <w:p>
            <w:pPr>
              <w:ind w:left="840"/>
              <w:spacing w:after="0" w:line="196" w:lineRule="exact"/>
              <w:rPr>
                <w:sz w:val="20"/>
                <w:szCs w:val="20"/>
                <w:color w:val="auto"/>
              </w:rPr>
            </w:pPr>
            <w:r>
              <w:rPr>
                <w:rFonts w:ascii="Arial" w:cs="Arial" w:eastAsia="Arial" w:hAnsi="Arial"/>
                <w:sz w:val="16"/>
                <w:szCs w:val="16"/>
                <w:color w:val="auto"/>
              </w:rPr>
              <w:t>​ ​135,000</w:t>
            </w:r>
            <w:r>
              <w:rPr>
                <w:rFonts w:ascii="Arial" w:cs="Arial" w:eastAsia="Arial" w:hAnsi="Arial"/>
                <w:sz w:val="19"/>
                <w:szCs w:val="19"/>
                <w:color w:val="auto"/>
                <w:vertAlign w:val="superscript"/>
              </w:rPr>
              <w:t>(3)</w:t>
            </w:r>
          </w:p>
        </w:tc>
        <w:tc>
          <w:tcPr>
            <w:tcW w:w="520" w:type="dxa"/>
            <w:vAlign w:val="bottom"/>
            <w:tcBorders>
              <w:bottom w:val="single" w:sz="8" w:color="E7417A"/>
            </w:tcBorders>
          </w:tcPr>
          <w:p>
            <w:pPr>
              <w:ind w:left="360"/>
              <w:spacing w:after="0"/>
              <w:rPr>
                <w:sz w:val="20"/>
                <w:szCs w:val="20"/>
                <w:color w:val="auto"/>
              </w:rPr>
            </w:pPr>
            <w:r>
              <w:rPr>
                <w:rFonts w:ascii="Arial" w:cs="Arial" w:eastAsia="Arial" w:hAnsi="Arial"/>
                <w:sz w:val="16"/>
                <w:szCs w:val="16"/>
                <w:color w:val="auto"/>
              </w:rPr>
              <w:t>​ ​</w:t>
            </w:r>
          </w:p>
        </w:tc>
        <w:tc>
          <w:tcPr>
            <w:tcW w:w="32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7417A"/>
            </w:tcBorders>
            <w:gridSpan w:val="2"/>
          </w:tcPr>
          <w:p>
            <w:pPr>
              <w:jc w:val="right"/>
              <w:ind w:right="259"/>
              <w:spacing w:after="0"/>
              <w:rPr>
                <w:sz w:val="20"/>
                <w:szCs w:val="20"/>
                <w:color w:val="auto"/>
              </w:rPr>
            </w:pPr>
            <w:r>
              <w:rPr>
                <w:rFonts w:ascii="Arial" w:cs="Arial" w:eastAsia="Arial" w:hAnsi="Arial"/>
                <w:sz w:val="16"/>
                <w:szCs w:val="16"/>
                <w:color w:val="auto"/>
              </w:rPr>
              <w:t>​​145,000</w:t>
            </w:r>
          </w:p>
        </w:tc>
        <w:tc>
          <w:tcPr>
            <w:tcW w:w="22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7417A"/>
            </w:tcBorders>
            <w:gridSpan w:val="2"/>
          </w:tcPr>
          <w:p>
            <w:pPr>
              <w:jc w:val="right"/>
              <w:ind w:right="279"/>
              <w:spacing w:after="0"/>
              <w:rPr>
                <w:sz w:val="20"/>
                <w:szCs w:val="20"/>
                <w:color w:val="auto"/>
              </w:rPr>
            </w:pPr>
            <w:r>
              <w:rPr>
                <w:rFonts w:ascii="Arial" w:cs="Arial" w:eastAsia="Arial" w:hAnsi="Arial"/>
                <w:sz w:val="16"/>
                <w:szCs w:val="16"/>
                <w:color w:val="auto"/>
              </w:rPr>
              <w:t>​280,000​</w:t>
            </w:r>
          </w:p>
        </w:tc>
      </w:tr>
      <w:tr>
        <w:trPr>
          <w:trHeight w:val="196"/>
        </w:trPr>
        <w:tc>
          <w:tcPr>
            <w:tcW w:w="222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Beatriz V. Infante</w:t>
            </w:r>
          </w:p>
        </w:tc>
        <w:tc>
          <w:tcPr>
            <w:tcW w:w="760" w:type="dxa"/>
            <w:vAlign w:val="bottom"/>
            <w:tcBorders>
              <w:bottom w:val="single" w:sz="8" w:color="E7417A"/>
            </w:tcBorders>
          </w:tcPr>
          <w:p>
            <w:pPr>
              <w:ind w:left="5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E7417A"/>
            </w:tcBorders>
            <w:gridSpan w:val="2"/>
          </w:tcPr>
          <w:p>
            <w:pPr>
              <w:ind w:left="840"/>
              <w:spacing w:after="0"/>
              <w:rPr>
                <w:sz w:val="20"/>
                <w:szCs w:val="20"/>
                <w:color w:val="auto"/>
              </w:rPr>
            </w:pPr>
            <w:r>
              <w:rPr>
                <w:rFonts w:ascii="Arial" w:cs="Arial" w:eastAsia="Arial" w:hAnsi="Arial"/>
                <w:sz w:val="16"/>
                <w:szCs w:val="16"/>
                <w:color w:val="auto"/>
              </w:rPr>
              <w:t>​ ​107,000</w:t>
            </w:r>
          </w:p>
        </w:tc>
        <w:tc>
          <w:tcPr>
            <w:tcW w:w="520" w:type="dxa"/>
            <w:vAlign w:val="bottom"/>
            <w:tcBorders>
              <w:bottom w:val="single" w:sz="8" w:color="E7417A"/>
            </w:tcBorders>
          </w:tcPr>
          <w:p>
            <w:pPr>
              <w:ind w:left="360"/>
              <w:spacing w:after="0"/>
              <w:rPr>
                <w:sz w:val="20"/>
                <w:szCs w:val="20"/>
                <w:color w:val="auto"/>
              </w:rPr>
            </w:pPr>
            <w:r>
              <w:rPr>
                <w:rFonts w:ascii="Arial" w:cs="Arial" w:eastAsia="Arial" w:hAnsi="Arial"/>
                <w:sz w:val="16"/>
                <w:szCs w:val="16"/>
                <w:color w:val="auto"/>
              </w:rPr>
              <w:t>​ ​</w:t>
            </w:r>
          </w:p>
        </w:tc>
        <w:tc>
          <w:tcPr>
            <w:tcW w:w="32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7417A"/>
            </w:tcBorders>
            <w:gridSpan w:val="2"/>
          </w:tcPr>
          <w:p>
            <w:pPr>
              <w:jc w:val="right"/>
              <w:ind w:right="259"/>
              <w:spacing w:after="0"/>
              <w:rPr>
                <w:sz w:val="20"/>
                <w:szCs w:val="20"/>
                <w:color w:val="auto"/>
              </w:rPr>
            </w:pPr>
            <w:r>
              <w:rPr>
                <w:rFonts w:ascii="Arial" w:cs="Arial" w:eastAsia="Arial" w:hAnsi="Arial"/>
                <w:sz w:val="16"/>
                <w:szCs w:val="16"/>
                <w:color w:val="auto"/>
              </w:rPr>
              <w:t>​​145,000</w:t>
            </w:r>
          </w:p>
        </w:tc>
        <w:tc>
          <w:tcPr>
            <w:tcW w:w="22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7417A"/>
            </w:tcBorders>
            <w:gridSpan w:val="2"/>
          </w:tcPr>
          <w:p>
            <w:pPr>
              <w:jc w:val="right"/>
              <w:ind w:right="279"/>
              <w:spacing w:after="0"/>
              <w:rPr>
                <w:sz w:val="20"/>
                <w:szCs w:val="20"/>
                <w:color w:val="auto"/>
              </w:rPr>
            </w:pPr>
            <w:r>
              <w:rPr>
                <w:rFonts w:ascii="Arial" w:cs="Arial" w:eastAsia="Arial" w:hAnsi="Arial"/>
                <w:sz w:val="16"/>
                <w:szCs w:val="16"/>
                <w:color w:val="auto"/>
              </w:rPr>
              <w:t>​252,000​</w:t>
            </w:r>
          </w:p>
        </w:tc>
      </w:tr>
      <w:tr>
        <w:trPr>
          <w:trHeight w:val="210"/>
        </w:trPr>
        <w:tc>
          <w:tcPr>
            <w:tcW w:w="222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Scott Mair</w:t>
            </w:r>
          </w:p>
        </w:tc>
        <w:tc>
          <w:tcPr>
            <w:tcW w:w="760" w:type="dxa"/>
            <w:vAlign w:val="bottom"/>
            <w:tcBorders>
              <w:bottom w:val="single" w:sz="8" w:color="E7417A"/>
            </w:tcBorders>
          </w:tcPr>
          <w:p>
            <w:pPr>
              <w:ind w:left="5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7417A"/>
            </w:tcBorders>
          </w:tcPr>
          <w:p>
            <w:pPr>
              <w:ind w:left="840"/>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7417A"/>
            </w:tcBorders>
          </w:tcPr>
          <w:p>
            <w:pPr>
              <w:jc w:val="right"/>
              <w:ind w:right="379"/>
              <w:spacing w:after="0"/>
              <w:rPr>
                <w:sz w:val="20"/>
                <w:szCs w:val="20"/>
                <w:color w:val="auto"/>
              </w:rPr>
            </w:pPr>
            <w:r>
              <w:rPr>
                <w:rFonts w:ascii="Arial" w:cs="Arial" w:eastAsia="Arial" w:hAnsi="Arial"/>
                <w:sz w:val="16"/>
                <w:szCs w:val="16"/>
                <w:color w:val="auto"/>
              </w:rPr>
              <w:t>90,000</w:t>
            </w:r>
          </w:p>
        </w:tc>
        <w:tc>
          <w:tcPr>
            <w:tcW w:w="520" w:type="dxa"/>
            <w:vAlign w:val="bottom"/>
            <w:tcBorders>
              <w:bottom w:val="single" w:sz="8" w:color="E7417A"/>
            </w:tcBorders>
          </w:tcPr>
          <w:p>
            <w:pPr>
              <w:ind w:left="360"/>
              <w:spacing w:after="0"/>
              <w:rPr>
                <w:sz w:val="20"/>
                <w:szCs w:val="20"/>
                <w:color w:val="auto"/>
              </w:rPr>
            </w:pPr>
            <w:r>
              <w:rPr>
                <w:rFonts w:ascii="Arial" w:cs="Arial" w:eastAsia="Arial" w:hAnsi="Arial"/>
                <w:sz w:val="16"/>
                <w:szCs w:val="16"/>
                <w:color w:val="auto"/>
              </w:rPr>
              <w:t>​ ​</w:t>
            </w:r>
          </w:p>
        </w:tc>
        <w:tc>
          <w:tcPr>
            <w:tcW w:w="32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7417A"/>
            </w:tcBorders>
            <w:gridSpan w:val="2"/>
          </w:tcPr>
          <w:p>
            <w:pPr>
              <w:jc w:val="right"/>
              <w:ind w:right="259"/>
              <w:spacing w:after="0"/>
              <w:rPr>
                <w:sz w:val="20"/>
                <w:szCs w:val="20"/>
                <w:color w:val="auto"/>
              </w:rPr>
            </w:pPr>
            <w:r>
              <w:rPr>
                <w:rFonts w:ascii="Arial" w:cs="Arial" w:eastAsia="Arial" w:hAnsi="Arial"/>
                <w:sz w:val="16"/>
                <w:szCs w:val="16"/>
                <w:color w:val="auto"/>
              </w:rPr>
              <w:t>​​145,000</w:t>
            </w:r>
          </w:p>
        </w:tc>
        <w:tc>
          <w:tcPr>
            <w:tcW w:w="22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7417A"/>
            </w:tcBorders>
            <w:gridSpan w:val="2"/>
          </w:tcPr>
          <w:p>
            <w:pPr>
              <w:jc w:val="right"/>
              <w:ind w:right="279"/>
              <w:spacing w:after="0"/>
              <w:rPr>
                <w:sz w:val="20"/>
                <w:szCs w:val="20"/>
                <w:color w:val="auto"/>
              </w:rPr>
            </w:pPr>
            <w:r>
              <w:rPr>
                <w:rFonts w:ascii="Arial" w:cs="Arial" w:eastAsia="Arial" w:hAnsi="Arial"/>
                <w:sz w:val="16"/>
                <w:szCs w:val="16"/>
                <w:color w:val="auto"/>
              </w:rPr>
              <w:t>​235,000​</w:t>
            </w:r>
          </w:p>
        </w:tc>
      </w:tr>
      <w:tr>
        <w:trPr>
          <w:trHeight w:val="209"/>
        </w:trPr>
        <w:tc>
          <w:tcPr>
            <w:tcW w:w="2220" w:type="dxa"/>
            <w:vAlign w:val="bottom"/>
            <w:tcBorders>
              <w:bottom w:val="single" w:sz="8" w:color="E7417A"/>
            </w:tcBorders>
          </w:tcPr>
          <w:p>
            <w:pPr>
              <w:spacing w:after="0" w:line="210" w:lineRule="exact"/>
              <w:rPr>
                <w:sz w:val="20"/>
                <w:szCs w:val="20"/>
                <w:color w:val="auto"/>
              </w:rPr>
            </w:pPr>
            <w:r>
              <w:rPr>
                <w:rFonts w:ascii="Arial" w:cs="Arial" w:eastAsia="Arial" w:hAnsi="Arial"/>
                <w:sz w:val="16"/>
                <w:szCs w:val="16"/>
                <w:color w:val="auto"/>
              </w:rPr>
              <w:t>​ Shaul Shani</w:t>
            </w:r>
            <w:r>
              <w:rPr>
                <w:rFonts w:ascii="Arial" w:cs="Arial" w:eastAsia="Arial" w:hAnsi="Arial"/>
                <w:sz w:val="19"/>
                <w:szCs w:val="19"/>
                <w:color w:val="auto"/>
                <w:vertAlign w:val="superscript"/>
              </w:rPr>
              <w:t>(4)</w:t>
            </w:r>
          </w:p>
        </w:tc>
        <w:tc>
          <w:tcPr>
            <w:tcW w:w="760" w:type="dxa"/>
            <w:vAlign w:val="bottom"/>
            <w:tcBorders>
              <w:bottom w:val="single" w:sz="8" w:color="E7417A"/>
            </w:tcBorders>
          </w:tcPr>
          <w:p>
            <w:pPr>
              <w:ind w:left="5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7417A"/>
            </w:tcBorders>
          </w:tcPr>
          <w:p>
            <w:pPr>
              <w:ind w:left="840"/>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7417A"/>
            </w:tcBorders>
          </w:tcPr>
          <w:p>
            <w:pPr>
              <w:jc w:val="right"/>
              <w:ind w:right="379"/>
              <w:spacing w:after="0"/>
              <w:rPr>
                <w:sz w:val="20"/>
                <w:szCs w:val="20"/>
                <w:color w:val="auto"/>
              </w:rPr>
            </w:pPr>
            <w:r>
              <w:rPr>
                <w:rFonts w:ascii="Arial" w:cs="Arial" w:eastAsia="Arial" w:hAnsi="Arial"/>
                <w:sz w:val="16"/>
                <w:szCs w:val="16"/>
                <w:color w:val="auto"/>
              </w:rPr>
              <w:t>0</w:t>
            </w:r>
          </w:p>
        </w:tc>
        <w:tc>
          <w:tcPr>
            <w:tcW w:w="520" w:type="dxa"/>
            <w:vAlign w:val="bottom"/>
            <w:tcBorders>
              <w:bottom w:val="single" w:sz="8" w:color="E7417A"/>
            </w:tcBorders>
          </w:tcPr>
          <w:p>
            <w:pPr>
              <w:ind w:left="360"/>
              <w:spacing w:after="0"/>
              <w:rPr>
                <w:sz w:val="20"/>
                <w:szCs w:val="20"/>
                <w:color w:val="auto"/>
              </w:rPr>
            </w:pPr>
            <w:r>
              <w:rPr>
                <w:rFonts w:ascii="Arial" w:cs="Arial" w:eastAsia="Arial" w:hAnsi="Arial"/>
                <w:sz w:val="16"/>
                <w:szCs w:val="16"/>
                <w:color w:val="auto"/>
              </w:rPr>
              <w:t>​ ​</w:t>
            </w:r>
          </w:p>
        </w:tc>
        <w:tc>
          <w:tcPr>
            <w:tcW w:w="32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7417A"/>
            </w:tcBorders>
            <w:gridSpan w:val="2"/>
          </w:tcPr>
          <w:p>
            <w:pPr>
              <w:jc w:val="right"/>
              <w:ind w:right="259"/>
              <w:spacing w:after="0"/>
              <w:rPr>
                <w:sz w:val="20"/>
                <w:szCs w:val="20"/>
                <w:color w:val="auto"/>
              </w:rPr>
            </w:pPr>
            <w:r>
              <w:rPr>
                <w:rFonts w:ascii="Arial" w:cs="Arial" w:eastAsia="Arial" w:hAnsi="Arial"/>
                <w:sz w:val="16"/>
                <w:szCs w:val="16"/>
                <w:color w:val="auto"/>
              </w:rPr>
              <w:t>​​145,000</w:t>
            </w:r>
          </w:p>
        </w:tc>
        <w:tc>
          <w:tcPr>
            <w:tcW w:w="22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7417A"/>
            </w:tcBorders>
            <w:gridSpan w:val="2"/>
          </w:tcPr>
          <w:p>
            <w:pPr>
              <w:jc w:val="right"/>
              <w:ind w:right="279"/>
              <w:spacing w:after="0"/>
              <w:rPr>
                <w:sz w:val="20"/>
                <w:szCs w:val="20"/>
                <w:color w:val="auto"/>
              </w:rPr>
            </w:pPr>
            <w:r>
              <w:rPr>
                <w:rFonts w:ascii="Arial" w:cs="Arial" w:eastAsia="Arial" w:hAnsi="Arial"/>
                <w:sz w:val="16"/>
                <w:szCs w:val="16"/>
                <w:color w:val="auto"/>
              </w:rPr>
              <w:t>​145,000​</w:t>
            </w:r>
          </w:p>
        </w:tc>
      </w:tr>
      <w:tr>
        <w:trPr>
          <w:trHeight w:val="210"/>
        </w:trPr>
        <w:tc>
          <w:tcPr>
            <w:tcW w:w="2220" w:type="dxa"/>
            <w:vAlign w:val="bottom"/>
            <w:tcBorders>
              <w:bottom w:val="single" w:sz="8" w:color="E7417A"/>
            </w:tcBorders>
          </w:tcPr>
          <w:p>
            <w:pPr>
              <w:spacing w:after="0" w:line="210" w:lineRule="exact"/>
              <w:rPr>
                <w:sz w:val="20"/>
                <w:szCs w:val="20"/>
                <w:color w:val="auto"/>
              </w:rPr>
            </w:pPr>
            <w:r>
              <w:rPr>
                <w:rFonts w:ascii="Arial" w:cs="Arial" w:eastAsia="Arial" w:hAnsi="Arial"/>
                <w:sz w:val="16"/>
                <w:szCs w:val="16"/>
                <w:color w:val="auto"/>
              </w:rPr>
              <w:t>​ Richard W. Smith</w:t>
            </w:r>
            <w:r>
              <w:rPr>
                <w:rFonts w:ascii="Arial" w:cs="Arial" w:eastAsia="Arial" w:hAnsi="Arial"/>
                <w:sz w:val="19"/>
                <w:szCs w:val="19"/>
                <w:color w:val="auto"/>
                <w:vertAlign w:val="superscript"/>
              </w:rPr>
              <w:t>(5)</w:t>
            </w:r>
          </w:p>
        </w:tc>
        <w:tc>
          <w:tcPr>
            <w:tcW w:w="760" w:type="dxa"/>
            <w:vAlign w:val="bottom"/>
            <w:tcBorders>
              <w:bottom w:val="single" w:sz="8" w:color="E7417A"/>
            </w:tcBorders>
          </w:tcPr>
          <w:p>
            <w:pPr>
              <w:ind w:left="5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7417A"/>
            </w:tcBorders>
          </w:tcPr>
          <w:p>
            <w:pPr>
              <w:ind w:left="840"/>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7417A"/>
            </w:tcBorders>
          </w:tcPr>
          <w:p>
            <w:pPr>
              <w:jc w:val="right"/>
              <w:ind w:right="379"/>
              <w:spacing w:after="0"/>
              <w:rPr>
                <w:sz w:val="20"/>
                <w:szCs w:val="20"/>
                <w:color w:val="auto"/>
              </w:rPr>
            </w:pPr>
            <w:r>
              <w:rPr>
                <w:rFonts w:ascii="Arial" w:cs="Arial" w:eastAsia="Arial" w:hAnsi="Arial"/>
                <w:sz w:val="16"/>
                <w:szCs w:val="16"/>
                <w:color w:val="auto"/>
              </w:rPr>
              <w:t>0</w:t>
            </w:r>
          </w:p>
        </w:tc>
        <w:tc>
          <w:tcPr>
            <w:tcW w:w="520" w:type="dxa"/>
            <w:vAlign w:val="bottom"/>
            <w:tcBorders>
              <w:bottom w:val="single" w:sz="8" w:color="E7417A"/>
            </w:tcBorders>
          </w:tcPr>
          <w:p>
            <w:pPr>
              <w:ind w:left="360"/>
              <w:spacing w:after="0"/>
              <w:rPr>
                <w:sz w:val="20"/>
                <w:szCs w:val="20"/>
                <w:color w:val="auto"/>
              </w:rPr>
            </w:pPr>
            <w:r>
              <w:rPr>
                <w:rFonts w:ascii="Arial" w:cs="Arial" w:eastAsia="Arial" w:hAnsi="Arial"/>
                <w:sz w:val="16"/>
                <w:szCs w:val="16"/>
                <w:color w:val="auto"/>
              </w:rPr>
              <w:t>​ ​</w:t>
            </w:r>
          </w:p>
        </w:tc>
        <w:tc>
          <w:tcPr>
            <w:tcW w:w="32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7417A"/>
            </w:tcBorders>
          </w:tcPr>
          <w:p>
            <w:pPr>
              <w:jc w:val="right"/>
              <w:ind w:right="259"/>
              <w:spacing w:after="0"/>
              <w:rPr>
                <w:sz w:val="20"/>
                <w:szCs w:val="20"/>
                <w:color w:val="auto"/>
              </w:rPr>
            </w:pPr>
            <w:r>
              <w:rPr>
                <w:rFonts w:ascii="Arial" w:cs="Arial" w:eastAsia="Arial" w:hAnsi="Arial"/>
                <w:sz w:val="16"/>
                <w:szCs w:val="16"/>
                <w:color w:val="auto"/>
              </w:rPr>
              <w:t>0</w:t>
            </w:r>
          </w:p>
        </w:tc>
        <w:tc>
          <w:tcPr>
            <w:tcW w:w="22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E7417A"/>
            </w:tcBorders>
          </w:tcPr>
          <w:p>
            <w:pPr>
              <w:jc w:val="right"/>
              <w:ind w:right="279"/>
              <w:spacing w:after="0"/>
              <w:rPr>
                <w:sz w:val="20"/>
                <w:szCs w:val="20"/>
                <w:color w:val="auto"/>
              </w:rPr>
            </w:pPr>
            <w:r>
              <w:rPr>
                <w:rFonts w:ascii="Arial" w:cs="Arial" w:eastAsia="Arial" w:hAnsi="Arial"/>
                <w:sz w:val="16"/>
                <w:szCs w:val="16"/>
                <w:color w:val="auto"/>
              </w:rPr>
              <w:t>0​</w:t>
            </w:r>
          </w:p>
        </w:tc>
      </w:tr>
      <w:tr>
        <w:trPr>
          <w:trHeight w:val="209"/>
        </w:trPr>
        <w:tc>
          <w:tcPr>
            <w:tcW w:w="2220" w:type="dxa"/>
            <w:vAlign w:val="bottom"/>
            <w:tcBorders>
              <w:bottom w:val="single" w:sz="8" w:color="62259D"/>
            </w:tcBorders>
          </w:tcPr>
          <w:p>
            <w:pPr>
              <w:spacing w:after="0"/>
              <w:rPr>
                <w:sz w:val="20"/>
                <w:szCs w:val="20"/>
                <w:color w:val="auto"/>
              </w:rPr>
            </w:pPr>
            <w:r>
              <w:rPr>
                <w:rFonts w:ascii="Arial" w:cs="Arial" w:eastAsia="Arial" w:hAnsi="Arial"/>
                <w:sz w:val="16"/>
                <w:szCs w:val="16"/>
                <w:color w:val="auto"/>
              </w:rPr>
              <w:t>​ Tanya Tamone</w:t>
            </w:r>
          </w:p>
        </w:tc>
        <w:tc>
          <w:tcPr>
            <w:tcW w:w="760" w:type="dxa"/>
            <w:vAlign w:val="bottom"/>
            <w:tcBorders>
              <w:bottom w:val="single" w:sz="8" w:color="62259D"/>
            </w:tcBorders>
          </w:tcPr>
          <w:p>
            <w:pPr>
              <w:ind w:left="5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62259D"/>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62259D"/>
            </w:tcBorders>
          </w:tcPr>
          <w:p>
            <w:pPr>
              <w:ind w:left="840"/>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62259D"/>
            </w:tcBorders>
          </w:tcPr>
          <w:p>
            <w:pPr>
              <w:jc w:val="right"/>
              <w:ind w:right="379"/>
              <w:spacing w:after="0"/>
              <w:rPr>
                <w:sz w:val="20"/>
                <w:szCs w:val="20"/>
                <w:color w:val="auto"/>
              </w:rPr>
            </w:pPr>
            <w:r>
              <w:rPr>
                <w:rFonts w:ascii="Arial" w:cs="Arial" w:eastAsia="Arial" w:hAnsi="Arial"/>
                <w:sz w:val="16"/>
                <w:szCs w:val="16"/>
                <w:color w:val="auto"/>
              </w:rPr>
              <w:t>75,000</w:t>
            </w:r>
          </w:p>
        </w:tc>
        <w:tc>
          <w:tcPr>
            <w:tcW w:w="520" w:type="dxa"/>
            <w:vAlign w:val="bottom"/>
            <w:tcBorders>
              <w:bottom w:val="single" w:sz="8" w:color="62259D"/>
            </w:tcBorders>
          </w:tcPr>
          <w:p>
            <w:pPr>
              <w:ind w:left="360"/>
              <w:spacing w:after="0"/>
              <w:rPr>
                <w:sz w:val="20"/>
                <w:szCs w:val="20"/>
                <w:color w:val="auto"/>
              </w:rPr>
            </w:pPr>
            <w:r>
              <w:rPr>
                <w:rFonts w:ascii="Arial" w:cs="Arial" w:eastAsia="Arial" w:hAnsi="Arial"/>
                <w:sz w:val="16"/>
                <w:szCs w:val="16"/>
                <w:color w:val="auto"/>
              </w:rPr>
              <w:t>​ ​</w:t>
            </w:r>
          </w:p>
        </w:tc>
        <w:tc>
          <w:tcPr>
            <w:tcW w:w="320" w:type="dxa"/>
            <w:vAlign w:val="bottom"/>
            <w:tcBorders>
              <w:bottom w:val="single" w:sz="8" w:color="62259D"/>
            </w:tcBorders>
          </w:tcPr>
          <w:p>
            <w:pPr>
              <w:jc w:val="center"/>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62259D"/>
            </w:tcBorders>
            <w:gridSpan w:val="2"/>
          </w:tcPr>
          <w:p>
            <w:pPr>
              <w:jc w:val="right"/>
              <w:ind w:right="259"/>
              <w:spacing w:after="0"/>
              <w:rPr>
                <w:sz w:val="20"/>
                <w:szCs w:val="20"/>
                <w:color w:val="auto"/>
              </w:rPr>
            </w:pPr>
            <w:r>
              <w:rPr>
                <w:rFonts w:ascii="Arial" w:cs="Arial" w:eastAsia="Arial" w:hAnsi="Arial"/>
                <w:sz w:val="16"/>
                <w:szCs w:val="16"/>
                <w:color w:val="auto"/>
              </w:rPr>
              <w:t>​​145,000</w:t>
            </w:r>
          </w:p>
        </w:tc>
        <w:tc>
          <w:tcPr>
            <w:tcW w:w="220" w:type="dxa"/>
            <w:vAlign w:val="bottom"/>
            <w:tcBorders>
              <w:bottom w:val="single" w:sz="8" w:color="62259D"/>
            </w:tcBorders>
          </w:tcPr>
          <w:p>
            <w:pPr>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62259D"/>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62259D"/>
            </w:tcBorders>
            <w:gridSpan w:val="2"/>
          </w:tcPr>
          <w:p>
            <w:pPr>
              <w:jc w:val="right"/>
              <w:ind w:right="279"/>
              <w:spacing w:after="0"/>
              <w:rPr>
                <w:sz w:val="20"/>
                <w:szCs w:val="20"/>
                <w:color w:val="auto"/>
              </w:rPr>
            </w:pPr>
            <w:r>
              <w:rPr>
                <w:rFonts w:ascii="Arial" w:cs="Arial" w:eastAsia="Arial" w:hAnsi="Arial"/>
                <w:sz w:val="16"/>
                <w:szCs w:val="16"/>
                <w:color w:val="auto"/>
              </w:rPr>
              <w:t>​220,000​</w:t>
            </w:r>
          </w:p>
        </w:tc>
      </w:tr>
    </w:tbl>
    <w:p>
      <w:pPr>
        <w:spacing w:after="0" w:line="197" w:lineRule="exact"/>
        <w:rPr>
          <w:sz w:val="20"/>
          <w:szCs w:val="20"/>
          <w:color w:val="auto"/>
        </w:rPr>
      </w:pPr>
    </w:p>
    <w:p>
      <w:pPr>
        <w:sectPr>
          <w:pgSz w:w="11900" w:h="16838" w:orient="portrait"/>
          <w:cols w:equalWidth="0" w:num="1">
            <w:col w:w="9879"/>
          </w:cols>
          <w:pgMar w:left="580" w:top="97" w:right="1440" w:bottom="1440" w:gutter="0" w:footer="0" w:header="0"/>
        </w:sectPr>
      </w:pPr>
    </w:p>
    <w:p>
      <w:pPr>
        <w:ind w:left="920"/>
        <w:spacing w:after="0"/>
        <w:rPr>
          <w:sz w:val="20"/>
          <w:szCs w:val="20"/>
          <w:color w:val="auto"/>
        </w:rPr>
      </w:pPr>
      <w:r>
        <w:rPr>
          <w:rFonts w:ascii="Arial" w:cs="Arial" w:eastAsia="Arial" w:hAnsi="Arial"/>
          <w:sz w:val="18"/>
          <w:szCs w:val="18"/>
          <w:b w:val="1"/>
          <w:bCs w:val="1"/>
          <w:color w:val="auto"/>
        </w:rPr>
        <w:t>28</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8" w:lineRule="exact"/>
        <w:rPr>
          <w:sz w:val="20"/>
          <w:szCs w:val="20"/>
          <w:color w:val="auto"/>
        </w:rPr>
      </w:pPr>
    </w:p>
    <w:p>
      <w:pPr>
        <w:jc w:val="both"/>
        <w:ind w:left="1400" w:right="119" w:hanging="368"/>
        <w:spacing w:after="0" w:line="266" w:lineRule="auto"/>
        <w:tabs>
          <w:tab w:leader="none" w:pos="14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The amounts in this column do not reflect compensation actually received by the applicable director. Instead, the amounts reflect the grant date fair value of restricted stock awards, as calculated in accordance with Accounting Standards Codification 718, </w:t>
      </w:r>
      <w:r>
        <w:rPr>
          <w:rFonts w:ascii="Arial" w:cs="Arial" w:eastAsia="Arial" w:hAnsi="Arial"/>
          <w:sz w:val="16"/>
          <w:szCs w:val="16"/>
          <w:i w:val="1"/>
          <w:iCs w:val="1"/>
          <w:color w:val="auto"/>
        </w:rPr>
        <w:t>Compensation — Stock-Based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ASC 718</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left="1400" w:right="439"/>
        <w:spacing w:after="0" w:line="286" w:lineRule="auto"/>
        <w:rPr>
          <w:rFonts w:ascii="Arial" w:cs="Arial" w:eastAsia="Arial" w:hAnsi="Arial"/>
          <w:sz w:val="16"/>
          <w:szCs w:val="16"/>
          <w:color w:val="auto"/>
        </w:rPr>
      </w:pPr>
      <w:r>
        <w:rPr>
          <w:rFonts w:ascii="Arial" w:cs="Arial" w:eastAsia="Arial" w:hAnsi="Arial"/>
          <w:sz w:val="16"/>
          <w:szCs w:val="16"/>
          <w:color w:val="auto"/>
        </w:rPr>
        <w:t>The amounts reported for each member of the Board represents the grant date fair value of his or her grants during 2024. The grants made to each director during 2024 were as follows:</w:t>
      </w:r>
    </w:p>
    <w:p>
      <w:pPr>
        <w:spacing w:after="0" w:line="129" w:lineRule="exact"/>
        <w:rPr>
          <w:sz w:val="20"/>
          <w:szCs w:val="20"/>
          <w:color w:val="auto"/>
        </w:rPr>
      </w:pPr>
    </w:p>
    <w:tbl>
      <w:tblPr>
        <w:tblLayout w:type="fixed"/>
        <w:tblInd w:w="1400" w:type="dxa"/>
        <w:tblCellMar>
          <w:top w:w="0" w:type="dxa"/>
          <w:left w:w="0" w:type="dxa"/>
          <w:bottom w:w="0" w:type="dxa"/>
          <w:right w:w="0" w:type="dxa"/>
        </w:tblCellMar>
      </w:tblPr>
      <w:tr>
        <w:trPr>
          <w:trHeight w:val="215"/>
        </w:trPr>
        <w:tc>
          <w:tcPr>
            <w:tcW w:w="2120" w:type="dxa"/>
            <w:vAlign w:val="bottom"/>
            <w:shd w:val="clear" w:color="auto" w:fill="62259D"/>
          </w:tcPr>
          <w:p>
            <w:pPr>
              <w:spacing w:after="0"/>
              <w:rPr>
                <w:sz w:val="18"/>
                <w:szCs w:val="18"/>
                <w:color w:val="auto"/>
              </w:rPr>
            </w:pPr>
          </w:p>
        </w:tc>
        <w:tc>
          <w:tcPr>
            <w:tcW w:w="640" w:type="dxa"/>
            <w:vAlign w:val="bottom"/>
            <w:shd w:val="clear" w:color="auto" w:fill="62259D"/>
          </w:tcPr>
          <w:p>
            <w:pPr>
              <w:spacing w:after="0"/>
              <w:rPr>
                <w:sz w:val="18"/>
                <w:szCs w:val="18"/>
                <w:color w:val="auto"/>
              </w:rPr>
            </w:pPr>
          </w:p>
        </w:tc>
        <w:tc>
          <w:tcPr>
            <w:tcW w:w="200" w:type="dxa"/>
            <w:vAlign w:val="bottom"/>
            <w:shd w:val="clear" w:color="auto" w:fill="62259D"/>
          </w:tcPr>
          <w:p>
            <w:pPr>
              <w:spacing w:after="0"/>
              <w:rPr>
                <w:sz w:val="18"/>
                <w:szCs w:val="18"/>
                <w:color w:val="auto"/>
              </w:rPr>
            </w:pPr>
          </w:p>
        </w:tc>
        <w:tc>
          <w:tcPr>
            <w:tcW w:w="2860" w:type="dxa"/>
            <w:vAlign w:val="bottom"/>
            <w:gridSpan w:val="2"/>
            <w:shd w:val="clear" w:color="auto" w:fill="62259D"/>
          </w:tcPr>
          <w:p>
            <w:pPr>
              <w:ind w:left="20"/>
              <w:spacing w:after="0"/>
              <w:rPr>
                <w:sz w:val="20"/>
                <w:szCs w:val="20"/>
                <w:color w:val="auto"/>
              </w:rPr>
            </w:pPr>
            <w:r>
              <w:rPr>
                <w:rFonts w:ascii="Arial" w:cs="Arial" w:eastAsia="Arial" w:hAnsi="Arial"/>
                <w:sz w:val="16"/>
                <w:szCs w:val="16"/>
                <w:b w:val="1"/>
                <w:bCs w:val="1"/>
                <w:color w:val="FEFEFE"/>
              </w:rPr>
              <w:t>Restricted Stock Units (“RSUs”)</w:t>
            </w:r>
          </w:p>
        </w:tc>
        <w:tc>
          <w:tcPr>
            <w:tcW w:w="300" w:type="dxa"/>
            <w:vAlign w:val="bottom"/>
            <w:shd w:val="clear" w:color="auto" w:fill="62259D"/>
          </w:tcPr>
          <w:p>
            <w:pPr>
              <w:spacing w:after="0"/>
              <w:rPr>
                <w:sz w:val="18"/>
                <w:szCs w:val="18"/>
                <w:color w:val="auto"/>
              </w:rPr>
            </w:pPr>
          </w:p>
        </w:tc>
        <w:tc>
          <w:tcPr>
            <w:tcW w:w="182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Grant Date Fair Value</w:t>
            </w:r>
          </w:p>
        </w:tc>
        <w:tc>
          <w:tcPr>
            <w:tcW w:w="440" w:type="dxa"/>
            <w:vAlign w:val="bottom"/>
            <w:shd w:val="clear" w:color="auto" w:fill="62259D"/>
          </w:tcPr>
          <w:p>
            <w:pPr>
              <w:spacing w:after="0"/>
              <w:rPr>
                <w:sz w:val="18"/>
                <w:szCs w:val="18"/>
                <w:color w:val="auto"/>
              </w:rPr>
            </w:pPr>
          </w:p>
        </w:tc>
      </w:tr>
      <w:tr>
        <w:trPr>
          <w:trHeight w:val="230"/>
        </w:trPr>
        <w:tc>
          <w:tcPr>
            <w:tcW w:w="2120" w:type="dxa"/>
            <w:vAlign w:val="bottom"/>
            <w:shd w:val="clear" w:color="auto" w:fill="62259D"/>
          </w:tcPr>
          <w:p>
            <w:pPr>
              <w:ind w:left="40"/>
              <w:spacing w:after="0"/>
              <w:rPr>
                <w:sz w:val="20"/>
                <w:szCs w:val="20"/>
                <w:color w:val="auto"/>
              </w:rPr>
            </w:pPr>
            <w:r>
              <w:rPr>
                <w:rFonts w:ascii="Arial" w:cs="Arial" w:eastAsia="Arial" w:hAnsi="Arial"/>
                <w:sz w:val="16"/>
                <w:szCs w:val="16"/>
                <w:b w:val="1"/>
                <w:bCs w:val="1"/>
                <w:color w:val="FEFEFE"/>
              </w:rPr>
              <w:t>​Director</w:t>
            </w:r>
          </w:p>
        </w:tc>
        <w:tc>
          <w:tcPr>
            <w:tcW w:w="640" w:type="dxa"/>
            <w:vAlign w:val="bottom"/>
            <w:shd w:val="clear" w:color="auto" w:fill="62259D"/>
          </w:tcPr>
          <w:p>
            <w:pPr>
              <w:ind w:left="580"/>
              <w:spacing w:after="0"/>
              <w:rPr>
                <w:sz w:val="20"/>
                <w:szCs w:val="20"/>
                <w:color w:val="auto"/>
              </w:rPr>
            </w:pPr>
            <w:r>
              <w:rPr>
                <w:rFonts w:ascii="Arial" w:cs="Arial" w:eastAsia="Arial" w:hAnsi="Arial"/>
                <w:sz w:val="16"/>
                <w:szCs w:val="16"/>
                <w:b w:val="1"/>
                <w:bCs w:val="1"/>
                <w:color w:val="FEFEFE"/>
              </w:rPr>
              <w:t>​</w:t>
            </w:r>
          </w:p>
        </w:tc>
        <w:tc>
          <w:tcPr>
            <w:tcW w:w="200" w:type="dxa"/>
            <w:vAlign w:val="bottom"/>
            <w:shd w:val="clear" w:color="auto" w:fill="62259D"/>
          </w:tcPr>
          <w:p>
            <w:pPr>
              <w:ind w:left="120"/>
              <w:spacing w:after="0"/>
              <w:rPr>
                <w:sz w:val="20"/>
                <w:szCs w:val="20"/>
                <w:color w:val="auto"/>
              </w:rPr>
            </w:pPr>
            <w:r>
              <w:rPr>
                <w:rFonts w:ascii="Arial" w:cs="Arial" w:eastAsia="Arial" w:hAnsi="Arial"/>
                <w:sz w:val="16"/>
                <w:szCs w:val="16"/>
                <w:b w:val="1"/>
                <w:bCs w:val="1"/>
                <w:color w:val="FEFEFE"/>
              </w:rPr>
              <w:t>​</w:t>
            </w:r>
          </w:p>
        </w:tc>
        <w:tc>
          <w:tcPr>
            <w:tcW w:w="2240" w:type="dxa"/>
            <w:vAlign w:val="bottom"/>
            <w:shd w:val="clear" w:color="auto" w:fill="62259D"/>
          </w:tcPr>
          <w:p>
            <w:pPr>
              <w:jc w:val="center"/>
              <w:ind w:left="488"/>
              <w:spacing w:after="0"/>
              <w:rPr>
                <w:sz w:val="20"/>
                <w:szCs w:val="20"/>
                <w:color w:val="auto"/>
              </w:rPr>
            </w:pPr>
            <w:r>
              <w:rPr>
                <w:rFonts w:ascii="Arial" w:cs="Arial" w:eastAsia="Arial" w:hAnsi="Arial"/>
                <w:sz w:val="16"/>
                <w:szCs w:val="16"/>
                <w:b w:val="1"/>
                <w:bCs w:val="1"/>
                <w:color w:val="FEFEFE"/>
              </w:rPr>
              <w:t>(#)</w:t>
            </w:r>
          </w:p>
        </w:tc>
        <w:tc>
          <w:tcPr>
            <w:tcW w:w="620" w:type="dxa"/>
            <w:vAlign w:val="bottom"/>
            <w:shd w:val="clear" w:color="auto" w:fill="62259D"/>
          </w:tcPr>
          <w:p>
            <w:pPr>
              <w:spacing w:after="0"/>
              <w:rPr>
                <w:sz w:val="20"/>
                <w:szCs w:val="20"/>
                <w:color w:val="auto"/>
              </w:rPr>
            </w:pPr>
          </w:p>
        </w:tc>
        <w:tc>
          <w:tcPr>
            <w:tcW w:w="30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  ​</w:t>
            </w:r>
          </w:p>
        </w:tc>
        <w:tc>
          <w:tcPr>
            <w:tcW w:w="1820" w:type="dxa"/>
            <w:vAlign w:val="bottom"/>
            <w:shd w:val="clear" w:color="auto" w:fill="62259D"/>
          </w:tcPr>
          <w:p>
            <w:pPr>
              <w:jc w:val="right"/>
              <w:ind w:right="708"/>
              <w:spacing w:after="0"/>
              <w:rPr>
                <w:sz w:val="20"/>
                <w:szCs w:val="20"/>
                <w:color w:val="auto"/>
              </w:rPr>
            </w:pPr>
            <w:r>
              <w:rPr>
                <w:rFonts w:ascii="Arial" w:cs="Arial" w:eastAsia="Arial" w:hAnsi="Arial"/>
                <w:sz w:val="16"/>
                <w:szCs w:val="16"/>
                <w:b w:val="1"/>
                <w:bCs w:val="1"/>
                <w:color w:val="FEFEFE"/>
              </w:rPr>
              <w:t>($)</w:t>
            </w:r>
          </w:p>
        </w:tc>
        <w:tc>
          <w:tcPr>
            <w:tcW w:w="440" w:type="dxa"/>
            <w:vAlign w:val="bottom"/>
            <w:shd w:val="clear" w:color="auto" w:fill="62259D"/>
          </w:tcPr>
          <w:p>
            <w:pPr>
              <w:ind w:left="240"/>
              <w:spacing w:after="0"/>
              <w:rPr>
                <w:sz w:val="20"/>
                <w:szCs w:val="20"/>
                <w:color w:val="auto"/>
              </w:rPr>
            </w:pPr>
            <w:r>
              <w:rPr>
                <w:rFonts w:ascii="Arial" w:cs="Arial" w:eastAsia="Arial" w:hAnsi="Arial"/>
                <w:sz w:val="16"/>
                <w:szCs w:val="16"/>
                <w:b w:val="1"/>
                <w:bCs w:val="1"/>
                <w:color w:val="FEFEFE"/>
              </w:rPr>
              <w:t>​</w:t>
            </w:r>
          </w:p>
        </w:tc>
      </w:tr>
      <w:tr>
        <w:trPr>
          <w:trHeight w:val="229"/>
        </w:trPr>
        <w:tc>
          <w:tcPr>
            <w:tcW w:w="2120" w:type="dxa"/>
            <w:vAlign w:val="bottom"/>
            <w:tcBorders>
              <w:bottom w:val="single" w:sz="8" w:color="E7417A"/>
            </w:tcBorders>
          </w:tcPr>
          <w:p>
            <w:pP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xml:space="preserve"> R. Stewart Ewing, Jr.</w:t>
            </w:r>
          </w:p>
        </w:tc>
        <w:tc>
          <w:tcPr>
            <w:tcW w:w="640" w:type="dxa"/>
            <w:vAlign w:val="bottom"/>
            <w:tcBorders>
              <w:bottom w:val="single" w:sz="8" w:color="E7417A"/>
            </w:tcBorders>
          </w:tcPr>
          <w:p>
            <w:pPr>
              <w:ind w:left="4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E7417A"/>
            </w:tcBorders>
          </w:tcPr>
          <w:p>
            <w:pPr>
              <w:jc w:val="center"/>
              <w:ind w:left="508"/>
              <w:spacing w:after="0" w:line="23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6"/>
                <w:szCs w:val="26"/>
                <w:color w:val="auto"/>
                <w:vertAlign w:val="subscript"/>
              </w:rPr>
              <w:t>​48,365</w:t>
            </w:r>
            <w:r>
              <w:rPr>
                <w:rFonts w:ascii="Arial" w:cs="Arial" w:eastAsia="Arial" w:hAnsi="Arial"/>
                <w:sz w:val="16"/>
                <w:szCs w:val="16"/>
                <w:color w:val="auto"/>
                <w:vertAlign w:val="superscript"/>
              </w:rPr>
              <w:t>(a)</w:t>
            </w:r>
          </w:p>
        </w:tc>
        <w:tc>
          <w:tcPr>
            <w:tcW w:w="620" w:type="dxa"/>
            <w:vAlign w:val="bottom"/>
            <w:tcBorders>
              <w:bottom w:val="single" w:sz="8" w:color="E7417A"/>
            </w:tcBorders>
          </w:tcPr>
          <w:p>
            <w:pPr>
              <w:ind w:left="46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E7417A"/>
            </w:tcBorders>
          </w:tcPr>
          <w:p>
            <w:pPr>
              <w:jc w:val="cente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​145,000</w:t>
            </w:r>
          </w:p>
        </w:tc>
        <w:tc>
          <w:tcPr>
            <w:tcW w:w="44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r>
      <w:tr>
        <w:trPr>
          <w:trHeight w:val="223"/>
        </w:trPr>
        <w:tc>
          <w:tcPr>
            <w:tcW w:w="2120" w:type="dxa"/>
            <w:vAlign w:val="bottom"/>
            <w:tcBorders>
              <w:bottom w:val="single" w:sz="8" w:color="E7417A"/>
            </w:tcBorders>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 Bruns H. Grayson</w:t>
            </w:r>
          </w:p>
        </w:tc>
        <w:tc>
          <w:tcPr>
            <w:tcW w:w="640" w:type="dxa"/>
            <w:vAlign w:val="bottom"/>
            <w:tcBorders>
              <w:bottom w:val="single" w:sz="8" w:color="E7417A"/>
            </w:tcBorders>
          </w:tcPr>
          <w:p>
            <w:pPr>
              <w:ind w:left="4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E7417A"/>
            </w:tcBorders>
          </w:tcPr>
          <w:p>
            <w:pPr>
              <w:jc w:val="center"/>
              <w:ind w:left="508"/>
              <w:spacing w:after="0" w:line="22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bscript"/>
              </w:rPr>
              <w:t>​48,365</w:t>
            </w:r>
            <w:r>
              <w:rPr>
                <w:rFonts w:ascii="Arial" w:cs="Arial" w:eastAsia="Arial" w:hAnsi="Arial"/>
                <w:sz w:val="16"/>
                <w:szCs w:val="16"/>
                <w:color w:val="auto"/>
                <w:vertAlign w:val="superscript"/>
              </w:rPr>
              <w:t>(a)</w:t>
            </w:r>
          </w:p>
        </w:tc>
        <w:tc>
          <w:tcPr>
            <w:tcW w:w="620" w:type="dxa"/>
            <w:vAlign w:val="bottom"/>
            <w:tcBorders>
              <w:bottom w:val="single" w:sz="8" w:color="E7417A"/>
            </w:tcBorders>
          </w:tcPr>
          <w:p>
            <w:pPr>
              <w:ind w:left="46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E7417A"/>
            </w:tcBorders>
          </w:tcPr>
          <w:p>
            <w:pPr>
              <w:jc w:val="cente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​145,000</w:t>
            </w:r>
          </w:p>
        </w:tc>
        <w:tc>
          <w:tcPr>
            <w:tcW w:w="44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r>
      <w:tr>
        <w:trPr>
          <w:trHeight w:val="223"/>
        </w:trPr>
        <w:tc>
          <w:tcPr>
            <w:tcW w:w="2120" w:type="dxa"/>
            <w:vAlign w:val="bottom"/>
            <w:tcBorders>
              <w:bottom w:val="single" w:sz="8" w:color="E7417A"/>
            </w:tcBorders>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 Beatriz V. Infante</w:t>
            </w:r>
          </w:p>
        </w:tc>
        <w:tc>
          <w:tcPr>
            <w:tcW w:w="640" w:type="dxa"/>
            <w:vAlign w:val="bottom"/>
            <w:tcBorders>
              <w:bottom w:val="single" w:sz="8" w:color="E7417A"/>
            </w:tcBorders>
          </w:tcPr>
          <w:p>
            <w:pPr>
              <w:ind w:left="4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E7417A"/>
            </w:tcBorders>
          </w:tcPr>
          <w:p>
            <w:pPr>
              <w:jc w:val="center"/>
              <w:ind w:left="508"/>
              <w:spacing w:after="0" w:line="22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bscript"/>
              </w:rPr>
              <w:t>​48,365</w:t>
            </w:r>
            <w:r>
              <w:rPr>
                <w:rFonts w:ascii="Arial" w:cs="Arial" w:eastAsia="Arial" w:hAnsi="Arial"/>
                <w:sz w:val="16"/>
                <w:szCs w:val="16"/>
                <w:color w:val="auto"/>
                <w:vertAlign w:val="superscript"/>
              </w:rPr>
              <w:t>(a)</w:t>
            </w:r>
          </w:p>
        </w:tc>
        <w:tc>
          <w:tcPr>
            <w:tcW w:w="620" w:type="dxa"/>
            <w:vAlign w:val="bottom"/>
            <w:tcBorders>
              <w:bottom w:val="single" w:sz="8" w:color="E7417A"/>
            </w:tcBorders>
          </w:tcPr>
          <w:p>
            <w:pPr>
              <w:ind w:left="46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E7417A"/>
            </w:tcBorders>
          </w:tcPr>
          <w:p>
            <w:pPr>
              <w:jc w:val="cente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​145,000</w:t>
            </w:r>
          </w:p>
        </w:tc>
        <w:tc>
          <w:tcPr>
            <w:tcW w:w="44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r>
      <w:tr>
        <w:trPr>
          <w:trHeight w:val="223"/>
        </w:trPr>
        <w:tc>
          <w:tcPr>
            <w:tcW w:w="2120" w:type="dxa"/>
            <w:vAlign w:val="bottom"/>
            <w:tcBorders>
              <w:bottom w:val="single" w:sz="8" w:color="E7417A"/>
            </w:tcBorders>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 Scott Mair</w:t>
            </w:r>
          </w:p>
        </w:tc>
        <w:tc>
          <w:tcPr>
            <w:tcW w:w="640" w:type="dxa"/>
            <w:vAlign w:val="bottom"/>
            <w:tcBorders>
              <w:bottom w:val="single" w:sz="8" w:color="E7417A"/>
            </w:tcBorders>
          </w:tcPr>
          <w:p>
            <w:pPr>
              <w:ind w:left="4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E7417A"/>
            </w:tcBorders>
          </w:tcPr>
          <w:p>
            <w:pPr>
              <w:jc w:val="center"/>
              <w:ind w:left="508"/>
              <w:spacing w:after="0" w:line="22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bscript"/>
              </w:rPr>
              <w:t>​48,365</w:t>
            </w:r>
            <w:r>
              <w:rPr>
                <w:rFonts w:ascii="Arial" w:cs="Arial" w:eastAsia="Arial" w:hAnsi="Arial"/>
                <w:sz w:val="16"/>
                <w:szCs w:val="16"/>
                <w:color w:val="auto"/>
                <w:vertAlign w:val="superscript"/>
              </w:rPr>
              <w:t>(a)</w:t>
            </w:r>
          </w:p>
        </w:tc>
        <w:tc>
          <w:tcPr>
            <w:tcW w:w="620" w:type="dxa"/>
            <w:vAlign w:val="bottom"/>
            <w:tcBorders>
              <w:bottom w:val="single" w:sz="8" w:color="E7417A"/>
            </w:tcBorders>
          </w:tcPr>
          <w:p>
            <w:pPr>
              <w:ind w:left="46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E7417A"/>
            </w:tcBorders>
          </w:tcPr>
          <w:p>
            <w:pPr>
              <w:jc w:val="cente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​145,000</w:t>
            </w:r>
          </w:p>
        </w:tc>
        <w:tc>
          <w:tcPr>
            <w:tcW w:w="44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r>
      <w:tr>
        <w:trPr>
          <w:trHeight w:val="223"/>
        </w:trPr>
        <w:tc>
          <w:tcPr>
            <w:tcW w:w="2120" w:type="dxa"/>
            <w:vAlign w:val="bottom"/>
            <w:tcBorders>
              <w:bottom w:val="single" w:sz="8" w:color="E7417A"/>
            </w:tcBorders>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 Shaul Shani</w:t>
            </w:r>
          </w:p>
        </w:tc>
        <w:tc>
          <w:tcPr>
            <w:tcW w:w="640" w:type="dxa"/>
            <w:vAlign w:val="bottom"/>
            <w:tcBorders>
              <w:bottom w:val="single" w:sz="8" w:color="E7417A"/>
            </w:tcBorders>
          </w:tcPr>
          <w:p>
            <w:pPr>
              <w:ind w:left="4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E7417A"/>
            </w:tcBorders>
          </w:tcPr>
          <w:p>
            <w:pPr>
              <w:jc w:val="center"/>
              <w:ind w:left="508"/>
              <w:spacing w:after="0" w:line="22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bscript"/>
              </w:rPr>
              <w:t>​48,365</w:t>
            </w:r>
            <w:r>
              <w:rPr>
                <w:rFonts w:ascii="Arial" w:cs="Arial" w:eastAsia="Arial" w:hAnsi="Arial"/>
                <w:sz w:val="16"/>
                <w:szCs w:val="16"/>
                <w:color w:val="auto"/>
                <w:vertAlign w:val="superscript"/>
              </w:rPr>
              <w:t>(a)</w:t>
            </w:r>
          </w:p>
        </w:tc>
        <w:tc>
          <w:tcPr>
            <w:tcW w:w="620" w:type="dxa"/>
            <w:vAlign w:val="bottom"/>
            <w:tcBorders>
              <w:bottom w:val="single" w:sz="8" w:color="E7417A"/>
            </w:tcBorders>
          </w:tcPr>
          <w:p>
            <w:pPr>
              <w:ind w:left="46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E7417A"/>
            </w:tcBorders>
          </w:tcPr>
          <w:p>
            <w:pPr>
              <w:jc w:val="cente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​145,000</w:t>
            </w:r>
          </w:p>
        </w:tc>
        <w:tc>
          <w:tcPr>
            <w:tcW w:w="44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r>
      <w:tr>
        <w:trPr>
          <w:trHeight w:val="223"/>
        </w:trPr>
        <w:tc>
          <w:tcPr>
            <w:tcW w:w="2120" w:type="dxa"/>
            <w:vAlign w:val="bottom"/>
            <w:tcBorders>
              <w:bottom w:val="single" w:sz="8" w:color="62259D"/>
            </w:tcBorders>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 Tanya Tamone</w:t>
            </w:r>
          </w:p>
        </w:tc>
        <w:tc>
          <w:tcPr>
            <w:tcW w:w="640" w:type="dxa"/>
            <w:vAlign w:val="bottom"/>
            <w:tcBorders>
              <w:bottom w:val="single" w:sz="8" w:color="62259D"/>
            </w:tcBorders>
          </w:tcPr>
          <w:p>
            <w:pPr>
              <w:ind w:left="4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62259D"/>
            </w:tcBorders>
          </w:tcPr>
          <w:p>
            <w:pPr>
              <w:ind w:left="20"/>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62259D"/>
            </w:tcBorders>
          </w:tcPr>
          <w:p>
            <w:pPr>
              <w:jc w:val="center"/>
              <w:ind w:left="508"/>
              <w:spacing w:after="0" w:line="22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bscript"/>
              </w:rPr>
              <w:t>​48,365</w:t>
            </w:r>
            <w:r>
              <w:rPr>
                <w:rFonts w:ascii="Arial" w:cs="Arial" w:eastAsia="Arial" w:hAnsi="Arial"/>
                <w:sz w:val="16"/>
                <w:szCs w:val="16"/>
                <w:color w:val="auto"/>
                <w:vertAlign w:val="superscript"/>
              </w:rPr>
              <w:t>(a)</w:t>
            </w:r>
          </w:p>
        </w:tc>
        <w:tc>
          <w:tcPr>
            <w:tcW w:w="620" w:type="dxa"/>
            <w:vAlign w:val="bottom"/>
            <w:tcBorders>
              <w:bottom w:val="single" w:sz="8" w:color="62259D"/>
            </w:tcBorders>
          </w:tcPr>
          <w:p>
            <w:pPr>
              <w:ind w:left="46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62259D"/>
            </w:tcBorders>
          </w:tcPr>
          <w:p>
            <w:pPr>
              <w:jc w:val="center"/>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62259D"/>
            </w:tcBorders>
          </w:tcPr>
          <w:p>
            <w:pPr>
              <w:jc w:val="cente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​145,000</w:t>
            </w:r>
          </w:p>
        </w:tc>
        <w:tc>
          <w:tcPr>
            <w:tcW w:w="440" w:type="dxa"/>
            <w:vAlign w:val="bottom"/>
            <w:tcBorders>
              <w:bottom w:val="single" w:sz="8" w:color="62259D"/>
            </w:tcBorders>
          </w:tcPr>
          <w:p>
            <w:pPr>
              <w:spacing w:after="0"/>
              <w:rPr>
                <w:sz w:val="20"/>
                <w:szCs w:val="20"/>
                <w:color w:val="auto"/>
              </w:rPr>
            </w:pPr>
            <w:r>
              <w:rPr>
                <w:rFonts w:ascii="Arial" w:cs="Arial" w:eastAsia="Arial" w:hAnsi="Arial"/>
                <w:sz w:val="16"/>
                <w:szCs w:val="16"/>
                <w:color w:val="auto"/>
              </w:rPr>
              <w:t>​​</w:t>
            </w:r>
          </w:p>
        </w:tc>
      </w:tr>
    </w:tbl>
    <w:p>
      <w:pPr>
        <w:spacing w:after="0" w:line="215" w:lineRule="exact"/>
        <w:rPr>
          <w:sz w:val="20"/>
          <w:szCs w:val="20"/>
          <w:color w:val="auto"/>
        </w:rPr>
      </w:pPr>
    </w:p>
    <w:p>
      <w:pPr>
        <w:jc w:val="center"/>
        <w:ind w:right="159"/>
        <w:spacing w:after="0"/>
        <w:tabs>
          <w:tab w:leader="none" w:pos="140" w:val="left"/>
        </w:tabs>
        <w:rPr>
          <w:sz w:val="20"/>
          <w:szCs w:val="20"/>
          <w:color w:val="auto"/>
        </w:rPr>
      </w:pPr>
      <w:r>
        <w:rPr>
          <w:rFonts w:ascii="Arial" w:cs="Arial" w:eastAsia="Arial" w:hAnsi="Arial"/>
          <w:sz w:val="16"/>
          <w:szCs w:val="16"/>
          <w:color w:val="auto"/>
        </w:rPr>
        <w:t>(a)</w:t>
        <w:tab/>
        <w:t>Annual director RSU award granted on June 17, 2024 and will vest on June 17, 2025.</w:t>
      </w:r>
    </w:p>
    <w:p>
      <w:pPr>
        <w:spacing w:after="0" w:line="100" w:lineRule="exact"/>
        <w:rPr>
          <w:sz w:val="20"/>
          <w:szCs w:val="20"/>
          <w:color w:val="auto"/>
        </w:rPr>
      </w:pPr>
    </w:p>
    <w:p>
      <w:pPr>
        <w:ind w:left="1400" w:right="719"/>
        <w:spacing w:after="0" w:line="286" w:lineRule="auto"/>
        <w:rPr>
          <w:sz w:val="20"/>
          <w:szCs w:val="20"/>
          <w:color w:val="auto"/>
        </w:rPr>
      </w:pPr>
      <w:r>
        <w:rPr>
          <w:rFonts w:ascii="Arial" w:cs="Arial" w:eastAsia="Arial" w:hAnsi="Arial"/>
          <w:sz w:val="16"/>
          <w:szCs w:val="16"/>
          <w:color w:val="auto"/>
        </w:rPr>
        <w:t>As of December 31, 2024, our non-employee directors held an aggregate of 290,190 unvested restricted stock units as follows:</w:t>
      </w:r>
    </w:p>
    <w:p>
      <w:pPr>
        <w:spacing w:after="0" w:line="129" w:lineRule="exact"/>
        <w:rPr>
          <w:sz w:val="20"/>
          <w:szCs w:val="20"/>
          <w:color w:val="auto"/>
        </w:rPr>
      </w:pPr>
    </w:p>
    <w:tbl>
      <w:tblPr>
        <w:tblLayout w:type="fixed"/>
        <w:tblInd w:w="1400" w:type="dxa"/>
        <w:tblCellMar>
          <w:top w:w="0" w:type="dxa"/>
          <w:left w:w="0" w:type="dxa"/>
          <w:bottom w:w="0" w:type="dxa"/>
          <w:right w:w="0" w:type="dxa"/>
        </w:tblCellMar>
      </w:tblPr>
      <w:tr>
        <w:trPr>
          <w:trHeight w:val="215"/>
        </w:trPr>
        <w:tc>
          <w:tcPr>
            <w:tcW w:w="3400" w:type="dxa"/>
            <w:vAlign w:val="bottom"/>
            <w:shd w:val="clear" w:color="auto" w:fill="62259D"/>
          </w:tcPr>
          <w:p>
            <w:pPr>
              <w:spacing w:after="0"/>
              <w:rPr>
                <w:sz w:val="18"/>
                <w:szCs w:val="18"/>
                <w:color w:val="auto"/>
              </w:rPr>
            </w:pPr>
          </w:p>
        </w:tc>
        <w:tc>
          <w:tcPr>
            <w:tcW w:w="1940" w:type="dxa"/>
            <w:vAlign w:val="bottom"/>
            <w:shd w:val="clear" w:color="auto" w:fill="62259D"/>
          </w:tcPr>
          <w:p>
            <w:pPr>
              <w:spacing w:after="0"/>
              <w:rPr>
                <w:sz w:val="18"/>
                <w:szCs w:val="18"/>
                <w:color w:val="auto"/>
              </w:rPr>
            </w:pPr>
          </w:p>
        </w:tc>
        <w:tc>
          <w:tcPr>
            <w:tcW w:w="2380" w:type="dxa"/>
            <w:vAlign w:val="bottom"/>
            <w:gridSpan w:val="2"/>
            <w:shd w:val="clear" w:color="auto" w:fill="62259D"/>
          </w:tcPr>
          <w:p>
            <w:pPr>
              <w:jc w:val="right"/>
              <w:ind w:right="79"/>
              <w:spacing w:after="0"/>
              <w:rPr>
                <w:sz w:val="20"/>
                <w:szCs w:val="20"/>
                <w:color w:val="auto"/>
              </w:rPr>
            </w:pPr>
            <w:r>
              <w:rPr>
                <w:rFonts w:ascii="Arial" w:cs="Arial" w:eastAsia="Arial" w:hAnsi="Arial"/>
                <w:sz w:val="16"/>
                <w:szCs w:val="16"/>
                <w:b w:val="1"/>
                <w:bCs w:val="1"/>
                <w:color w:val="FEFEFE"/>
              </w:rPr>
              <w:t>No. of Unvested RSUs</w:t>
            </w:r>
          </w:p>
        </w:tc>
        <w:tc>
          <w:tcPr>
            <w:tcW w:w="660" w:type="dxa"/>
            <w:vAlign w:val="bottom"/>
            <w:shd w:val="clear" w:color="auto" w:fill="62259D"/>
          </w:tcPr>
          <w:p>
            <w:pPr>
              <w:spacing w:after="0"/>
              <w:rPr>
                <w:sz w:val="18"/>
                <w:szCs w:val="18"/>
                <w:color w:val="auto"/>
              </w:rPr>
            </w:pPr>
          </w:p>
        </w:tc>
      </w:tr>
      <w:tr>
        <w:trPr>
          <w:trHeight w:val="189"/>
        </w:trPr>
        <w:tc>
          <w:tcPr>
            <w:tcW w:w="3400" w:type="dxa"/>
            <w:vAlign w:val="bottom"/>
            <w:shd w:val="clear" w:color="auto" w:fill="62259D"/>
          </w:tcPr>
          <w:p>
            <w:pPr>
              <w:spacing w:after="0"/>
              <w:rPr>
                <w:sz w:val="16"/>
                <w:szCs w:val="16"/>
                <w:color w:val="auto"/>
              </w:rPr>
            </w:pPr>
          </w:p>
        </w:tc>
        <w:tc>
          <w:tcPr>
            <w:tcW w:w="1940" w:type="dxa"/>
            <w:vAlign w:val="bottom"/>
            <w:shd w:val="clear" w:color="auto" w:fill="62259D"/>
          </w:tcPr>
          <w:p>
            <w:pPr>
              <w:spacing w:after="0"/>
              <w:rPr>
                <w:sz w:val="16"/>
                <w:szCs w:val="16"/>
                <w:color w:val="auto"/>
              </w:rPr>
            </w:pPr>
          </w:p>
        </w:tc>
        <w:tc>
          <w:tcPr>
            <w:tcW w:w="3040" w:type="dxa"/>
            <w:vAlign w:val="bottom"/>
            <w:gridSpan w:val="3"/>
            <w:shd w:val="clear" w:color="auto" w:fill="62259D"/>
          </w:tcPr>
          <w:p>
            <w:pPr>
              <w:jc w:val="right"/>
              <w:ind w:right="419"/>
              <w:spacing w:after="0"/>
              <w:rPr>
                <w:sz w:val="20"/>
                <w:szCs w:val="20"/>
                <w:color w:val="auto"/>
              </w:rPr>
            </w:pPr>
            <w:r>
              <w:rPr>
                <w:rFonts w:ascii="Arial" w:cs="Arial" w:eastAsia="Arial" w:hAnsi="Arial"/>
                <w:sz w:val="16"/>
                <w:szCs w:val="16"/>
                <w:b w:val="1"/>
                <w:bCs w:val="1"/>
                <w:color w:val="FEFEFE"/>
              </w:rPr>
              <w:t>Held as of December 31, 2024</w:t>
            </w:r>
          </w:p>
        </w:tc>
      </w:tr>
      <w:tr>
        <w:trPr>
          <w:trHeight w:val="230"/>
        </w:trPr>
        <w:tc>
          <w:tcPr>
            <w:tcW w:w="3400" w:type="dxa"/>
            <w:vAlign w:val="bottom"/>
            <w:shd w:val="clear" w:color="auto" w:fill="62259D"/>
          </w:tcPr>
          <w:p>
            <w:pPr>
              <w:spacing w:after="0"/>
              <w:rPr>
                <w:sz w:val="20"/>
                <w:szCs w:val="20"/>
                <w:color w:val="auto"/>
              </w:rPr>
            </w:pPr>
            <w:r>
              <w:rPr>
                <w:rFonts w:ascii="Arial" w:cs="Arial" w:eastAsia="Arial" w:hAnsi="Arial"/>
                <w:sz w:val="16"/>
                <w:szCs w:val="16"/>
                <w:b w:val="1"/>
                <w:bCs w:val="1"/>
                <w:color w:val="FEFEFE"/>
              </w:rPr>
              <w:t>​ Director</w:t>
            </w:r>
          </w:p>
        </w:tc>
        <w:tc>
          <w:tcPr>
            <w:tcW w:w="1940" w:type="dxa"/>
            <w:vAlign w:val="bottom"/>
            <w:shd w:val="clear" w:color="auto" w:fill="62259D"/>
          </w:tcPr>
          <w:p>
            <w:pPr>
              <w:ind w:left="1760"/>
              <w:spacing w:after="0"/>
              <w:rPr>
                <w:sz w:val="20"/>
                <w:szCs w:val="20"/>
                <w:color w:val="auto"/>
              </w:rPr>
            </w:pPr>
            <w:r>
              <w:rPr>
                <w:rFonts w:ascii="Arial" w:cs="Arial" w:eastAsia="Arial" w:hAnsi="Arial"/>
                <w:sz w:val="16"/>
                <w:szCs w:val="16"/>
                <w:b w:val="1"/>
                <w:bCs w:val="1"/>
                <w:color w:val="FEFEFE"/>
              </w:rPr>
              <w:t>​ ​</w:t>
            </w:r>
          </w:p>
        </w:tc>
        <w:tc>
          <w:tcPr>
            <w:tcW w:w="1160" w:type="dxa"/>
            <w:vAlign w:val="bottom"/>
            <w:shd w:val="clear" w:color="auto" w:fill="62259D"/>
          </w:tcPr>
          <w:p>
            <w:pPr>
              <w:spacing w:after="0"/>
              <w:rPr>
                <w:sz w:val="20"/>
                <w:szCs w:val="20"/>
                <w:color w:val="auto"/>
              </w:rPr>
            </w:pPr>
          </w:p>
        </w:tc>
        <w:tc>
          <w:tcPr>
            <w:tcW w:w="1220" w:type="dxa"/>
            <w:vAlign w:val="bottom"/>
            <w:shd w:val="clear" w:color="auto" w:fill="62259D"/>
          </w:tcPr>
          <w:p>
            <w:pPr>
              <w:jc w:val="right"/>
              <w:ind w:right="879"/>
              <w:spacing w:after="0"/>
              <w:rPr>
                <w:sz w:val="20"/>
                <w:szCs w:val="20"/>
                <w:color w:val="auto"/>
              </w:rPr>
            </w:pPr>
            <w:r>
              <w:rPr>
                <w:rFonts w:ascii="Arial" w:cs="Arial" w:eastAsia="Arial" w:hAnsi="Arial"/>
                <w:sz w:val="16"/>
                <w:szCs w:val="16"/>
                <w:b w:val="1"/>
                <w:bCs w:val="1"/>
                <w:color w:val="FEFEFE"/>
              </w:rPr>
              <w:t>(#)</w:t>
            </w:r>
          </w:p>
        </w:tc>
        <w:tc>
          <w:tcPr>
            <w:tcW w:w="660" w:type="dxa"/>
            <w:vAlign w:val="bottom"/>
            <w:shd w:val="clear" w:color="auto" w:fill="62259D"/>
          </w:tcPr>
          <w:p>
            <w:pPr>
              <w:jc w:val="right"/>
              <w:ind w:right="319"/>
              <w:spacing w:after="0"/>
              <w:rPr>
                <w:sz w:val="20"/>
                <w:szCs w:val="20"/>
                <w:color w:val="auto"/>
              </w:rPr>
            </w:pPr>
            <w:r>
              <w:rPr>
                <w:rFonts w:ascii="Arial" w:cs="Arial" w:eastAsia="Arial" w:hAnsi="Arial"/>
                <w:sz w:val="16"/>
                <w:szCs w:val="16"/>
                <w:b w:val="1"/>
                <w:bCs w:val="1"/>
                <w:color w:val="FEFEFE"/>
              </w:rPr>
              <w:t>​</w:t>
            </w:r>
          </w:p>
        </w:tc>
      </w:tr>
      <w:tr>
        <w:trPr>
          <w:trHeight w:val="230"/>
        </w:trPr>
        <w:tc>
          <w:tcPr>
            <w:tcW w:w="34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R. Stewart Ewing, Jr.</w:t>
            </w:r>
          </w:p>
        </w:tc>
        <w:tc>
          <w:tcPr>
            <w:tcW w:w="1940" w:type="dxa"/>
            <w:vAlign w:val="bottom"/>
            <w:tcBorders>
              <w:bottom w:val="single" w:sz="8" w:color="E7417A"/>
            </w:tcBorders>
          </w:tcPr>
          <w:p>
            <w:pPr>
              <w:ind w:left="1760"/>
              <w:spacing w:after="0"/>
              <w:rPr>
                <w:sz w:val="20"/>
                <w:szCs w:val="20"/>
                <w:color w:val="auto"/>
              </w:rPr>
            </w:pPr>
            <w:r>
              <w:rPr>
                <w:rFonts w:ascii="Arial" w:cs="Arial" w:eastAsia="Arial" w:hAnsi="Arial"/>
                <w:sz w:val="16"/>
                <w:szCs w:val="16"/>
                <w:color w:val="auto"/>
              </w:rPr>
              <w:t>​ ​</w:t>
            </w:r>
          </w:p>
        </w:tc>
        <w:tc>
          <w:tcPr>
            <w:tcW w:w="2380" w:type="dxa"/>
            <w:vAlign w:val="bottom"/>
            <w:tcBorders>
              <w:bottom w:val="single" w:sz="8" w:color="E7417A"/>
            </w:tcBorders>
            <w:gridSpan w:val="2"/>
          </w:tcPr>
          <w:p>
            <w:pPr>
              <w:jc w:val="right"/>
              <w:ind w:right="719"/>
              <w:spacing w:after="0"/>
              <w:rPr>
                <w:sz w:val="20"/>
                <w:szCs w:val="20"/>
                <w:color w:val="auto"/>
              </w:rPr>
            </w:pPr>
            <w:r>
              <w:rPr>
                <w:rFonts w:ascii="Arial" w:cs="Arial" w:eastAsia="Arial" w:hAnsi="Arial"/>
                <w:sz w:val="16"/>
                <w:szCs w:val="16"/>
                <w:color w:val="auto"/>
              </w:rPr>
              <w:t>​​48,365</w:t>
            </w:r>
          </w:p>
        </w:tc>
        <w:tc>
          <w:tcPr>
            <w:tcW w:w="660" w:type="dxa"/>
            <w:vAlign w:val="bottom"/>
            <w:tcBorders>
              <w:bottom w:val="single" w:sz="8" w:color="E7417A"/>
            </w:tcBorders>
          </w:tcPr>
          <w:p>
            <w:pPr>
              <w:jc w:val="right"/>
              <w:ind w:right="319"/>
              <w:spacing w:after="0"/>
              <w:rPr>
                <w:sz w:val="20"/>
                <w:szCs w:val="20"/>
                <w:color w:val="auto"/>
              </w:rPr>
            </w:pPr>
            <w:r>
              <w:rPr>
                <w:rFonts w:ascii="Arial" w:cs="Arial" w:eastAsia="Arial" w:hAnsi="Arial"/>
                <w:sz w:val="16"/>
                <w:szCs w:val="16"/>
                <w:color w:val="auto"/>
              </w:rPr>
              <w:t>​ ​</w:t>
            </w:r>
          </w:p>
        </w:tc>
      </w:tr>
      <w:tr>
        <w:trPr>
          <w:trHeight w:val="223"/>
        </w:trPr>
        <w:tc>
          <w:tcPr>
            <w:tcW w:w="34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Bruns H. Grayson</w:t>
            </w:r>
          </w:p>
        </w:tc>
        <w:tc>
          <w:tcPr>
            <w:tcW w:w="1940" w:type="dxa"/>
            <w:vAlign w:val="bottom"/>
            <w:tcBorders>
              <w:bottom w:val="single" w:sz="8" w:color="E7417A"/>
            </w:tcBorders>
          </w:tcPr>
          <w:p>
            <w:pPr>
              <w:ind w:left="1760"/>
              <w:spacing w:after="0"/>
              <w:rPr>
                <w:sz w:val="20"/>
                <w:szCs w:val="20"/>
                <w:color w:val="auto"/>
              </w:rPr>
            </w:pPr>
            <w:r>
              <w:rPr>
                <w:rFonts w:ascii="Arial" w:cs="Arial" w:eastAsia="Arial" w:hAnsi="Arial"/>
                <w:sz w:val="16"/>
                <w:szCs w:val="16"/>
                <w:color w:val="auto"/>
              </w:rPr>
              <w:t>​ ​</w:t>
            </w:r>
          </w:p>
        </w:tc>
        <w:tc>
          <w:tcPr>
            <w:tcW w:w="2380" w:type="dxa"/>
            <w:vAlign w:val="bottom"/>
            <w:tcBorders>
              <w:bottom w:val="single" w:sz="8" w:color="E7417A"/>
            </w:tcBorders>
            <w:gridSpan w:val="2"/>
          </w:tcPr>
          <w:p>
            <w:pPr>
              <w:jc w:val="right"/>
              <w:ind w:right="719"/>
              <w:spacing w:after="0"/>
              <w:rPr>
                <w:sz w:val="20"/>
                <w:szCs w:val="20"/>
                <w:color w:val="auto"/>
              </w:rPr>
            </w:pPr>
            <w:r>
              <w:rPr>
                <w:rFonts w:ascii="Arial" w:cs="Arial" w:eastAsia="Arial" w:hAnsi="Arial"/>
                <w:sz w:val="16"/>
                <w:szCs w:val="16"/>
                <w:color w:val="auto"/>
              </w:rPr>
              <w:t>​​48,365</w:t>
            </w:r>
          </w:p>
        </w:tc>
        <w:tc>
          <w:tcPr>
            <w:tcW w:w="660" w:type="dxa"/>
            <w:vAlign w:val="bottom"/>
            <w:tcBorders>
              <w:bottom w:val="single" w:sz="8" w:color="E7417A"/>
            </w:tcBorders>
          </w:tcPr>
          <w:p>
            <w:pPr>
              <w:jc w:val="right"/>
              <w:ind w:right="319"/>
              <w:spacing w:after="0"/>
              <w:rPr>
                <w:sz w:val="20"/>
                <w:szCs w:val="20"/>
                <w:color w:val="auto"/>
              </w:rPr>
            </w:pPr>
            <w:r>
              <w:rPr>
                <w:rFonts w:ascii="Arial" w:cs="Arial" w:eastAsia="Arial" w:hAnsi="Arial"/>
                <w:sz w:val="16"/>
                <w:szCs w:val="16"/>
                <w:color w:val="auto"/>
              </w:rPr>
              <w:t>​ ​</w:t>
            </w:r>
          </w:p>
        </w:tc>
      </w:tr>
      <w:tr>
        <w:trPr>
          <w:trHeight w:val="223"/>
        </w:trPr>
        <w:tc>
          <w:tcPr>
            <w:tcW w:w="34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Beatriz V. Infante</w:t>
            </w:r>
          </w:p>
        </w:tc>
        <w:tc>
          <w:tcPr>
            <w:tcW w:w="1940" w:type="dxa"/>
            <w:vAlign w:val="bottom"/>
            <w:tcBorders>
              <w:bottom w:val="single" w:sz="8" w:color="E7417A"/>
            </w:tcBorders>
          </w:tcPr>
          <w:p>
            <w:pPr>
              <w:ind w:left="1760"/>
              <w:spacing w:after="0"/>
              <w:rPr>
                <w:sz w:val="20"/>
                <w:szCs w:val="20"/>
                <w:color w:val="auto"/>
              </w:rPr>
            </w:pPr>
            <w:r>
              <w:rPr>
                <w:rFonts w:ascii="Arial" w:cs="Arial" w:eastAsia="Arial" w:hAnsi="Arial"/>
                <w:sz w:val="16"/>
                <w:szCs w:val="16"/>
                <w:color w:val="auto"/>
              </w:rPr>
              <w:t>​ ​</w:t>
            </w:r>
          </w:p>
        </w:tc>
        <w:tc>
          <w:tcPr>
            <w:tcW w:w="2380" w:type="dxa"/>
            <w:vAlign w:val="bottom"/>
            <w:tcBorders>
              <w:bottom w:val="single" w:sz="8" w:color="E7417A"/>
            </w:tcBorders>
            <w:gridSpan w:val="2"/>
          </w:tcPr>
          <w:p>
            <w:pPr>
              <w:jc w:val="right"/>
              <w:ind w:right="719"/>
              <w:spacing w:after="0"/>
              <w:rPr>
                <w:sz w:val="20"/>
                <w:szCs w:val="20"/>
                <w:color w:val="auto"/>
              </w:rPr>
            </w:pPr>
            <w:r>
              <w:rPr>
                <w:rFonts w:ascii="Arial" w:cs="Arial" w:eastAsia="Arial" w:hAnsi="Arial"/>
                <w:sz w:val="16"/>
                <w:szCs w:val="16"/>
                <w:color w:val="auto"/>
              </w:rPr>
              <w:t>​​48,365</w:t>
            </w:r>
          </w:p>
        </w:tc>
        <w:tc>
          <w:tcPr>
            <w:tcW w:w="660" w:type="dxa"/>
            <w:vAlign w:val="bottom"/>
            <w:tcBorders>
              <w:bottom w:val="single" w:sz="8" w:color="E7417A"/>
            </w:tcBorders>
          </w:tcPr>
          <w:p>
            <w:pPr>
              <w:jc w:val="right"/>
              <w:ind w:right="319"/>
              <w:spacing w:after="0"/>
              <w:rPr>
                <w:sz w:val="20"/>
                <w:szCs w:val="20"/>
                <w:color w:val="auto"/>
              </w:rPr>
            </w:pPr>
            <w:r>
              <w:rPr>
                <w:rFonts w:ascii="Arial" w:cs="Arial" w:eastAsia="Arial" w:hAnsi="Arial"/>
                <w:sz w:val="16"/>
                <w:szCs w:val="16"/>
                <w:color w:val="auto"/>
              </w:rPr>
              <w:t>​ ​</w:t>
            </w:r>
          </w:p>
        </w:tc>
      </w:tr>
      <w:tr>
        <w:trPr>
          <w:trHeight w:val="223"/>
        </w:trPr>
        <w:tc>
          <w:tcPr>
            <w:tcW w:w="34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Scott Mair</w:t>
            </w:r>
          </w:p>
        </w:tc>
        <w:tc>
          <w:tcPr>
            <w:tcW w:w="1940" w:type="dxa"/>
            <w:vAlign w:val="bottom"/>
            <w:tcBorders>
              <w:bottom w:val="single" w:sz="8" w:color="E7417A"/>
            </w:tcBorders>
          </w:tcPr>
          <w:p>
            <w:pPr>
              <w:ind w:left="1760"/>
              <w:spacing w:after="0"/>
              <w:rPr>
                <w:sz w:val="20"/>
                <w:szCs w:val="20"/>
                <w:color w:val="auto"/>
              </w:rPr>
            </w:pPr>
            <w:r>
              <w:rPr>
                <w:rFonts w:ascii="Arial" w:cs="Arial" w:eastAsia="Arial" w:hAnsi="Arial"/>
                <w:sz w:val="16"/>
                <w:szCs w:val="16"/>
                <w:color w:val="auto"/>
              </w:rPr>
              <w:t>​ ​</w:t>
            </w:r>
          </w:p>
        </w:tc>
        <w:tc>
          <w:tcPr>
            <w:tcW w:w="2380" w:type="dxa"/>
            <w:vAlign w:val="bottom"/>
            <w:tcBorders>
              <w:bottom w:val="single" w:sz="8" w:color="E7417A"/>
            </w:tcBorders>
            <w:gridSpan w:val="2"/>
          </w:tcPr>
          <w:p>
            <w:pPr>
              <w:jc w:val="right"/>
              <w:ind w:right="719"/>
              <w:spacing w:after="0"/>
              <w:rPr>
                <w:sz w:val="20"/>
                <w:szCs w:val="20"/>
                <w:color w:val="auto"/>
              </w:rPr>
            </w:pPr>
            <w:r>
              <w:rPr>
                <w:rFonts w:ascii="Arial" w:cs="Arial" w:eastAsia="Arial" w:hAnsi="Arial"/>
                <w:sz w:val="16"/>
                <w:szCs w:val="16"/>
                <w:color w:val="auto"/>
              </w:rPr>
              <w:t>​​48,365</w:t>
            </w:r>
          </w:p>
        </w:tc>
        <w:tc>
          <w:tcPr>
            <w:tcW w:w="660" w:type="dxa"/>
            <w:vAlign w:val="bottom"/>
            <w:tcBorders>
              <w:bottom w:val="single" w:sz="8" w:color="E7417A"/>
            </w:tcBorders>
          </w:tcPr>
          <w:p>
            <w:pPr>
              <w:jc w:val="right"/>
              <w:ind w:right="319"/>
              <w:spacing w:after="0"/>
              <w:rPr>
                <w:sz w:val="20"/>
                <w:szCs w:val="20"/>
                <w:color w:val="auto"/>
              </w:rPr>
            </w:pPr>
            <w:r>
              <w:rPr>
                <w:rFonts w:ascii="Arial" w:cs="Arial" w:eastAsia="Arial" w:hAnsi="Arial"/>
                <w:sz w:val="16"/>
                <w:szCs w:val="16"/>
                <w:color w:val="auto"/>
              </w:rPr>
              <w:t>​ ​</w:t>
            </w:r>
          </w:p>
        </w:tc>
      </w:tr>
      <w:tr>
        <w:trPr>
          <w:trHeight w:val="223"/>
        </w:trPr>
        <w:tc>
          <w:tcPr>
            <w:tcW w:w="34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Shaul Shani</w:t>
            </w:r>
          </w:p>
        </w:tc>
        <w:tc>
          <w:tcPr>
            <w:tcW w:w="1940" w:type="dxa"/>
            <w:vAlign w:val="bottom"/>
            <w:tcBorders>
              <w:bottom w:val="single" w:sz="8" w:color="E7417A"/>
            </w:tcBorders>
          </w:tcPr>
          <w:p>
            <w:pPr>
              <w:ind w:left="1760"/>
              <w:spacing w:after="0"/>
              <w:rPr>
                <w:sz w:val="20"/>
                <w:szCs w:val="20"/>
                <w:color w:val="auto"/>
              </w:rPr>
            </w:pPr>
            <w:r>
              <w:rPr>
                <w:rFonts w:ascii="Arial" w:cs="Arial" w:eastAsia="Arial" w:hAnsi="Arial"/>
                <w:sz w:val="16"/>
                <w:szCs w:val="16"/>
                <w:color w:val="auto"/>
              </w:rPr>
              <w:t>​ ​</w:t>
            </w:r>
          </w:p>
        </w:tc>
        <w:tc>
          <w:tcPr>
            <w:tcW w:w="2380" w:type="dxa"/>
            <w:vAlign w:val="bottom"/>
            <w:tcBorders>
              <w:bottom w:val="single" w:sz="8" w:color="E7417A"/>
            </w:tcBorders>
            <w:gridSpan w:val="2"/>
          </w:tcPr>
          <w:p>
            <w:pPr>
              <w:jc w:val="right"/>
              <w:ind w:right="719"/>
              <w:spacing w:after="0"/>
              <w:rPr>
                <w:sz w:val="20"/>
                <w:szCs w:val="20"/>
                <w:color w:val="auto"/>
              </w:rPr>
            </w:pPr>
            <w:r>
              <w:rPr>
                <w:rFonts w:ascii="Arial" w:cs="Arial" w:eastAsia="Arial" w:hAnsi="Arial"/>
                <w:sz w:val="16"/>
                <w:szCs w:val="16"/>
                <w:color w:val="auto"/>
              </w:rPr>
              <w:t>​​48,365</w:t>
            </w:r>
          </w:p>
        </w:tc>
        <w:tc>
          <w:tcPr>
            <w:tcW w:w="660" w:type="dxa"/>
            <w:vAlign w:val="bottom"/>
            <w:tcBorders>
              <w:bottom w:val="single" w:sz="8" w:color="E7417A"/>
            </w:tcBorders>
          </w:tcPr>
          <w:p>
            <w:pPr>
              <w:jc w:val="right"/>
              <w:ind w:right="319"/>
              <w:spacing w:after="0"/>
              <w:rPr>
                <w:sz w:val="20"/>
                <w:szCs w:val="20"/>
                <w:color w:val="auto"/>
              </w:rPr>
            </w:pPr>
            <w:r>
              <w:rPr>
                <w:rFonts w:ascii="Arial" w:cs="Arial" w:eastAsia="Arial" w:hAnsi="Arial"/>
                <w:sz w:val="16"/>
                <w:szCs w:val="16"/>
                <w:color w:val="auto"/>
              </w:rPr>
              <w:t>​ ​</w:t>
            </w:r>
          </w:p>
        </w:tc>
      </w:tr>
      <w:tr>
        <w:trPr>
          <w:trHeight w:val="223"/>
        </w:trPr>
        <w:tc>
          <w:tcPr>
            <w:tcW w:w="34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Richard W. Smith</w:t>
            </w:r>
          </w:p>
        </w:tc>
        <w:tc>
          <w:tcPr>
            <w:tcW w:w="1940" w:type="dxa"/>
            <w:vAlign w:val="bottom"/>
            <w:tcBorders>
              <w:bottom w:val="single" w:sz="8" w:color="E7417A"/>
            </w:tcBorders>
          </w:tcPr>
          <w:p>
            <w:pPr>
              <w:ind w:left="1760"/>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E7417A"/>
            </w:tcBorders>
          </w:tcPr>
          <w:p>
            <w:pPr>
              <w:ind w:left="9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7417A"/>
            </w:tcBorders>
          </w:tcPr>
          <w:p>
            <w:pPr>
              <w:jc w:val="right"/>
              <w:ind w:right="7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E7417A"/>
            </w:tcBorders>
          </w:tcPr>
          <w:p>
            <w:pPr>
              <w:jc w:val="right"/>
              <w:ind w:right="319"/>
              <w:spacing w:after="0"/>
              <w:rPr>
                <w:sz w:val="20"/>
                <w:szCs w:val="20"/>
                <w:color w:val="auto"/>
              </w:rPr>
            </w:pPr>
            <w:r>
              <w:rPr>
                <w:rFonts w:ascii="Arial" w:cs="Arial" w:eastAsia="Arial" w:hAnsi="Arial"/>
                <w:sz w:val="16"/>
                <w:szCs w:val="16"/>
                <w:color w:val="auto"/>
              </w:rPr>
              <w:t>​ ​</w:t>
            </w:r>
          </w:p>
        </w:tc>
      </w:tr>
      <w:tr>
        <w:trPr>
          <w:trHeight w:val="223"/>
        </w:trPr>
        <w:tc>
          <w:tcPr>
            <w:tcW w:w="3400" w:type="dxa"/>
            <w:vAlign w:val="bottom"/>
            <w:tcBorders>
              <w:bottom w:val="single" w:sz="8" w:color="62259D"/>
            </w:tcBorders>
          </w:tcPr>
          <w:p>
            <w:pPr>
              <w:spacing w:after="0"/>
              <w:rPr>
                <w:sz w:val="20"/>
                <w:szCs w:val="20"/>
                <w:color w:val="auto"/>
              </w:rPr>
            </w:pPr>
            <w:r>
              <w:rPr>
                <w:rFonts w:ascii="Arial" w:cs="Arial" w:eastAsia="Arial" w:hAnsi="Arial"/>
                <w:sz w:val="16"/>
                <w:szCs w:val="16"/>
                <w:color w:val="auto"/>
              </w:rPr>
              <w:t>​ Tanya Tamone</w:t>
            </w:r>
          </w:p>
        </w:tc>
        <w:tc>
          <w:tcPr>
            <w:tcW w:w="1940" w:type="dxa"/>
            <w:vAlign w:val="bottom"/>
            <w:tcBorders>
              <w:bottom w:val="single" w:sz="8" w:color="62259D"/>
            </w:tcBorders>
          </w:tcPr>
          <w:p>
            <w:pPr>
              <w:ind w:left="1760"/>
              <w:spacing w:after="0"/>
              <w:rPr>
                <w:sz w:val="20"/>
                <w:szCs w:val="20"/>
                <w:color w:val="auto"/>
              </w:rPr>
            </w:pPr>
            <w:r>
              <w:rPr>
                <w:rFonts w:ascii="Arial" w:cs="Arial" w:eastAsia="Arial" w:hAnsi="Arial"/>
                <w:sz w:val="16"/>
                <w:szCs w:val="16"/>
                <w:color w:val="auto"/>
              </w:rPr>
              <w:t>​ ​</w:t>
            </w:r>
          </w:p>
        </w:tc>
        <w:tc>
          <w:tcPr>
            <w:tcW w:w="2380" w:type="dxa"/>
            <w:vAlign w:val="bottom"/>
            <w:tcBorders>
              <w:bottom w:val="single" w:sz="8" w:color="62259D"/>
            </w:tcBorders>
            <w:gridSpan w:val="2"/>
          </w:tcPr>
          <w:p>
            <w:pPr>
              <w:jc w:val="right"/>
              <w:ind w:right="719"/>
              <w:spacing w:after="0"/>
              <w:rPr>
                <w:sz w:val="20"/>
                <w:szCs w:val="20"/>
                <w:color w:val="auto"/>
              </w:rPr>
            </w:pPr>
            <w:r>
              <w:rPr>
                <w:rFonts w:ascii="Arial" w:cs="Arial" w:eastAsia="Arial" w:hAnsi="Arial"/>
                <w:sz w:val="16"/>
                <w:szCs w:val="16"/>
                <w:color w:val="auto"/>
              </w:rPr>
              <w:t>​​48,365</w:t>
            </w:r>
          </w:p>
        </w:tc>
        <w:tc>
          <w:tcPr>
            <w:tcW w:w="660" w:type="dxa"/>
            <w:vAlign w:val="bottom"/>
            <w:tcBorders>
              <w:bottom w:val="single" w:sz="8" w:color="62259D"/>
            </w:tcBorders>
          </w:tcPr>
          <w:p>
            <w:pPr>
              <w:jc w:val="right"/>
              <w:ind w:right="319"/>
              <w:spacing w:after="0"/>
              <w:rPr>
                <w:sz w:val="20"/>
                <w:szCs w:val="20"/>
                <w:color w:val="auto"/>
              </w:rPr>
            </w:pPr>
            <w:r>
              <w:rPr>
                <w:rFonts w:ascii="Arial" w:cs="Arial" w:eastAsia="Arial" w:hAnsi="Arial"/>
                <w:sz w:val="16"/>
                <w:szCs w:val="16"/>
                <w:color w:val="auto"/>
              </w:rPr>
              <w:t>​ ​</w:t>
            </w:r>
          </w:p>
        </w:tc>
      </w:tr>
    </w:tbl>
    <w:p>
      <w:pPr>
        <w:spacing w:after="0" w:line="175" w:lineRule="exact"/>
        <w:rPr>
          <w:sz w:val="20"/>
          <w:szCs w:val="20"/>
          <w:color w:val="auto"/>
        </w:rPr>
      </w:pPr>
    </w:p>
    <w:p>
      <w:pPr>
        <w:ind w:left="1400" w:right="419" w:hanging="368"/>
        <w:spacing w:after="0" w:line="286" w:lineRule="auto"/>
        <w:tabs>
          <w:tab w:leader="none" w:pos="14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Non-employee directors are also eligible to be reimbursed for reasonable out-of-pocket expenses incurred in connection with attendance at our Board or committee meetings.</w:t>
      </w:r>
    </w:p>
    <w:p>
      <w:pPr>
        <w:spacing w:after="0" w:line="20" w:lineRule="exact"/>
        <w:rPr>
          <w:rFonts w:ascii="Arial" w:cs="Arial" w:eastAsia="Arial" w:hAnsi="Arial"/>
          <w:sz w:val="16"/>
          <w:szCs w:val="16"/>
          <w:color w:val="auto"/>
        </w:rPr>
      </w:pPr>
    </w:p>
    <w:p>
      <w:pPr>
        <w:ind w:left="1400" w:right="239" w:hanging="368"/>
        <w:spacing w:after="0" w:line="286" w:lineRule="auto"/>
        <w:tabs>
          <w:tab w:leader="none" w:pos="14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Pursuant to the Director Compensation Policy, Mr. Grayson elected to receive 100% of the cash fees otherwise payable to him in unrestricted shares of our common stock.</w:t>
      </w:r>
    </w:p>
    <w:p>
      <w:pPr>
        <w:spacing w:after="0" w:line="7" w:lineRule="exact"/>
        <w:rPr>
          <w:rFonts w:ascii="Arial" w:cs="Arial" w:eastAsia="Arial" w:hAnsi="Arial"/>
          <w:sz w:val="16"/>
          <w:szCs w:val="16"/>
          <w:color w:val="auto"/>
        </w:rPr>
      </w:pPr>
    </w:p>
    <w:p>
      <w:pPr>
        <w:ind w:left="1400" w:hanging="368"/>
        <w:spacing w:after="0"/>
        <w:tabs>
          <w:tab w:leader="none" w:pos="14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Mr. Shani waived receipt of any cash compensation for his service as a director in 2024.</w:t>
      </w:r>
    </w:p>
    <w:p>
      <w:pPr>
        <w:spacing w:after="0" w:line="72" w:lineRule="exact"/>
        <w:rPr>
          <w:rFonts w:ascii="Arial" w:cs="Arial" w:eastAsia="Arial" w:hAnsi="Arial"/>
          <w:sz w:val="16"/>
          <w:szCs w:val="16"/>
          <w:color w:val="auto"/>
        </w:rPr>
      </w:pPr>
    </w:p>
    <w:p>
      <w:pPr>
        <w:ind w:left="1400" w:right="639" w:hanging="368"/>
        <w:spacing w:after="0" w:line="286" w:lineRule="auto"/>
        <w:tabs>
          <w:tab w:leader="none" w:pos="14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Mr. Smith is not entitled to any equity compensation in connection with his service as a director. Mr. Smith waived receipt of any cash compensation for his service as a director in 2024.</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9166BA"/>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9166BA"/>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16"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62259D"/>
        </w:rPr>
        <w:t>AUDIT MATTERS</w:t>
      </w:r>
    </w:p>
    <w:tbl>
      <w:tblPr>
        <w:tblLayout w:type="fixed"/>
        <w:tblInd w:w="920" w:type="dxa"/>
        <w:tblCellMar>
          <w:top w:w="0" w:type="dxa"/>
          <w:left w:w="0" w:type="dxa"/>
          <w:bottom w:w="0" w:type="dxa"/>
          <w:right w:w="0" w:type="dxa"/>
        </w:tblCellMar>
      </w:tblPr>
      <w:tr>
        <w:trPr>
          <w:trHeight w:val="681"/>
        </w:trPr>
        <w:tc>
          <w:tcPr>
            <w:tcW w:w="940" w:type="dxa"/>
            <w:vAlign w:val="bottom"/>
            <w:shd w:val="clear" w:color="auto" w:fill="62259D"/>
          </w:tcPr>
          <w:p>
            <w:pPr>
              <w:spacing w:after="0" w:line="681" w:lineRule="exact"/>
              <w:rPr>
                <w:sz w:val="20"/>
                <w:szCs w:val="20"/>
                <w:color w:val="auto"/>
              </w:rPr>
            </w:pPr>
            <w:r>
              <w:rPr>
                <w:rFonts w:ascii="Arial" w:cs="Arial" w:eastAsia="Arial" w:hAnsi="Arial"/>
                <w:sz w:val="33"/>
                <w:szCs w:val="33"/>
                <w:b w:val="1"/>
                <w:bCs w:val="1"/>
                <w:color w:val="FEFEFE"/>
              </w:rPr>
              <w:t xml:space="preserve">​ </w:t>
            </w:r>
            <w:r>
              <w:rPr>
                <w:rFonts w:ascii="Arial" w:cs="Arial" w:eastAsia="Arial" w:hAnsi="Arial"/>
                <w:sz w:val="78"/>
                <w:szCs w:val="78"/>
                <w:b w:val="1"/>
                <w:bCs w:val="1"/>
                <w:color w:val="FEFEFE"/>
                <w:vertAlign w:val="subscript"/>
              </w:rPr>
              <w:t>2</w:t>
            </w:r>
          </w:p>
        </w:tc>
        <w:tc>
          <w:tcPr>
            <w:tcW w:w="7920" w:type="dxa"/>
            <w:vAlign w:val="bottom"/>
          </w:tcPr>
          <w:p>
            <w:pPr>
              <w:spacing w:after="0" w:line="681" w:lineRule="exact"/>
              <w:rPr>
                <w:sz w:val="20"/>
                <w:szCs w:val="20"/>
                <w:color w:val="auto"/>
              </w:rPr>
            </w:pPr>
            <w:r>
              <w:rPr>
                <w:rFonts w:ascii="Arial" w:cs="Arial" w:eastAsia="Arial" w:hAnsi="Arial"/>
                <w:sz w:val="71"/>
                <w:szCs w:val="71"/>
                <w:b w:val="1"/>
                <w:bCs w:val="1"/>
                <w:color w:val="FEFEFE"/>
                <w:vertAlign w:val="superscript"/>
              </w:rPr>
              <w:t>​​</w:t>
            </w:r>
            <w:r>
              <w:rPr>
                <w:rFonts w:ascii="Arial" w:cs="Arial" w:eastAsia="Arial" w:hAnsi="Arial"/>
                <w:sz w:val="36"/>
                <w:szCs w:val="36"/>
                <w:b w:val="1"/>
                <w:bCs w:val="1"/>
                <w:color w:val="FEFEFE"/>
              </w:rPr>
              <w:t xml:space="preserve"> Proposal 2 — Ratification of the</w:t>
            </w:r>
          </w:p>
        </w:tc>
        <w:tc>
          <w:tcPr>
            <w:tcW w:w="100" w:type="dxa"/>
            <w:vAlign w:val="bottom"/>
          </w:tcPr>
          <w:p>
            <w:pPr>
              <w:spacing w:after="0"/>
              <w:rPr>
                <w:sz w:val="20"/>
                <w:szCs w:val="20"/>
                <w:color w:val="auto"/>
              </w:rPr>
            </w:pPr>
            <w:r>
              <w:rPr>
                <w:rFonts w:ascii="Arial" w:cs="Arial" w:eastAsia="Arial" w:hAnsi="Arial"/>
                <w:sz w:val="36"/>
                <w:szCs w:val="36"/>
                <w:b w:val="1"/>
                <w:bCs w:val="1"/>
                <w:color w:val="FEFEFE"/>
              </w:rPr>
              <w:t>​</w:t>
            </w:r>
          </w:p>
        </w:tc>
      </w:tr>
      <w:tr>
        <w:trPr>
          <w:trHeight w:val="369"/>
        </w:trPr>
        <w:tc>
          <w:tcPr>
            <w:tcW w:w="940" w:type="dxa"/>
            <w:vAlign w:val="bottom"/>
            <w:shd w:val="clear" w:color="auto" w:fill="62259D"/>
          </w:tcPr>
          <w:p>
            <w:pPr>
              <w:spacing w:after="0"/>
              <w:rPr>
                <w:sz w:val="24"/>
                <w:szCs w:val="24"/>
                <w:color w:val="auto"/>
              </w:rPr>
            </w:pPr>
          </w:p>
        </w:tc>
        <w:tc>
          <w:tcPr>
            <w:tcW w:w="7920" w:type="dxa"/>
            <w:vAlign w:val="bottom"/>
          </w:tcPr>
          <w:p>
            <w:pPr>
              <w:ind w:left="300"/>
              <w:spacing w:after="0" w:line="368" w:lineRule="exact"/>
              <w:rPr>
                <w:sz w:val="20"/>
                <w:szCs w:val="20"/>
                <w:color w:val="auto"/>
              </w:rPr>
            </w:pPr>
            <w:r>
              <w:rPr>
                <w:rFonts w:ascii="Arial" w:cs="Arial" w:eastAsia="Arial" w:hAnsi="Arial"/>
                <w:sz w:val="36"/>
                <w:szCs w:val="36"/>
                <w:b w:val="1"/>
                <w:bCs w:val="1"/>
                <w:color w:val="FEFEFE"/>
              </w:rPr>
              <w:t>Appointment of Independent Registered</w:t>
            </w:r>
          </w:p>
        </w:tc>
        <w:tc>
          <w:tcPr>
            <w:tcW w:w="100" w:type="dxa"/>
            <w:vAlign w:val="bottom"/>
          </w:tcPr>
          <w:p>
            <w:pPr>
              <w:spacing w:after="0"/>
              <w:rPr>
                <w:sz w:val="24"/>
                <w:szCs w:val="24"/>
                <w:color w:val="auto"/>
              </w:rPr>
            </w:pPr>
          </w:p>
        </w:tc>
      </w:tr>
      <w:tr>
        <w:trPr>
          <w:trHeight w:val="456"/>
        </w:trPr>
        <w:tc>
          <w:tcPr>
            <w:tcW w:w="940" w:type="dxa"/>
            <w:vAlign w:val="bottom"/>
            <w:shd w:val="clear" w:color="auto" w:fill="62259D"/>
          </w:tcPr>
          <w:p>
            <w:pPr>
              <w:spacing w:after="0"/>
              <w:rPr>
                <w:sz w:val="24"/>
                <w:szCs w:val="24"/>
                <w:color w:val="auto"/>
              </w:rPr>
            </w:pPr>
          </w:p>
        </w:tc>
        <w:tc>
          <w:tcPr>
            <w:tcW w:w="7920" w:type="dxa"/>
            <w:vAlign w:val="bottom"/>
          </w:tcPr>
          <w:p>
            <w:pPr>
              <w:ind w:left="300"/>
              <w:spacing w:after="0"/>
              <w:rPr>
                <w:sz w:val="20"/>
                <w:szCs w:val="20"/>
                <w:color w:val="auto"/>
              </w:rPr>
            </w:pPr>
            <w:r>
              <w:rPr>
                <w:rFonts w:ascii="Arial" w:cs="Arial" w:eastAsia="Arial" w:hAnsi="Arial"/>
                <w:sz w:val="36"/>
                <w:szCs w:val="36"/>
                <w:b w:val="1"/>
                <w:bCs w:val="1"/>
                <w:color w:val="FEFEFE"/>
              </w:rPr>
              <w:t>Public Accounting Firm</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-822325</wp:posOffset>
            </wp:positionV>
            <wp:extent cx="5031740" cy="8312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031740" cy="831215"/>
                    </a:xfrm>
                    <a:prstGeom prst="rect">
                      <a:avLst/>
                    </a:prstGeom>
                    <a:noFill/>
                  </pic:spPr>
                </pic:pic>
              </a:graphicData>
            </a:graphic>
          </wp:anchor>
        </w:drawing>
      </w:r>
    </w:p>
    <w:p>
      <w:pPr>
        <w:spacing w:after="0" w:line="231" w:lineRule="exact"/>
        <w:rPr>
          <w:sz w:val="20"/>
          <w:szCs w:val="20"/>
          <w:color w:val="auto"/>
        </w:rPr>
      </w:pPr>
    </w:p>
    <w:p>
      <w:pPr>
        <w:ind w:left="920" w:right="260"/>
        <w:spacing w:after="0" w:line="243" w:lineRule="auto"/>
        <w:rPr>
          <w:sz w:val="20"/>
          <w:szCs w:val="20"/>
          <w:color w:val="auto"/>
        </w:rPr>
      </w:pPr>
      <w:r>
        <w:rPr>
          <w:rFonts w:ascii="Arial" w:cs="Arial" w:eastAsia="Arial" w:hAnsi="Arial"/>
          <w:sz w:val="18"/>
          <w:szCs w:val="18"/>
          <w:color w:val="auto"/>
        </w:rPr>
        <w:t>The Audit Committee of the Board of Directors has appointed Deloitte &amp; Touche LLP (“Deloitte”) as the Company’s independent registered public accounting firm for the fiscal year ending December 31, 2025. Deloitte has acted as the independent registered accounting firm of Ribbon since the closing of the GENBAND merger in 2017, and of Sonus Networks, Inc. from August 2005 until the closing of the GENBAND merger. We are asking our stockholders to ratify this appointment. Although ratification of our appointment of Deloitte is not required, we value the opinions of our stockholders and believe that stockholder ratification of our appointment is a good corporate governance practice. If this proposal is not approved at the 2025 Annual Meeting, our Audit Committee may consider this fact when it appoints our independent registered public accounting firm for the fiscal year ending December 31, 2026. Even if the proposal is approved at the 2025 Annual Meeting, the Audit Committee may, at its discretion, direct the appointment of a different independent registered public accounting firm at any time during the year if it determines that such change would be in the interests of the Company and its stockholders.</w:t>
      </w:r>
    </w:p>
    <w:p>
      <w:pPr>
        <w:spacing w:after="0" w:line="118" w:lineRule="exact"/>
        <w:rPr>
          <w:sz w:val="20"/>
          <w:szCs w:val="20"/>
          <w:color w:val="auto"/>
        </w:rPr>
      </w:pPr>
    </w:p>
    <w:p>
      <w:pPr>
        <w:ind w:left="920" w:right="240"/>
        <w:spacing w:after="0" w:line="271" w:lineRule="auto"/>
        <w:rPr>
          <w:sz w:val="20"/>
          <w:szCs w:val="20"/>
          <w:color w:val="auto"/>
        </w:rPr>
      </w:pPr>
      <w:r>
        <w:rPr>
          <w:rFonts w:ascii="Arial" w:cs="Arial" w:eastAsia="Arial" w:hAnsi="Arial"/>
          <w:sz w:val="18"/>
          <w:szCs w:val="18"/>
          <w:color w:val="auto"/>
        </w:rPr>
        <w:t>Representatives of Deloitte are expected to attend the 2025 Annual Meeting and will have the opportunity to make a statement and be available to respond to appropriate questions by stockholders.</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6"/>
          <w:szCs w:val="16"/>
          <w:color w:val="FEFEFE"/>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-101600</wp:posOffset>
            </wp:positionV>
            <wp:extent cx="5623560" cy="6172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623560" cy="617220"/>
                    </a:xfrm>
                    <a:prstGeom prst="rect">
                      <a:avLst/>
                    </a:prstGeom>
                    <a:noFill/>
                  </pic:spPr>
                </pic:pic>
              </a:graphicData>
            </a:graphic>
          </wp:anchor>
        </w:drawing>
      </w:r>
    </w:p>
    <w:p>
      <w:pPr>
        <w:ind w:left="2540"/>
        <w:spacing w:after="0" w:line="214" w:lineRule="auto"/>
        <w:rPr>
          <w:sz w:val="20"/>
          <w:szCs w:val="20"/>
          <w:color w:val="auto"/>
        </w:rPr>
      </w:pPr>
      <w:r>
        <w:rPr>
          <w:rFonts w:ascii="Arial" w:cs="Arial" w:eastAsia="Arial" w:hAnsi="Arial"/>
          <w:sz w:val="18"/>
          <w:szCs w:val="18"/>
          <w:color w:val="FEFEFE"/>
        </w:rPr>
        <w:t xml:space="preserve">The Board recommends that stockholders vote </w:t>
      </w:r>
      <w:r>
        <w:rPr>
          <w:rFonts w:ascii="Arial" w:cs="Arial" w:eastAsia="Arial" w:hAnsi="Arial"/>
          <w:sz w:val="18"/>
          <w:szCs w:val="18"/>
          <w:b w:val="1"/>
          <w:bCs w:val="1"/>
          <w:color w:val="FEFEFE"/>
        </w:rPr>
        <w:t>FOR</w:t>
      </w:r>
      <w:r>
        <w:rPr>
          <w:rFonts w:ascii="Arial" w:cs="Arial" w:eastAsia="Arial" w:hAnsi="Arial"/>
          <w:sz w:val="18"/>
          <w:szCs w:val="18"/>
          <w:color w:val="FEFEFE"/>
        </w:rPr>
        <w:t xml:space="preserve"> the ratification of</w:t>
      </w:r>
    </w:p>
    <w:tbl>
      <w:tblPr>
        <w:tblLayout w:type="fixed"/>
        <w:tblInd w:w="920" w:type="dxa"/>
        <w:tblCellMar>
          <w:top w:w="0" w:type="dxa"/>
          <w:left w:w="0" w:type="dxa"/>
          <w:bottom w:w="0" w:type="dxa"/>
          <w:right w:w="0" w:type="dxa"/>
        </w:tblCellMar>
      </w:tblPr>
      <w:tr>
        <w:trPr>
          <w:trHeight w:val="18"/>
        </w:trPr>
        <w:tc>
          <w:tcPr>
            <w:tcW w:w="280" w:type="dxa"/>
            <w:vAlign w:val="bottom"/>
            <w:vMerge w:val="restart"/>
          </w:tcPr>
          <w:p>
            <w:pPr>
              <w:spacing w:after="0" w:line="195" w:lineRule="exact"/>
              <w:rPr>
                <w:sz w:val="20"/>
                <w:szCs w:val="20"/>
                <w:color w:val="auto"/>
              </w:rPr>
            </w:pPr>
            <w:r>
              <w:rPr>
                <w:rFonts w:ascii="Arial" w:cs="Arial" w:eastAsia="Arial" w:hAnsi="Arial"/>
                <w:sz w:val="18"/>
                <w:szCs w:val="18"/>
                <w:color w:val="FEFEFE"/>
              </w:rPr>
              <w:t>​</w:t>
            </w:r>
          </w:p>
        </w:tc>
        <w:tc>
          <w:tcPr>
            <w:tcW w:w="1220" w:type="dxa"/>
            <w:vAlign w:val="bottom"/>
          </w:tcPr>
          <w:p>
            <w:pPr>
              <w:ind w:left="240"/>
              <w:spacing w:after="0" w:line="18" w:lineRule="exact"/>
              <w:rPr>
                <w:sz w:val="20"/>
                <w:szCs w:val="20"/>
                <w:color w:val="auto"/>
              </w:rPr>
            </w:pPr>
            <w:r>
              <w:rPr>
                <w:rFonts w:ascii="Arial" w:cs="Arial" w:eastAsia="Arial" w:hAnsi="Arial"/>
                <w:sz w:val="2"/>
                <w:szCs w:val="2"/>
                <w:b w:val="1"/>
                <w:bCs w:val="1"/>
                <w:color w:val="FEFEFE"/>
              </w:rPr>
              <w:t>2</w:t>
            </w:r>
            <w:r>
              <w:rPr>
                <w:rFonts w:ascii="Arial" w:cs="Arial" w:eastAsia="Arial" w:hAnsi="Arial"/>
                <w:sz w:val="1"/>
                <w:szCs w:val="1"/>
                <w:color w:val="FEFEFE"/>
              </w:rPr>
              <w:t>​</w:t>
            </w:r>
          </w:p>
        </w:tc>
        <w:tc>
          <w:tcPr>
            <w:tcW w:w="5800" w:type="dxa"/>
            <w:vAlign w:val="bottom"/>
            <w:vMerge w:val="restart"/>
          </w:tcPr>
          <w:p>
            <w:pPr>
              <w:ind w:left="120"/>
              <w:spacing w:after="0" w:line="195" w:lineRule="exact"/>
              <w:rPr>
                <w:sz w:val="20"/>
                <w:szCs w:val="20"/>
                <w:color w:val="auto"/>
              </w:rPr>
            </w:pPr>
            <w:r>
              <w:rPr>
                <w:rFonts w:ascii="Arial" w:cs="Arial" w:eastAsia="Arial" w:hAnsi="Arial"/>
                <w:sz w:val="18"/>
                <w:szCs w:val="18"/>
                <w:color w:val="FEFEFE"/>
              </w:rPr>
              <w:t>the appointment of Deloitte as our independent registered public</w:t>
            </w:r>
          </w:p>
        </w:tc>
        <w:tc>
          <w:tcPr>
            <w:tcW w:w="980" w:type="dxa"/>
            <w:vAlign w:val="bottom"/>
            <w:vMerge w:val="restart"/>
          </w:tcPr>
          <w:p>
            <w:pPr>
              <w:ind w:left="340"/>
              <w:spacing w:after="0" w:line="195" w:lineRule="exact"/>
              <w:rPr>
                <w:sz w:val="20"/>
                <w:szCs w:val="20"/>
                <w:color w:val="auto"/>
              </w:rPr>
            </w:pPr>
            <w:r>
              <w:rPr>
                <w:rFonts w:ascii="Arial" w:cs="Arial" w:eastAsia="Arial" w:hAnsi="Arial"/>
                <w:sz w:val="18"/>
                <w:szCs w:val="18"/>
                <w:color w:val="FEFEFE"/>
              </w:rPr>
              <w:t>​</w:t>
            </w:r>
          </w:p>
        </w:tc>
        <w:tc>
          <w:tcPr>
            <w:tcW w:w="640" w:type="dxa"/>
            <w:vAlign w:val="bottom"/>
            <w:vMerge w:val="restart"/>
          </w:tcPr>
          <w:p>
            <w:pPr>
              <w:ind w:left="580"/>
              <w:spacing w:after="0" w:line="195" w:lineRule="exact"/>
              <w:rPr>
                <w:sz w:val="20"/>
                <w:szCs w:val="20"/>
                <w:color w:val="auto"/>
              </w:rPr>
            </w:pPr>
            <w:r>
              <w:rPr>
                <w:rFonts w:ascii="Arial" w:cs="Arial" w:eastAsia="Arial" w:hAnsi="Arial"/>
                <w:sz w:val="18"/>
                <w:szCs w:val="18"/>
                <w:color w:val="FEFEFE"/>
              </w:rPr>
              <w:t>​</w:t>
            </w:r>
          </w:p>
        </w:tc>
        <w:tc>
          <w:tcPr>
            <w:tcW w:w="0" w:type="dxa"/>
            <w:vAlign w:val="bottom"/>
          </w:tcPr>
          <w:p>
            <w:pPr>
              <w:spacing w:after="0" w:line="20" w:lineRule="exact"/>
              <w:rPr>
                <w:sz w:val="1"/>
                <w:szCs w:val="1"/>
                <w:color w:val="auto"/>
              </w:rPr>
            </w:pPr>
          </w:p>
        </w:tc>
      </w:tr>
      <w:tr>
        <w:trPr>
          <w:trHeight w:val="176"/>
        </w:trPr>
        <w:tc>
          <w:tcPr>
            <w:tcW w:w="280" w:type="dxa"/>
            <w:vAlign w:val="bottom"/>
            <w:vMerge w:val="continue"/>
          </w:tcPr>
          <w:p>
            <w:pPr>
              <w:spacing w:after="0"/>
              <w:rPr>
                <w:sz w:val="15"/>
                <w:szCs w:val="15"/>
                <w:color w:val="auto"/>
              </w:rPr>
            </w:pPr>
          </w:p>
        </w:tc>
        <w:tc>
          <w:tcPr>
            <w:tcW w:w="1220" w:type="dxa"/>
            <w:vAlign w:val="bottom"/>
          </w:tcPr>
          <w:p>
            <w:pPr>
              <w:ind w:left="1040"/>
              <w:spacing w:after="0" w:line="176" w:lineRule="exact"/>
              <w:rPr>
                <w:sz w:val="20"/>
                <w:szCs w:val="20"/>
                <w:color w:val="auto"/>
              </w:rPr>
            </w:pPr>
            <w:r>
              <w:rPr>
                <w:rFonts w:ascii="Arial" w:cs="Arial" w:eastAsia="Arial" w:hAnsi="Arial"/>
                <w:sz w:val="18"/>
                <w:szCs w:val="18"/>
                <w:color w:val="FEFEFE"/>
              </w:rPr>
              <w:t>​​</w:t>
            </w:r>
          </w:p>
        </w:tc>
        <w:tc>
          <w:tcPr>
            <w:tcW w:w="58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FEFEFE"/>
              </w:rPr>
              <w:t>accounting firm for 2025.</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Deloitte Fees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is a summary and description of fees for services provided by Deloitte in 2024 and 2023:</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263"/>
        </w:trPr>
        <w:tc>
          <w:tcPr>
            <w:tcW w:w="80" w:type="dxa"/>
            <w:vAlign w:val="bottom"/>
            <w:shd w:val="clear" w:color="auto" w:fill="62259D"/>
          </w:tcPr>
          <w:p>
            <w:pPr>
              <w:spacing w:after="0"/>
              <w:rPr>
                <w:sz w:val="22"/>
                <w:szCs w:val="22"/>
                <w:color w:val="auto"/>
              </w:rPr>
            </w:pPr>
          </w:p>
        </w:tc>
        <w:tc>
          <w:tcPr>
            <w:tcW w:w="2700" w:type="dxa"/>
            <w:vAlign w:val="bottom"/>
            <w:shd w:val="clear" w:color="auto" w:fill="62259D"/>
          </w:tcPr>
          <w:p>
            <w:pPr>
              <w:spacing w:after="0"/>
              <w:rPr>
                <w:sz w:val="22"/>
                <w:szCs w:val="22"/>
                <w:color w:val="auto"/>
              </w:rPr>
            </w:pPr>
          </w:p>
        </w:tc>
        <w:tc>
          <w:tcPr>
            <w:tcW w:w="1320" w:type="dxa"/>
            <w:vAlign w:val="bottom"/>
            <w:shd w:val="clear" w:color="auto" w:fill="62259D"/>
          </w:tcPr>
          <w:p>
            <w:pPr>
              <w:spacing w:after="0"/>
              <w:rPr>
                <w:sz w:val="22"/>
                <w:szCs w:val="22"/>
                <w:color w:val="auto"/>
              </w:rPr>
            </w:pPr>
          </w:p>
        </w:tc>
        <w:tc>
          <w:tcPr>
            <w:tcW w:w="60" w:type="dxa"/>
            <w:vAlign w:val="bottom"/>
            <w:shd w:val="clear" w:color="auto" w:fill="62259D"/>
          </w:tcPr>
          <w:p>
            <w:pPr>
              <w:jc w:val="right"/>
              <w:spacing w:after="0"/>
              <w:rPr>
                <w:sz w:val="20"/>
                <w:szCs w:val="20"/>
                <w:color w:val="auto"/>
              </w:rPr>
            </w:pPr>
            <w:r>
              <w:rPr>
                <w:rFonts w:ascii="Arial" w:cs="Arial" w:eastAsia="Arial" w:hAnsi="Arial"/>
                <w:sz w:val="16"/>
                <w:szCs w:val="16"/>
                <w:b w:val="1"/>
                <w:bCs w:val="1"/>
                <w:color w:val="FEFEFE"/>
              </w:rPr>
              <w:t>​</w:t>
            </w:r>
          </w:p>
        </w:tc>
        <w:tc>
          <w:tcPr>
            <w:tcW w:w="60" w:type="dxa"/>
            <w:vAlign w:val="bottom"/>
            <w:shd w:val="clear" w:color="auto" w:fill="62259D"/>
          </w:tcPr>
          <w:p>
            <w:pPr>
              <w:spacing w:after="0"/>
              <w:rPr>
                <w:sz w:val="22"/>
                <w:szCs w:val="22"/>
                <w:color w:val="auto"/>
              </w:rPr>
            </w:pPr>
          </w:p>
        </w:tc>
        <w:tc>
          <w:tcPr>
            <w:tcW w:w="800" w:type="dxa"/>
            <w:vAlign w:val="bottom"/>
            <w:shd w:val="clear" w:color="auto" w:fill="62259D"/>
          </w:tcPr>
          <w:p>
            <w:pPr>
              <w:spacing w:after="0"/>
              <w:rPr>
                <w:sz w:val="22"/>
                <w:szCs w:val="22"/>
                <w:color w:val="auto"/>
              </w:rPr>
            </w:pPr>
          </w:p>
        </w:tc>
        <w:tc>
          <w:tcPr>
            <w:tcW w:w="660" w:type="dxa"/>
            <w:vAlign w:val="bottom"/>
            <w:shd w:val="clear" w:color="auto" w:fill="62259D"/>
          </w:tcPr>
          <w:p>
            <w:pPr>
              <w:spacing w:after="0"/>
              <w:rPr>
                <w:sz w:val="22"/>
                <w:szCs w:val="22"/>
                <w:color w:val="auto"/>
              </w:rPr>
            </w:pPr>
          </w:p>
        </w:tc>
        <w:tc>
          <w:tcPr>
            <w:tcW w:w="1580" w:type="dxa"/>
            <w:vAlign w:val="bottom"/>
            <w:shd w:val="clear" w:color="auto" w:fill="62259D"/>
          </w:tcPr>
          <w:p>
            <w:pPr>
              <w:ind w:left="40"/>
              <w:spacing w:after="0"/>
              <w:rPr>
                <w:sz w:val="20"/>
                <w:szCs w:val="20"/>
                <w:color w:val="auto"/>
              </w:rPr>
            </w:pPr>
            <w:r>
              <w:rPr>
                <w:rFonts w:ascii="Arial" w:cs="Arial" w:eastAsia="Arial" w:hAnsi="Arial"/>
                <w:sz w:val="16"/>
                <w:szCs w:val="16"/>
                <w:b w:val="1"/>
                <w:bCs w:val="1"/>
                <w:color w:val="FEFEFE"/>
              </w:rPr>
              <w:t>Fiscal Year Ended</w:t>
            </w:r>
          </w:p>
        </w:tc>
        <w:tc>
          <w:tcPr>
            <w:tcW w:w="120" w:type="dxa"/>
            <w:vAlign w:val="bottom"/>
            <w:shd w:val="clear" w:color="auto" w:fill="62259D"/>
          </w:tcPr>
          <w:p>
            <w:pPr>
              <w:spacing w:after="0"/>
              <w:rPr>
                <w:sz w:val="22"/>
                <w:szCs w:val="22"/>
                <w:color w:val="auto"/>
              </w:rPr>
            </w:pPr>
          </w:p>
        </w:tc>
        <w:tc>
          <w:tcPr>
            <w:tcW w:w="1000" w:type="dxa"/>
            <w:vAlign w:val="bottom"/>
            <w:shd w:val="clear" w:color="auto" w:fill="62259D"/>
          </w:tcPr>
          <w:p>
            <w:pPr>
              <w:spacing w:after="0"/>
              <w:rPr>
                <w:sz w:val="22"/>
                <w:szCs w:val="22"/>
                <w:color w:val="auto"/>
              </w:rPr>
            </w:pPr>
          </w:p>
        </w:tc>
        <w:tc>
          <w:tcPr>
            <w:tcW w:w="480" w:type="dxa"/>
            <w:vAlign w:val="bottom"/>
            <w:shd w:val="clear" w:color="auto" w:fill="62259D"/>
          </w:tcPr>
          <w:p>
            <w:pPr>
              <w:jc w:val="right"/>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22"/>
        </w:trPr>
        <w:tc>
          <w:tcPr>
            <w:tcW w:w="2780" w:type="dxa"/>
            <w:vAlign w:val="bottom"/>
            <w:gridSpan w:val="2"/>
            <w:vMerge w:val="restart"/>
            <w:shd w:val="clear" w:color="auto" w:fill="62259D"/>
          </w:tcPr>
          <w:p>
            <w:pPr>
              <w:spacing w:after="0"/>
              <w:rPr>
                <w:sz w:val="20"/>
                <w:szCs w:val="20"/>
                <w:color w:val="auto"/>
              </w:rPr>
            </w:pPr>
            <w:r>
              <w:rPr>
                <w:rFonts w:ascii="Arial" w:cs="Arial" w:eastAsia="Arial" w:hAnsi="Arial"/>
                <w:sz w:val="32"/>
                <w:szCs w:val="32"/>
                <w:b w:val="1"/>
                <w:bCs w:val="1"/>
                <w:color w:val="FEFEFE"/>
                <w:vertAlign w:val="subscript"/>
              </w:rPr>
              <w:t>​</w:t>
            </w:r>
            <w:r>
              <w:rPr>
                <w:rFonts w:ascii="Arial" w:cs="Arial" w:eastAsia="Arial" w:hAnsi="Arial"/>
                <w:sz w:val="16"/>
                <w:szCs w:val="16"/>
                <w:b w:val="1"/>
                <w:bCs w:val="1"/>
                <w:color w:val="FEFEFE"/>
              </w:rPr>
              <w:t xml:space="preserve"> Fee Category</w:t>
            </w:r>
          </w:p>
        </w:tc>
        <w:tc>
          <w:tcPr>
            <w:tcW w:w="1320" w:type="dxa"/>
            <w:vAlign w:val="bottom"/>
            <w:shd w:val="clear" w:color="auto" w:fill="62259D"/>
          </w:tcPr>
          <w:p>
            <w:pPr>
              <w:spacing w:after="0"/>
              <w:rPr>
                <w:sz w:val="19"/>
                <w:szCs w:val="19"/>
                <w:color w:val="auto"/>
              </w:rPr>
            </w:pPr>
          </w:p>
        </w:tc>
        <w:tc>
          <w:tcPr>
            <w:tcW w:w="60" w:type="dxa"/>
            <w:vAlign w:val="bottom"/>
            <w:shd w:val="clear" w:color="auto" w:fill="62259D"/>
          </w:tcPr>
          <w:p>
            <w:pPr>
              <w:spacing w:after="0"/>
              <w:rPr>
                <w:sz w:val="19"/>
                <w:szCs w:val="19"/>
                <w:color w:val="auto"/>
              </w:rPr>
            </w:pPr>
          </w:p>
        </w:tc>
        <w:tc>
          <w:tcPr>
            <w:tcW w:w="60" w:type="dxa"/>
            <w:vAlign w:val="bottom"/>
            <w:shd w:val="clear" w:color="auto" w:fill="62259D"/>
          </w:tcPr>
          <w:p>
            <w:pPr>
              <w:spacing w:after="0"/>
              <w:rPr>
                <w:sz w:val="19"/>
                <w:szCs w:val="19"/>
                <w:color w:val="auto"/>
              </w:rPr>
            </w:pPr>
          </w:p>
        </w:tc>
        <w:tc>
          <w:tcPr>
            <w:tcW w:w="800" w:type="dxa"/>
            <w:vAlign w:val="bottom"/>
            <w:shd w:val="clear" w:color="auto" w:fill="62259D"/>
          </w:tcPr>
          <w:p>
            <w:pPr>
              <w:spacing w:after="0"/>
              <w:rPr>
                <w:sz w:val="19"/>
                <w:szCs w:val="19"/>
                <w:color w:val="auto"/>
              </w:rPr>
            </w:pPr>
          </w:p>
        </w:tc>
        <w:tc>
          <w:tcPr>
            <w:tcW w:w="660" w:type="dxa"/>
            <w:vAlign w:val="bottom"/>
            <w:shd w:val="clear" w:color="auto" w:fill="62259D"/>
          </w:tcPr>
          <w:p>
            <w:pPr>
              <w:jc w:val="right"/>
              <w:ind w:right="159"/>
              <w:spacing w:after="0"/>
              <w:rPr>
                <w:sz w:val="20"/>
                <w:szCs w:val="20"/>
                <w:color w:val="auto"/>
              </w:rPr>
            </w:pPr>
            <w:r>
              <w:rPr>
                <w:rFonts w:ascii="Arial" w:cs="Arial" w:eastAsia="Arial" w:hAnsi="Arial"/>
                <w:sz w:val="16"/>
                <w:szCs w:val="16"/>
                <w:b w:val="1"/>
                <w:bCs w:val="1"/>
                <w:color w:val="FEFEFE"/>
              </w:rPr>
              <w:t>2024</w:t>
            </w:r>
          </w:p>
        </w:tc>
        <w:tc>
          <w:tcPr>
            <w:tcW w:w="1580" w:type="dxa"/>
            <w:vAlign w:val="bottom"/>
            <w:shd w:val="clear" w:color="auto" w:fill="62259D"/>
          </w:tcPr>
          <w:p>
            <w:pPr>
              <w:spacing w:after="0"/>
              <w:rPr>
                <w:sz w:val="19"/>
                <w:szCs w:val="19"/>
                <w:color w:val="auto"/>
              </w:rPr>
            </w:pPr>
          </w:p>
        </w:tc>
        <w:tc>
          <w:tcPr>
            <w:tcW w:w="120" w:type="dxa"/>
            <w:vAlign w:val="bottom"/>
            <w:shd w:val="clear" w:color="auto" w:fill="62259D"/>
          </w:tcPr>
          <w:p>
            <w:pPr>
              <w:spacing w:after="0"/>
              <w:rPr>
                <w:sz w:val="19"/>
                <w:szCs w:val="19"/>
                <w:color w:val="auto"/>
              </w:rPr>
            </w:pPr>
          </w:p>
        </w:tc>
        <w:tc>
          <w:tcPr>
            <w:tcW w:w="1000" w:type="dxa"/>
            <w:vAlign w:val="bottom"/>
            <w:shd w:val="clear" w:color="auto" w:fill="62259D"/>
          </w:tcPr>
          <w:p>
            <w:pPr>
              <w:jc w:val="right"/>
              <w:ind w:right="479"/>
              <w:spacing w:after="0"/>
              <w:rPr>
                <w:sz w:val="20"/>
                <w:szCs w:val="20"/>
                <w:color w:val="auto"/>
              </w:rPr>
            </w:pPr>
            <w:r>
              <w:rPr>
                <w:rFonts w:ascii="Arial" w:cs="Arial" w:eastAsia="Arial" w:hAnsi="Arial"/>
                <w:sz w:val="16"/>
                <w:szCs w:val="16"/>
                <w:b w:val="1"/>
                <w:bCs w:val="1"/>
                <w:color w:val="FEFEFE"/>
              </w:rPr>
              <w:t>2023</w:t>
            </w:r>
          </w:p>
        </w:tc>
        <w:tc>
          <w:tcPr>
            <w:tcW w:w="480" w:type="dxa"/>
            <w:vAlign w:val="bottom"/>
            <w:shd w:val="clear" w:color="auto" w:fill="62259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gridSpan w:val="2"/>
            <w:vMerge w:val="continue"/>
            <w:shd w:val="clear" w:color="auto" w:fill="62259D"/>
          </w:tcPr>
          <w:p>
            <w:pPr>
              <w:spacing w:after="0"/>
              <w:rPr>
                <w:sz w:val="20"/>
                <w:szCs w:val="20"/>
                <w:color w:val="auto"/>
              </w:rPr>
            </w:pPr>
          </w:p>
        </w:tc>
        <w:tc>
          <w:tcPr>
            <w:tcW w:w="1320" w:type="dxa"/>
            <w:vAlign w:val="bottom"/>
            <w:shd w:val="clear" w:color="auto" w:fill="62259D"/>
          </w:tcPr>
          <w:p>
            <w:pPr>
              <w:ind w:left="1220"/>
              <w:spacing w:after="0"/>
              <w:rPr>
                <w:sz w:val="20"/>
                <w:szCs w:val="20"/>
                <w:color w:val="auto"/>
              </w:rPr>
            </w:pPr>
            <w:r>
              <w:rPr>
                <w:rFonts w:ascii="Arial" w:cs="Arial" w:eastAsia="Arial" w:hAnsi="Arial"/>
                <w:sz w:val="16"/>
                <w:szCs w:val="16"/>
                <w:b w:val="1"/>
                <w:bCs w:val="1"/>
                <w:color w:val="FEFEFE"/>
              </w:rPr>
              <w:t>​</w:t>
            </w:r>
          </w:p>
        </w:tc>
        <w:tc>
          <w:tcPr>
            <w:tcW w:w="60" w:type="dxa"/>
            <w:vAlign w:val="bottom"/>
            <w:shd w:val="clear" w:color="auto" w:fill="62259D"/>
          </w:tcPr>
          <w:p>
            <w:pPr>
              <w:spacing w:after="0"/>
              <w:rPr>
                <w:sz w:val="20"/>
                <w:szCs w:val="20"/>
                <w:color w:val="auto"/>
              </w:rPr>
            </w:pPr>
          </w:p>
        </w:tc>
        <w:tc>
          <w:tcPr>
            <w:tcW w:w="60" w:type="dxa"/>
            <w:vAlign w:val="bottom"/>
            <w:shd w:val="clear" w:color="auto" w:fill="62259D"/>
          </w:tcPr>
          <w:p>
            <w:pPr>
              <w:spacing w:after="0"/>
              <w:rPr>
                <w:sz w:val="20"/>
                <w:szCs w:val="20"/>
                <w:color w:val="auto"/>
              </w:rPr>
            </w:pPr>
            <w:r>
              <w:rPr>
                <w:rFonts w:ascii="Arial" w:cs="Arial" w:eastAsia="Arial" w:hAnsi="Arial"/>
                <w:sz w:val="16"/>
                <w:szCs w:val="16"/>
                <w:b w:val="1"/>
                <w:bCs w:val="1"/>
                <w:color w:val="FEFEFE"/>
              </w:rPr>
              <w:t>​</w:t>
            </w:r>
          </w:p>
        </w:tc>
        <w:tc>
          <w:tcPr>
            <w:tcW w:w="800" w:type="dxa"/>
            <w:vAlign w:val="bottom"/>
            <w:shd w:val="clear" w:color="auto" w:fill="62259D"/>
          </w:tcPr>
          <w:p>
            <w:pPr>
              <w:spacing w:after="0"/>
              <w:rPr>
                <w:sz w:val="20"/>
                <w:szCs w:val="20"/>
                <w:color w:val="auto"/>
              </w:rPr>
            </w:pPr>
          </w:p>
        </w:tc>
        <w:tc>
          <w:tcPr>
            <w:tcW w:w="660" w:type="dxa"/>
            <w:vAlign w:val="bottom"/>
            <w:shd w:val="clear" w:color="auto" w:fill="62259D"/>
          </w:tcPr>
          <w:p>
            <w:pPr>
              <w:jc w:val="right"/>
              <w:ind w:right="219"/>
              <w:spacing w:after="0"/>
              <w:rPr>
                <w:sz w:val="20"/>
                <w:szCs w:val="20"/>
                <w:color w:val="auto"/>
              </w:rPr>
            </w:pPr>
            <w:r>
              <w:rPr>
                <w:rFonts w:ascii="Arial" w:cs="Arial" w:eastAsia="Arial" w:hAnsi="Arial"/>
                <w:sz w:val="16"/>
                <w:szCs w:val="16"/>
                <w:b w:val="1"/>
                <w:bCs w:val="1"/>
                <w:color w:val="FEFEFE"/>
              </w:rPr>
              <w:t>($)</w:t>
            </w:r>
          </w:p>
        </w:tc>
        <w:tc>
          <w:tcPr>
            <w:tcW w:w="1580" w:type="dxa"/>
            <w:vAlign w:val="bottom"/>
            <w:shd w:val="clear" w:color="auto" w:fill="62259D"/>
          </w:tcPr>
          <w:p>
            <w:pPr>
              <w:ind w:left="720"/>
              <w:spacing w:after="0"/>
              <w:rPr>
                <w:sz w:val="20"/>
                <w:szCs w:val="20"/>
                <w:color w:val="auto"/>
              </w:rPr>
            </w:pPr>
            <w:r>
              <w:rPr>
                <w:rFonts w:ascii="Arial" w:cs="Arial" w:eastAsia="Arial" w:hAnsi="Arial"/>
                <w:sz w:val="16"/>
                <w:szCs w:val="16"/>
                <w:b w:val="1"/>
                <w:bCs w:val="1"/>
                <w:color w:val="FEFEFE"/>
              </w:rPr>
              <w:t>​ ​</w:t>
            </w:r>
          </w:p>
        </w:tc>
        <w:tc>
          <w:tcPr>
            <w:tcW w:w="120" w:type="dxa"/>
            <w:vAlign w:val="bottom"/>
            <w:shd w:val="clear" w:color="auto" w:fill="62259D"/>
          </w:tcPr>
          <w:p>
            <w:pPr>
              <w:spacing w:after="0"/>
              <w:rPr>
                <w:sz w:val="20"/>
                <w:szCs w:val="20"/>
                <w:color w:val="auto"/>
              </w:rPr>
            </w:pPr>
          </w:p>
        </w:tc>
        <w:tc>
          <w:tcPr>
            <w:tcW w:w="1000" w:type="dxa"/>
            <w:vAlign w:val="bottom"/>
            <w:shd w:val="clear" w:color="auto" w:fill="62259D"/>
          </w:tcPr>
          <w:p>
            <w:pPr>
              <w:jc w:val="right"/>
              <w:ind w:right="539"/>
              <w:spacing w:after="0"/>
              <w:rPr>
                <w:sz w:val="20"/>
                <w:szCs w:val="20"/>
                <w:color w:val="auto"/>
              </w:rPr>
            </w:pPr>
            <w:r>
              <w:rPr>
                <w:rFonts w:ascii="Arial" w:cs="Arial" w:eastAsia="Arial" w:hAnsi="Arial"/>
                <w:sz w:val="16"/>
                <w:szCs w:val="16"/>
                <w:b w:val="1"/>
                <w:bCs w:val="1"/>
                <w:color w:val="FEFEFE"/>
              </w:rPr>
              <w:t>($)</w:t>
            </w:r>
          </w:p>
        </w:tc>
        <w:tc>
          <w:tcPr>
            <w:tcW w:w="480" w:type="dxa"/>
            <w:vAlign w:val="bottom"/>
            <w:shd w:val="clear" w:color="auto" w:fill="62259D"/>
          </w:tcPr>
          <w:p>
            <w:pPr>
              <w:jc w:val="right"/>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189"/>
        </w:trPr>
        <w:tc>
          <w:tcPr>
            <w:tcW w:w="80" w:type="dxa"/>
            <w:vAlign w:val="bottom"/>
            <w:vMerge w:val="restart"/>
          </w:tcPr>
          <w:p>
            <w:pPr>
              <w:spacing w:after="0"/>
              <w:rPr>
                <w:sz w:val="20"/>
                <w:szCs w:val="20"/>
                <w:color w:val="auto"/>
              </w:rPr>
            </w:pPr>
            <w:r>
              <w:rPr>
                <w:rFonts w:ascii="Arial" w:cs="Arial" w:eastAsia="Arial" w:hAnsi="Arial"/>
                <w:sz w:val="16"/>
                <w:szCs w:val="16"/>
                <w:color w:val="auto"/>
              </w:rPr>
              <w:t>​</w:t>
            </w:r>
          </w:p>
        </w:tc>
        <w:tc>
          <w:tcPr>
            <w:tcW w:w="2700" w:type="dxa"/>
            <w:vAlign w:val="bottom"/>
          </w:tcPr>
          <w:p>
            <w:pPr>
              <w:ind w:left="40"/>
              <w:spacing w:after="0" w:line="189" w:lineRule="exact"/>
              <w:rPr>
                <w:sz w:val="20"/>
                <w:szCs w:val="20"/>
                <w:color w:val="auto"/>
              </w:rPr>
            </w:pPr>
            <w:r>
              <w:rPr>
                <w:rFonts w:ascii="Arial" w:cs="Arial" w:eastAsia="Arial" w:hAnsi="Arial"/>
                <w:sz w:val="16"/>
                <w:szCs w:val="16"/>
                <w:color w:val="auto"/>
              </w:rPr>
              <w:t>Audit fees</w:t>
            </w:r>
            <w:r>
              <w:rPr>
                <w:rFonts w:ascii="Arial" w:cs="Arial" w:eastAsia="Arial" w:hAnsi="Arial"/>
                <w:sz w:val="19"/>
                <w:szCs w:val="19"/>
                <w:color w:val="auto"/>
                <w:vertAlign w:val="superscript"/>
              </w:rPr>
              <w:t>(1)</w:t>
            </w:r>
          </w:p>
        </w:tc>
        <w:tc>
          <w:tcPr>
            <w:tcW w:w="1320" w:type="dxa"/>
            <w:vAlign w:val="bottom"/>
            <w:vMerge w:val="restart"/>
          </w:tcPr>
          <w:p>
            <w:pPr>
              <w:ind w:left="1220"/>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46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2,440,707</w:t>
            </w:r>
          </w:p>
        </w:tc>
        <w:tc>
          <w:tcPr>
            <w:tcW w:w="1580" w:type="dxa"/>
            <w:vAlign w:val="bottom"/>
            <w:vMerge w:val="restart"/>
          </w:tcPr>
          <w:p>
            <w:pPr>
              <w:ind w:left="66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20" w:type="dxa"/>
            <w:vAlign w:val="bottom"/>
            <w:gridSpan w:val="2"/>
          </w:tcPr>
          <w:p>
            <w:pPr>
              <w:jc w:val="right"/>
              <w:ind w:right="279"/>
              <w:spacing w:after="0"/>
              <w:rPr>
                <w:sz w:val="20"/>
                <w:szCs w:val="20"/>
                <w:color w:val="auto"/>
              </w:rPr>
            </w:pPr>
            <w:r>
              <w:rPr>
                <w:rFonts w:ascii="Arial" w:cs="Arial" w:eastAsia="Arial" w:hAnsi="Arial"/>
                <w:sz w:val="16"/>
                <w:szCs w:val="16"/>
                <w:color w:val="auto"/>
              </w:rPr>
              <w:t>​2,548,712</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80" w:type="dxa"/>
            <w:vAlign w:val="bottom"/>
            <w:tcBorders>
              <w:bottom w:val="single" w:sz="8" w:color="E7417A"/>
            </w:tcBorders>
            <w:vMerge w:val="continue"/>
          </w:tcPr>
          <w:p>
            <w:pPr>
              <w:spacing w:after="0"/>
              <w:rPr>
                <w:sz w:val="5"/>
                <w:szCs w:val="5"/>
                <w:color w:val="auto"/>
              </w:rPr>
            </w:pPr>
          </w:p>
        </w:tc>
        <w:tc>
          <w:tcPr>
            <w:tcW w:w="2700" w:type="dxa"/>
            <w:vAlign w:val="bottom"/>
            <w:tcBorders>
              <w:bottom w:val="single" w:sz="8" w:color="E7417A"/>
            </w:tcBorders>
          </w:tcPr>
          <w:p>
            <w:pPr>
              <w:spacing w:after="0"/>
              <w:rPr>
                <w:sz w:val="5"/>
                <w:szCs w:val="5"/>
                <w:color w:val="auto"/>
              </w:rPr>
            </w:pPr>
          </w:p>
        </w:tc>
        <w:tc>
          <w:tcPr>
            <w:tcW w:w="1320" w:type="dxa"/>
            <w:vAlign w:val="bottom"/>
            <w:tcBorders>
              <w:bottom w:val="single" w:sz="8" w:color="E7417A"/>
            </w:tcBorders>
            <w:vMerge w:val="continue"/>
          </w:tcPr>
          <w:p>
            <w:pPr>
              <w:spacing w:after="0"/>
              <w:rPr>
                <w:sz w:val="5"/>
                <w:szCs w:val="5"/>
                <w:color w:val="auto"/>
              </w:rPr>
            </w:pPr>
          </w:p>
        </w:tc>
        <w:tc>
          <w:tcPr>
            <w:tcW w:w="60" w:type="dxa"/>
            <w:vAlign w:val="bottom"/>
            <w:tcBorders>
              <w:bottom w:val="single" w:sz="8" w:color="E7417A"/>
            </w:tcBorders>
            <w:vMerge w:val="continue"/>
          </w:tcPr>
          <w:p>
            <w:pPr>
              <w:spacing w:after="0"/>
              <w:rPr>
                <w:sz w:val="5"/>
                <w:szCs w:val="5"/>
                <w:color w:val="auto"/>
              </w:rPr>
            </w:pPr>
          </w:p>
        </w:tc>
        <w:tc>
          <w:tcPr>
            <w:tcW w:w="60" w:type="dxa"/>
            <w:vAlign w:val="bottom"/>
            <w:tcBorders>
              <w:bottom w:val="single" w:sz="8" w:color="E7417A"/>
            </w:tcBorders>
          </w:tcPr>
          <w:p>
            <w:pPr>
              <w:spacing w:after="0"/>
              <w:rPr>
                <w:sz w:val="5"/>
                <w:szCs w:val="5"/>
                <w:color w:val="auto"/>
              </w:rPr>
            </w:pPr>
          </w:p>
        </w:tc>
        <w:tc>
          <w:tcPr>
            <w:tcW w:w="800" w:type="dxa"/>
            <w:vAlign w:val="bottom"/>
            <w:tcBorders>
              <w:bottom w:val="single" w:sz="8" w:color="E7417A"/>
            </w:tcBorders>
          </w:tcPr>
          <w:p>
            <w:pPr>
              <w:spacing w:after="0"/>
              <w:rPr>
                <w:sz w:val="5"/>
                <w:szCs w:val="5"/>
                <w:color w:val="auto"/>
              </w:rPr>
            </w:pPr>
          </w:p>
        </w:tc>
        <w:tc>
          <w:tcPr>
            <w:tcW w:w="660" w:type="dxa"/>
            <w:vAlign w:val="bottom"/>
            <w:tcBorders>
              <w:bottom w:val="single" w:sz="8" w:color="E7417A"/>
            </w:tcBorders>
          </w:tcPr>
          <w:p>
            <w:pPr>
              <w:spacing w:after="0"/>
              <w:rPr>
                <w:sz w:val="5"/>
                <w:szCs w:val="5"/>
                <w:color w:val="auto"/>
              </w:rPr>
            </w:pPr>
          </w:p>
        </w:tc>
        <w:tc>
          <w:tcPr>
            <w:tcW w:w="1580" w:type="dxa"/>
            <w:vAlign w:val="bottom"/>
            <w:tcBorders>
              <w:bottom w:val="single" w:sz="8" w:color="E7417A"/>
            </w:tcBorders>
            <w:vMerge w:val="continue"/>
          </w:tcPr>
          <w:p>
            <w:pPr>
              <w:spacing w:after="0"/>
              <w:rPr>
                <w:sz w:val="5"/>
                <w:szCs w:val="5"/>
                <w:color w:val="auto"/>
              </w:rPr>
            </w:pPr>
          </w:p>
        </w:tc>
        <w:tc>
          <w:tcPr>
            <w:tcW w:w="120" w:type="dxa"/>
            <w:vAlign w:val="bottom"/>
            <w:tcBorders>
              <w:bottom w:val="single" w:sz="8" w:color="E7417A"/>
            </w:tcBorders>
          </w:tcPr>
          <w:p>
            <w:pPr>
              <w:spacing w:after="0" w:line="68" w:lineRule="exact"/>
              <w:rPr>
                <w:sz w:val="20"/>
                <w:szCs w:val="20"/>
                <w:color w:val="auto"/>
              </w:rPr>
            </w:pPr>
            <w:r>
              <w:rPr>
                <w:rFonts w:ascii="Arial" w:cs="Arial" w:eastAsia="Arial" w:hAnsi="Arial"/>
                <w:sz w:val="7"/>
                <w:szCs w:val="7"/>
                <w:color w:val="auto"/>
              </w:rPr>
              <w:t>​</w:t>
            </w:r>
          </w:p>
        </w:tc>
        <w:tc>
          <w:tcPr>
            <w:tcW w:w="1000" w:type="dxa"/>
            <w:vAlign w:val="bottom"/>
            <w:tcBorders>
              <w:bottom w:val="single" w:sz="8" w:color="E7417A"/>
            </w:tcBorders>
          </w:tcPr>
          <w:p>
            <w:pPr>
              <w:spacing w:after="0"/>
              <w:rPr>
                <w:sz w:val="5"/>
                <w:szCs w:val="5"/>
                <w:color w:val="auto"/>
              </w:rPr>
            </w:pPr>
          </w:p>
        </w:tc>
        <w:tc>
          <w:tcPr>
            <w:tcW w:w="480" w:type="dxa"/>
            <w:vAlign w:val="bottom"/>
            <w:tcBorders>
              <w:bottom w:val="single" w:sz="8" w:color="E7417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spacing w:after="0"/>
              <w:rPr>
                <w:sz w:val="20"/>
                <w:szCs w:val="20"/>
                <w:color w:val="auto"/>
              </w:rPr>
            </w:pPr>
            <w:r>
              <w:rPr>
                <w:rFonts w:ascii="Arial" w:cs="Arial" w:eastAsia="Arial" w:hAnsi="Arial"/>
                <w:sz w:val="16"/>
                <w:szCs w:val="16"/>
                <w:color w:val="auto"/>
              </w:rPr>
              <w:t>​</w:t>
            </w:r>
          </w:p>
        </w:tc>
        <w:tc>
          <w:tcPr>
            <w:tcW w:w="2700" w:type="dxa"/>
            <w:vAlign w:val="bottom"/>
          </w:tcPr>
          <w:p>
            <w:pPr>
              <w:ind w:left="40"/>
              <w:spacing w:after="0" w:line="183" w:lineRule="exact"/>
              <w:rPr>
                <w:sz w:val="20"/>
                <w:szCs w:val="20"/>
                <w:color w:val="auto"/>
              </w:rPr>
            </w:pPr>
            <w:r>
              <w:rPr>
                <w:rFonts w:ascii="Arial" w:cs="Arial" w:eastAsia="Arial" w:hAnsi="Arial"/>
                <w:sz w:val="16"/>
                <w:szCs w:val="16"/>
                <w:color w:val="auto"/>
              </w:rPr>
              <w:t>Audit-related fees</w:t>
            </w:r>
            <w:r>
              <w:rPr>
                <w:rFonts w:ascii="Arial" w:cs="Arial" w:eastAsia="Arial" w:hAnsi="Arial"/>
                <w:sz w:val="19"/>
                <w:szCs w:val="19"/>
                <w:color w:val="auto"/>
                <w:vertAlign w:val="superscript"/>
              </w:rPr>
              <w:t>(2)</w:t>
            </w:r>
          </w:p>
        </w:tc>
        <w:tc>
          <w:tcPr>
            <w:tcW w:w="1320" w:type="dxa"/>
            <w:vAlign w:val="bottom"/>
            <w:vMerge w:val="restart"/>
          </w:tcPr>
          <w:p>
            <w:pPr>
              <w:ind w:left="1220"/>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800" w:type="dxa"/>
            <w:vAlign w:val="bottom"/>
          </w:tcPr>
          <w:p>
            <w:pPr>
              <w:ind w:left="700"/>
              <w:spacing w:after="0" w:line="183" w:lineRule="exact"/>
              <w:rPr>
                <w:sz w:val="20"/>
                <w:szCs w:val="20"/>
                <w:color w:val="auto"/>
              </w:rPr>
            </w:pPr>
            <w:r>
              <w:rPr>
                <w:rFonts w:ascii="Arial" w:cs="Arial" w:eastAsia="Arial" w:hAnsi="Arial"/>
                <w:sz w:val="16"/>
                <w:szCs w:val="16"/>
                <w:color w:val="auto"/>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580" w:type="dxa"/>
            <w:vAlign w:val="bottom"/>
            <w:vMerge w:val="restart"/>
          </w:tcPr>
          <w:p>
            <w:pPr>
              <w:ind w:left="66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2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80" w:type="dxa"/>
            <w:vAlign w:val="bottom"/>
            <w:tcBorders>
              <w:bottom w:val="single" w:sz="8" w:color="E7417A"/>
            </w:tcBorders>
            <w:vMerge w:val="continue"/>
          </w:tcPr>
          <w:p>
            <w:pPr>
              <w:spacing w:after="0"/>
              <w:rPr>
                <w:sz w:val="5"/>
                <w:szCs w:val="5"/>
                <w:color w:val="auto"/>
              </w:rPr>
            </w:pPr>
          </w:p>
        </w:tc>
        <w:tc>
          <w:tcPr>
            <w:tcW w:w="2700" w:type="dxa"/>
            <w:vAlign w:val="bottom"/>
            <w:tcBorders>
              <w:bottom w:val="single" w:sz="8" w:color="E7417A"/>
            </w:tcBorders>
          </w:tcPr>
          <w:p>
            <w:pPr>
              <w:spacing w:after="0"/>
              <w:rPr>
                <w:sz w:val="5"/>
                <w:szCs w:val="5"/>
                <w:color w:val="auto"/>
              </w:rPr>
            </w:pPr>
          </w:p>
        </w:tc>
        <w:tc>
          <w:tcPr>
            <w:tcW w:w="1320" w:type="dxa"/>
            <w:vAlign w:val="bottom"/>
            <w:tcBorders>
              <w:bottom w:val="single" w:sz="8" w:color="E7417A"/>
            </w:tcBorders>
            <w:vMerge w:val="continue"/>
          </w:tcPr>
          <w:p>
            <w:pPr>
              <w:spacing w:after="0"/>
              <w:rPr>
                <w:sz w:val="5"/>
                <w:szCs w:val="5"/>
                <w:color w:val="auto"/>
              </w:rPr>
            </w:pPr>
          </w:p>
        </w:tc>
        <w:tc>
          <w:tcPr>
            <w:tcW w:w="60" w:type="dxa"/>
            <w:vAlign w:val="bottom"/>
            <w:tcBorders>
              <w:bottom w:val="single" w:sz="8" w:color="E7417A"/>
            </w:tcBorders>
            <w:vMerge w:val="continue"/>
          </w:tcPr>
          <w:p>
            <w:pPr>
              <w:spacing w:after="0"/>
              <w:rPr>
                <w:sz w:val="5"/>
                <w:szCs w:val="5"/>
                <w:color w:val="auto"/>
              </w:rPr>
            </w:pPr>
          </w:p>
        </w:tc>
        <w:tc>
          <w:tcPr>
            <w:tcW w:w="60" w:type="dxa"/>
            <w:vAlign w:val="bottom"/>
            <w:tcBorders>
              <w:bottom w:val="single" w:sz="8" w:color="E7417A"/>
            </w:tcBorders>
          </w:tcPr>
          <w:p>
            <w:pPr>
              <w:spacing w:after="0"/>
              <w:rPr>
                <w:sz w:val="5"/>
                <w:szCs w:val="5"/>
                <w:color w:val="auto"/>
              </w:rPr>
            </w:pPr>
          </w:p>
        </w:tc>
        <w:tc>
          <w:tcPr>
            <w:tcW w:w="800" w:type="dxa"/>
            <w:vAlign w:val="bottom"/>
            <w:tcBorders>
              <w:bottom w:val="single" w:sz="8" w:color="E7417A"/>
            </w:tcBorders>
          </w:tcPr>
          <w:p>
            <w:pPr>
              <w:spacing w:after="0"/>
              <w:rPr>
                <w:sz w:val="5"/>
                <w:szCs w:val="5"/>
                <w:color w:val="auto"/>
              </w:rPr>
            </w:pPr>
          </w:p>
        </w:tc>
        <w:tc>
          <w:tcPr>
            <w:tcW w:w="660" w:type="dxa"/>
            <w:vAlign w:val="bottom"/>
            <w:tcBorders>
              <w:bottom w:val="single" w:sz="8" w:color="E7417A"/>
            </w:tcBorders>
          </w:tcPr>
          <w:p>
            <w:pPr>
              <w:spacing w:after="0"/>
              <w:rPr>
                <w:sz w:val="5"/>
                <w:szCs w:val="5"/>
                <w:color w:val="auto"/>
              </w:rPr>
            </w:pPr>
          </w:p>
        </w:tc>
        <w:tc>
          <w:tcPr>
            <w:tcW w:w="1580" w:type="dxa"/>
            <w:vAlign w:val="bottom"/>
            <w:tcBorders>
              <w:bottom w:val="single" w:sz="8" w:color="E7417A"/>
            </w:tcBorders>
            <w:vMerge w:val="continue"/>
          </w:tcPr>
          <w:p>
            <w:pPr>
              <w:spacing w:after="0"/>
              <w:rPr>
                <w:sz w:val="5"/>
                <w:szCs w:val="5"/>
                <w:color w:val="auto"/>
              </w:rPr>
            </w:pPr>
          </w:p>
        </w:tc>
        <w:tc>
          <w:tcPr>
            <w:tcW w:w="120" w:type="dxa"/>
            <w:vAlign w:val="bottom"/>
            <w:tcBorders>
              <w:bottom w:val="single" w:sz="8" w:color="E7417A"/>
            </w:tcBorders>
          </w:tcPr>
          <w:p>
            <w:pPr>
              <w:spacing w:after="0" w:line="68" w:lineRule="exact"/>
              <w:rPr>
                <w:sz w:val="20"/>
                <w:szCs w:val="20"/>
                <w:color w:val="auto"/>
              </w:rPr>
            </w:pPr>
            <w:r>
              <w:rPr>
                <w:rFonts w:ascii="Arial" w:cs="Arial" w:eastAsia="Arial" w:hAnsi="Arial"/>
                <w:sz w:val="7"/>
                <w:szCs w:val="7"/>
                <w:color w:val="auto"/>
              </w:rPr>
              <w:t>​</w:t>
            </w:r>
          </w:p>
        </w:tc>
        <w:tc>
          <w:tcPr>
            <w:tcW w:w="1000" w:type="dxa"/>
            <w:vAlign w:val="bottom"/>
            <w:tcBorders>
              <w:bottom w:val="single" w:sz="8" w:color="E7417A"/>
            </w:tcBorders>
          </w:tcPr>
          <w:p>
            <w:pPr>
              <w:spacing w:after="0"/>
              <w:rPr>
                <w:sz w:val="5"/>
                <w:szCs w:val="5"/>
                <w:color w:val="auto"/>
              </w:rPr>
            </w:pPr>
          </w:p>
        </w:tc>
        <w:tc>
          <w:tcPr>
            <w:tcW w:w="480" w:type="dxa"/>
            <w:vAlign w:val="bottom"/>
            <w:tcBorders>
              <w:bottom w:val="single" w:sz="8" w:color="E7417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spacing w:after="0"/>
              <w:rPr>
                <w:sz w:val="20"/>
                <w:szCs w:val="20"/>
                <w:color w:val="auto"/>
              </w:rPr>
            </w:pPr>
            <w:r>
              <w:rPr>
                <w:rFonts w:ascii="Arial" w:cs="Arial" w:eastAsia="Arial" w:hAnsi="Arial"/>
                <w:sz w:val="16"/>
                <w:szCs w:val="16"/>
                <w:color w:val="auto"/>
              </w:rPr>
              <w:t>​</w:t>
            </w:r>
          </w:p>
        </w:tc>
        <w:tc>
          <w:tcPr>
            <w:tcW w:w="2700" w:type="dxa"/>
            <w:vAlign w:val="bottom"/>
          </w:tcPr>
          <w:p>
            <w:pPr>
              <w:ind w:left="40"/>
              <w:spacing w:after="0" w:line="183" w:lineRule="exact"/>
              <w:rPr>
                <w:sz w:val="20"/>
                <w:szCs w:val="20"/>
                <w:color w:val="auto"/>
              </w:rPr>
            </w:pPr>
            <w:r>
              <w:rPr>
                <w:rFonts w:ascii="Arial" w:cs="Arial" w:eastAsia="Arial" w:hAnsi="Arial"/>
                <w:sz w:val="16"/>
                <w:szCs w:val="16"/>
                <w:color w:val="auto"/>
              </w:rPr>
              <w:t>Tax fees</w:t>
            </w:r>
            <w:r>
              <w:rPr>
                <w:rFonts w:ascii="Arial" w:cs="Arial" w:eastAsia="Arial" w:hAnsi="Arial"/>
                <w:sz w:val="19"/>
                <w:szCs w:val="19"/>
                <w:color w:val="auto"/>
                <w:vertAlign w:val="superscript"/>
              </w:rPr>
              <w:t>(3)</w:t>
            </w:r>
          </w:p>
        </w:tc>
        <w:tc>
          <w:tcPr>
            <w:tcW w:w="1320" w:type="dxa"/>
            <w:vAlign w:val="bottom"/>
            <w:vMerge w:val="restart"/>
          </w:tcPr>
          <w:p>
            <w:pPr>
              <w:ind w:left="1220"/>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800" w:type="dxa"/>
            <w:vAlign w:val="bottom"/>
          </w:tcPr>
          <w:p>
            <w:pPr>
              <w:ind w:left="700"/>
              <w:spacing w:after="0" w:line="183" w:lineRule="exact"/>
              <w:rPr>
                <w:sz w:val="20"/>
                <w:szCs w:val="20"/>
                <w:color w:val="auto"/>
              </w:rPr>
            </w:pPr>
            <w:r>
              <w:rPr>
                <w:rFonts w:ascii="Arial" w:cs="Arial" w:eastAsia="Arial" w:hAnsi="Arial"/>
                <w:sz w:val="16"/>
                <w:szCs w:val="16"/>
                <w:color w:val="auto"/>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142,543</w:t>
            </w:r>
          </w:p>
        </w:tc>
        <w:tc>
          <w:tcPr>
            <w:tcW w:w="1580" w:type="dxa"/>
            <w:vAlign w:val="bottom"/>
            <w:vMerge w:val="restart"/>
          </w:tcPr>
          <w:p>
            <w:pPr>
              <w:ind w:left="66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2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279"/>
              <w:spacing w:after="0" w:line="183" w:lineRule="exact"/>
              <w:rPr>
                <w:sz w:val="20"/>
                <w:szCs w:val="20"/>
                <w:color w:val="auto"/>
              </w:rPr>
            </w:pPr>
            <w:r>
              <w:rPr>
                <w:rFonts w:ascii="Arial" w:cs="Arial" w:eastAsia="Arial" w:hAnsi="Arial"/>
                <w:sz w:val="16"/>
                <w:szCs w:val="16"/>
                <w:color w:val="auto"/>
              </w:rPr>
              <w:t>59,000</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80" w:type="dxa"/>
            <w:vAlign w:val="bottom"/>
            <w:tcBorders>
              <w:bottom w:val="single" w:sz="8" w:color="E7417A"/>
            </w:tcBorders>
            <w:vMerge w:val="continue"/>
          </w:tcPr>
          <w:p>
            <w:pPr>
              <w:spacing w:after="0"/>
              <w:rPr>
                <w:sz w:val="5"/>
                <w:szCs w:val="5"/>
                <w:color w:val="auto"/>
              </w:rPr>
            </w:pPr>
          </w:p>
        </w:tc>
        <w:tc>
          <w:tcPr>
            <w:tcW w:w="2700" w:type="dxa"/>
            <w:vAlign w:val="bottom"/>
            <w:tcBorders>
              <w:bottom w:val="single" w:sz="8" w:color="E7417A"/>
            </w:tcBorders>
          </w:tcPr>
          <w:p>
            <w:pPr>
              <w:spacing w:after="0"/>
              <w:rPr>
                <w:sz w:val="5"/>
                <w:szCs w:val="5"/>
                <w:color w:val="auto"/>
              </w:rPr>
            </w:pPr>
          </w:p>
        </w:tc>
        <w:tc>
          <w:tcPr>
            <w:tcW w:w="1320" w:type="dxa"/>
            <w:vAlign w:val="bottom"/>
            <w:tcBorders>
              <w:bottom w:val="single" w:sz="8" w:color="E7417A"/>
            </w:tcBorders>
            <w:vMerge w:val="continue"/>
          </w:tcPr>
          <w:p>
            <w:pPr>
              <w:spacing w:after="0"/>
              <w:rPr>
                <w:sz w:val="5"/>
                <w:szCs w:val="5"/>
                <w:color w:val="auto"/>
              </w:rPr>
            </w:pPr>
          </w:p>
        </w:tc>
        <w:tc>
          <w:tcPr>
            <w:tcW w:w="60" w:type="dxa"/>
            <w:vAlign w:val="bottom"/>
            <w:tcBorders>
              <w:bottom w:val="single" w:sz="8" w:color="E7417A"/>
            </w:tcBorders>
            <w:vMerge w:val="continue"/>
          </w:tcPr>
          <w:p>
            <w:pPr>
              <w:spacing w:after="0"/>
              <w:rPr>
                <w:sz w:val="5"/>
                <w:szCs w:val="5"/>
                <w:color w:val="auto"/>
              </w:rPr>
            </w:pPr>
          </w:p>
        </w:tc>
        <w:tc>
          <w:tcPr>
            <w:tcW w:w="60" w:type="dxa"/>
            <w:vAlign w:val="bottom"/>
            <w:tcBorders>
              <w:bottom w:val="single" w:sz="8" w:color="E7417A"/>
            </w:tcBorders>
          </w:tcPr>
          <w:p>
            <w:pPr>
              <w:spacing w:after="0"/>
              <w:rPr>
                <w:sz w:val="5"/>
                <w:szCs w:val="5"/>
                <w:color w:val="auto"/>
              </w:rPr>
            </w:pPr>
          </w:p>
        </w:tc>
        <w:tc>
          <w:tcPr>
            <w:tcW w:w="800" w:type="dxa"/>
            <w:vAlign w:val="bottom"/>
            <w:tcBorders>
              <w:bottom w:val="single" w:sz="8" w:color="E7417A"/>
            </w:tcBorders>
          </w:tcPr>
          <w:p>
            <w:pPr>
              <w:spacing w:after="0"/>
              <w:rPr>
                <w:sz w:val="5"/>
                <w:szCs w:val="5"/>
                <w:color w:val="auto"/>
              </w:rPr>
            </w:pPr>
          </w:p>
        </w:tc>
        <w:tc>
          <w:tcPr>
            <w:tcW w:w="660" w:type="dxa"/>
            <w:vAlign w:val="bottom"/>
            <w:tcBorders>
              <w:bottom w:val="single" w:sz="8" w:color="E7417A"/>
            </w:tcBorders>
          </w:tcPr>
          <w:p>
            <w:pPr>
              <w:spacing w:after="0"/>
              <w:rPr>
                <w:sz w:val="5"/>
                <w:szCs w:val="5"/>
                <w:color w:val="auto"/>
              </w:rPr>
            </w:pPr>
          </w:p>
        </w:tc>
        <w:tc>
          <w:tcPr>
            <w:tcW w:w="1580" w:type="dxa"/>
            <w:vAlign w:val="bottom"/>
            <w:tcBorders>
              <w:bottom w:val="single" w:sz="8" w:color="E7417A"/>
            </w:tcBorders>
            <w:vMerge w:val="continue"/>
          </w:tcPr>
          <w:p>
            <w:pPr>
              <w:spacing w:after="0"/>
              <w:rPr>
                <w:sz w:val="5"/>
                <w:szCs w:val="5"/>
                <w:color w:val="auto"/>
              </w:rPr>
            </w:pPr>
          </w:p>
        </w:tc>
        <w:tc>
          <w:tcPr>
            <w:tcW w:w="120" w:type="dxa"/>
            <w:vAlign w:val="bottom"/>
            <w:tcBorders>
              <w:bottom w:val="single" w:sz="8" w:color="E7417A"/>
            </w:tcBorders>
          </w:tcPr>
          <w:p>
            <w:pPr>
              <w:spacing w:after="0" w:line="68" w:lineRule="exact"/>
              <w:rPr>
                <w:sz w:val="20"/>
                <w:szCs w:val="20"/>
                <w:color w:val="auto"/>
              </w:rPr>
            </w:pPr>
            <w:r>
              <w:rPr>
                <w:rFonts w:ascii="Arial" w:cs="Arial" w:eastAsia="Arial" w:hAnsi="Arial"/>
                <w:sz w:val="7"/>
                <w:szCs w:val="7"/>
                <w:color w:val="auto"/>
              </w:rPr>
              <w:t>​</w:t>
            </w:r>
          </w:p>
        </w:tc>
        <w:tc>
          <w:tcPr>
            <w:tcW w:w="1000" w:type="dxa"/>
            <w:vAlign w:val="bottom"/>
            <w:tcBorders>
              <w:bottom w:val="single" w:sz="8" w:color="E7417A"/>
            </w:tcBorders>
          </w:tcPr>
          <w:p>
            <w:pPr>
              <w:spacing w:after="0"/>
              <w:rPr>
                <w:sz w:val="5"/>
                <w:szCs w:val="5"/>
                <w:color w:val="auto"/>
              </w:rPr>
            </w:pPr>
          </w:p>
        </w:tc>
        <w:tc>
          <w:tcPr>
            <w:tcW w:w="480" w:type="dxa"/>
            <w:vAlign w:val="bottom"/>
            <w:tcBorders>
              <w:bottom w:val="single" w:sz="8" w:color="E7417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spacing w:after="0"/>
              <w:rPr>
                <w:sz w:val="20"/>
                <w:szCs w:val="20"/>
                <w:color w:val="auto"/>
              </w:rPr>
            </w:pPr>
            <w:r>
              <w:rPr>
                <w:rFonts w:ascii="Arial" w:cs="Arial" w:eastAsia="Arial" w:hAnsi="Arial"/>
                <w:sz w:val="16"/>
                <w:szCs w:val="16"/>
                <w:color w:val="auto"/>
              </w:rPr>
              <w:t>​</w:t>
            </w:r>
          </w:p>
        </w:tc>
        <w:tc>
          <w:tcPr>
            <w:tcW w:w="2700" w:type="dxa"/>
            <w:vAlign w:val="bottom"/>
          </w:tcPr>
          <w:p>
            <w:pPr>
              <w:ind w:left="40"/>
              <w:spacing w:after="0" w:line="183" w:lineRule="exact"/>
              <w:rPr>
                <w:sz w:val="20"/>
                <w:szCs w:val="20"/>
                <w:color w:val="auto"/>
              </w:rPr>
            </w:pPr>
            <w:r>
              <w:rPr>
                <w:rFonts w:ascii="Arial" w:cs="Arial" w:eastAsia="Arial" w:hAnsi="Arial"/>
                <w:sz w:val="16"/>
                <w:szCs w:val="16"/>
                <w:color w:val="auto"/>
              </w:rPr>
              <w:t>All other fees</w:t>
            </w:r>
            <w:r>
              <w:rPr>
                <w:rFonts w:ascii="Arial" w:cs="Arial" w:eastAsia="Arial" w:hAnsi="Arial"/>
                <w:sz w:val="19"/>
                <w:szCs w:val="19"/>
                <w:color w:val="auto"/>
                <w:vertAlign w:val="superscript"/>
              </w:rPr>
              <w:t>(4)</w:t>
            </w:r>
          </w:p>
        </w:tc>
        <w:tc>
          <w:tcPr>
            <w:tcW w:w="1320" w:type="dxa"/>
            <w:vAlign w:val="bottom"/>
            <w:vMerge w:val="restart"/>
          </w:tcPr>
          <w:p>
            <w:pPr>
              <w:ind w:left="1220"/>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800" w:type="dxa"/>
            <w:vAlign w:val="bottom"/>
          </w:tcPr>
          <w:p>
            <w:pPr>
              <w:ind w:left="700"/>
              <w:spacing w:after="0" w:line="183" w:lineRule="exact"/>
              <w:rPr>
                <w:sz w:val="20"/>
                <w:szCs w:val="20"/>
                <w:color w:val="auto"/>
              </w:rPr>
            </w:pPr>
            <w:r>
              <w:rPr>
                <w:rFonts w:ascii="Arial" w:cs="Arial" w:eastAsia="Arial" w:hAnsi="Arial"/>
                <w:sz w:val="16"/>
                <w:szCs w:val="16"/>
                <w:color w:val="auto"/>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4,103</w:t>
            </w:r>
          </w:p>
        </w:tc>
        <w:tc>
          <w:tcPr>
            <w:tcW w:w="1580" w:type="dxa"/>
            <w:vAlign w:val="bottom"/>
            <w:vMerge w:val="restart"/>
          </w:tcPr>
          <w:p>
            <w:pPr>
              <w:ind w:left="66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2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279"/>
              <w:spacing w:after="0" w:line="183" w:lineRule="exact"/>
              <w:rPr>
                <w:sz w:val="20"/>
                <w:szCs w:val="20"/>
                <w:color w:val="auto"/>
              </w:rPr>
            </w:pPr>
            <w:r>
              <w:rPr>
                <w:rFonts w:ascii="Arial" w:cs="Arial" w:eastAsia="Arial" w:hAnsi="Arial"/>
                <w:sz w:val="16"/>
                <w:szCs w:val="16"/>
                <w:color w:val="auto"/>
              </w:rPr>
              <w:t>4,103</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80" w:type="dxa"/>
            <w:vAlign w:val="bottom"/>
            <w:tcBorders>
              <w:bottom w:val="single" w:sz="8" w:color="E7417A"/>
            </w:tcBorders>
            <w:vMerge w:val="continue"/>
          </w:tcPr>
          <w:p>
            <w:pPr>
              <w:spacing w:after="0"/>
              <w:rPr>
                <w:sz w:val="5"/>
                <w:szCs w:val="5"/>
                <w:color w:val="auto"/>
              </w:rPr>
            </w:pPr>
          </w:p>
        </w:tc>
        <w:tc>
          <w:tcPr>
            <w:tcW w:w="2700" w:type="dxa"/>
            <w:vAlign w:val="bottom"/>
            <w:tcBorders>
              <w:bottom w:val="single" w:sz="8" w:color="E7417A"/>
            </w:tcBorders>
          </w:tcPr>
          <w:p>
            <w:pPr>
              <w:spacing w:after="0"/>
              <w:rPr>
                <w:sz w:val="5"/>
                <w:szCs w:val="5"/>
                <w:color w:val="auto"/>
              </w:rPr>
            </w:pPr>
          </w:p>
        </w:tc>
        <w:tc>
          <w:tcPr>
            <w:tcW w:w="1320" w:type="dxa"/>
            <w:vAlign w:val="bottom"/>
            <w:tcBorders>
              <w:bottom w:val="single" w:sz="8" w:color="E7417A"/>
            </w:tcBorders>
            <w:vMerge w:val="continue"/>
          </w:tcPr>
          <w:p>
            <w:pPr>
              <w:spacing w:after="0"/>
              <w:rPr>
                <w:sz w:val="5"/>
                <w:szCs w:val="5"/>
                <w:color w:val="auto"/>
              </w:rPr>
            </w:pPr>
          </w:p>
        </w:tc>
        <w:tc>
          <w:tcPr>
            <w:tcW w:w="60" w:type="dxa"/>
            <w:vAlign w:val="bottom"/>
            <w:tcBorders>
              <w:bottom w:val="single" w:sz="8" w:color="E7417A"/>
            </w:tcBorders>
            <w:vMerge w:val="continue"/>
          </w:tcPr>
          <w:p>
            <w:pPr>
              <w:spacing w:after="0"/>
              <w:rPr>
                <w:sz w:val="5"/>
                <w:szCs w:val="5"/>
                <w:color w:val="auto"/>
              </w:rPr>
            </w:pPr>
          </w:p>
        </w:tc>
        <w:tc>
          <w:tcPr>
            <w:tcW w:w="60" w:type="dxa"/>
            <w:vAlign w:val="bottom"/>
            <w:tcBorders>
              <w:bottom w:val="single" w:sz="8" w:color="E7417A"/>
            </w:tcBorders>
          </w:tcPr>
          <w:p>
            <w:pPr>
              <w:spacing w:after="0"/>
              <w:rPr>
                <w:sz w:val="5"/>
                <w:szCs w:val="5"/>
                <w:color w:val="auto"/>
              </w:rPr>
            </w:pPr>
          </w:p>
        </w:tc>
        <w:tc>
          <w:tcPr>
            <w:tcW w:w="800" w:type="dxa"/>
            <w:vAlign w:val="bottom"/>
            <w:tcBorders>
              <w:bottom w:val="single" w:sz="8" w:color="E7417A"/>
            </w:tcBorders>
          </w:tcPr>
          <w:p>
            <w:pPr>
              <w:spacing w:after="0"/>
              <w:rPr>
                <w:sz w:val="5"/>
                <w:szCs w:val="5"/>
                <w:color w:val="auto"/>
              </w:rPr>
            </w:pPr>
          </w:p>
        </w:tc>
        <w:tc>
          <w:tcPr>
            <w:tcW w:w="660" w:type="dxa"/>
            <w:vAlign w:val="bottom"/>
            <w:tcBorders>
              <w:bottom w:val="single" w:sz="8" w:color="E7417A"/>
            </w:tcBorders>
          </w:tcPr>
          <w:p>
            <w:pPr>
              <w:spacing w:after="0"/>
              <w:rPr>
                <w:sz w:val="5"/>
                <w:szCs w:val="5"/>
                <w:color w:val="auto"/>
              </w:rPr>
            </w:pPr>
          </w:p>
        </w:tc>
        <w:tc>
          <w:tcPr>
            <w:tcW w:w="1580" w:type="dxa"/>
            <w:vAlign w:val="bottom"/>
            <w:tcBorders>
              <w:bottom w:val="single" w:sz="8" w:color="E7417A"/>
            </w:tcBorders>
            <w:vMerge w:val="continue"/>
          </w:tcPr>
          <w:p>
            <w:pPr>
              <w:spacing w:after="0"/>
              <w:rPr>
                <w:sz w:val="5"/>
                <w:szCs w:val="5"/>
                <w:color w:val="auto"/>
              </w:rPr>
            </w:pPr>
          </w:p>
        </w:tc>
        <w:tc>
          <w:tcPr>
            <w:tcW w:w="120" w:type="dxa"/>
            <w:vAlign w:val="bottom"/>
            <w:tcBorders>
              <w:bottom w:val="single" w:sz="8" w:color="E7417A"/>
            </w:tcBorders>
          </w:tcPr>
          <w:p>
            <w:pPr>
              <w:spacing w:after="0" w:line="68" w:lineRule="exact"/>
              <w:rPr>
                <w:sz w:val="20"/>
                <w:szCs w:val="20"/>
                <w:color w:val="auto"/>
              </w:rPr>
            </w:pPr>
            <w:r>
              <w:rPr>
                <w:rFonts w:ascii="Arial" w:cs="Arial" w:eastAsia="Arial" w:hAnsi="Arial"/>
                <w:sz w:val="7"/>
                <w:szCs w:val="7"/>
                <w:color w:val="auto"/>
              </w:rPr>
              <w:t>​</w:t>
            </w:r>
          </w:p>
        </w:tc>
        <w:tc>
          <w:tcPr>
            <w:tcW w:w="1000" w:type="dxa"/>
            <w:vAlign w:val="bottom"/>
            <w:tcBorders>
              <w:bottom w:val="single" w:sz="8" w:color="E7417A"/>
            </w:tcBorders>
          </w:tcPr>
          <w:p>
            <w:pPr>
              <w:spacing w:after="0"/>
              <w:rPr>
                <w:sz w:val="5"/>
                <w:szCs w:val="5"/>
                <w:color w:val="auto"/>
              </w:rPr>
            </w:pPr>
          </w:p>
        </w:tc>
        <w:tc>
          <w:tcPr>
            <w:tcW w:w="480" w:type="dxa"/>
            <w:vAlign w:val="bottom"/>
            <w:tcBorders>
              <w:bottom w:val="single" w:sz="8" w:color="E7417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780" w:type="dxa"/>
            <w:vAlign w:val="bottom"/>
            <w:tcBorders>
              <w:bottom w:val="single" w:sz="8" w:color="62259D"/>
            </w:tcBorders>
            <w:gridSpan w:val="2"/>
            <w:shd w:val="clear" w:color="auto" w:fill="F2F2F2"/>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Total</w:t>
            </w:r>
          </w:p>
        </w:tc>
        <w:tc>
          <w:tcPr>
            <w:tcW w:w="1380" w:type="dxa"/>
            <w:vAlign w:val="bottom"/>
            <w:tcBorders>
              <w:bottom w:val="single" w:sz="8" w:color="62259D"/>
            </w:tcBorders>
            <w:gridSpan w:val="2"/>
            <w:shd w:val="clear" w:color="auto" w:fill="F2F2F2"/>
          </w:tcPr>
          <w:p>
            <w:pPr>
              <w:jc w:val="right"/>
              <w:spacing w:after="0"/>
              <w:rPr>
                <w:sz w:val="20"/>
                <w:szCs w:val="20"/>
                <w:color w:val="auto"/>
              </w:rPr>
            </w:pPr>
            <w:r>
              <w:rPr>
                <w:rFonts w:ascii="Arial" w:cs="Arial" w:eastAsia="Arial" w:hAnsi="Arial"/>
                <w:sz w:val="16"/>
                <w:szCs w:val="16"/>
                <w:color w:val="auto"/>
              </w:rPr>
              <w:t>​ ​</w:t>
            </w:r>
          </w:p>
        </w:tc>
        <w:tc>
          <w:tcPr>
            <w:tcW w:w="60" w:type="dxa"/>
            <w:vAlign w:val="bottom"/>
            <w:tcBorders>
              <w:bottom w:val="single" w:sz="8" w:color="62259D"/>
            </w:tcBorders>
            <w:shd w:val="clear" w:color="auto" w:fill="F2F2F2"/>
          </w:tcPr>
          <w:p>
            <w:pPr>
              <w:spacing w:after="0"/>
              <w:rPr>
                <w:sz w:val="21"/>
                <w:szCs w:val="21"/>
                <w:color w:val="auto"/>
              </w:rPr>
            </w:pPr>
          </w:p>
        </w:tc>
        <w:tc>
          <w:tcPr>
            <w:tcW w:w="1460" w:type="dxa"/>
            <w:vAlign w:val="bottom"/>
            <w:tcBorders>
              <w:bottom w:val="single" w:sz="8" w:color="62259D"/>
            </w:tcBorders>
            <w:gridSpan w:val="2"/>
            <w:shd w:val="clear" w:color="auto" w:fill="F2F2F2"/>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2,587,353</w:t>
            </w:r>
          </w:p>
        </w:tc>
        <w:tc>
          <w:tcPr>
            <w:tcW w:w="1580" w:type="dxa"/>
            <w:vAlign w:val="bottom"/>
            <w:tcBorders>
              <w:bottom w:val="single" w:sz="8" w:color="62259D"/>
            </w:tcBorders>
            <w:shd w:val="clear" w:color="auto" w:fill="F2F2F2"/>
          </w:tcPr>
          <w:p>
            <w:pPr>
              <w:ind w:left="66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20" w:type="dxa"/>
            <w:vAlign w:val="bottom"/>
            <w:tcBorders>
              <w:bottom w:val="single" w:sz="8" w:color="62259D"/>
            </w:tcBorders>
            <w:gridSpan w:val="2"/>
            <w:shd w:val="clear" w:color="auto" w:fill="F2F2F2"/>
          </w:tcPr>
          <w:p>
            <w:pPr>
              <w:jc w:val="right"/>
              <w:ind w:right="27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​2,611,815</w:t>
            </w:r>
          </w:p>
        </w:tc>
        <w:tc>
          <w:tcPr>
            <w:tcW w:w="480" w:type="dxa"/>
            <w:vAlign w:val="bottom"/>
            <w:tcBorders>
              <w:bottom w:val="single" w:sz="8" w:color="62259D"/>
            </w:tcBorders>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400" w:right="140" w:hanging="368"/>
        <w:spacing w:after="0" w:line="252" w:lineRule="auto"/>
        <w:tabs>
          <w:tab w:leader="none" w:pos="140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Audit fees. </w:t>
      </w:r>
      <w:r>
        <w:rPr>
          <w:rFonts w:ascii="Arial" w:cs="Arial" w:eastAsia="Arial" w:hAnsi="Arial"/>
          <w:sz w:val="16"/>
          <w:szCs w:val="16"/>
          <w:color w:val="auto"/>
        </w:rPr>
        <w:t>These amounts represent fees for the audit of our consolidated financial statements included in our</w:t>
      </w:r>
      <w:r>
        <w:rPr>
          <w:rFonts w:ascii="Arial" w:cs="Arial" w:eastAsia="Arial" w:hAnsi="Arial"/>
          <w:sz w:val="16"/>
          <w:szCs w:val="16"/>
          <w:b w:val="1"/>
          <w:bCs w:val="1"/>
          <w:color w:val="auto"/>
        </w:rPr>
        <w:t xml:space="preserve"> </w:t>
      </w:r>
      <w:r>
        <w:rPr>
          <w:rFonts w:ascii="Arial" w:cs="Arial" w:eastAsia="Arial" w:hAnsi="Arial"/>
          <w:sz w:val="16"/>
          <w:szCs w:val="16"/>
          <w:color w:val="auto"/>
        </w:rPr>
        <w:t>Annual Reports on Form 10-K, the review of financial statements included in our Quarterly Reports on Form 10-Q, the audit of our internal control over financial reporting and the services that an independent auditor would customarily provide in connection with subsidiary audits, statutory requirements, regulatory filing and similar engagements for the fiscal year, such as consents and assistance with review of documents filed with the SEC. Audit fees also include advice on accounting matters that may arise in connection with, or as a result of, the audit or the review of periodic consolidated financial statements and statutory audits that non-U.S. jurisdictions require.</w:t>
      </w:r>
    </w:p>
    <w:p>
      <w:pPr>
        <w:spacing w:after="0" w:line="37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30</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9166BA"/>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9166BA"/>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8" w:lineRule="exact"/>
        <w:rPr>
          <w:sz w:val="20"/>
          <w:szCs w:val="20"/>
          <w:color w:val="auto"/>
        </w:rPr>
      </w:pPr>
    </w:p>
    <w:p>
      <w:pPr>
        <w:ind w:left="1400" w:right="399" w:hanging="368"/>
        <w:spacing w:after="0" w:line="286" w:lineRule="auto"/>
        <w:tabs>
          <w:tab w:leader="none" w:pos="1400"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 xml:space="preserve">Audit-related fees. </w:t>
      </w:r>
      <w:r>
        <w:rPr>
          <w:rFonts w:ascii="Arial" w:cs="Arial" w:eastAsia="Arial" w:hAnsi="Arial"/>
          <w:sz w:val="16"/>
          <w:szCs w:val="16"/>
          <w:color w:val="auto"/>
        </w:rPr>
        <w:t>Audit-related fees consist of fees related to due diligence services and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consultations regarding the application of generally accepted accounting principles to proposed transactions.</w:t>
      </w:r>
    </w:p>
    <w:p>
      <w:pPr>
        <w:spacing w:after="0" w:line="7" w:lineRule="exact"/>
        <w:rPr>
          <w:rFonts w:ascii="Arial" w:cs="Arial" w:eastAsia="Arial" w:hAnsi="Arial"/>
          <w:sz w:val="16"/>
          <w:szCs w:val="16"/>
          <w:color w:val="auto"/>
        </w:rPr>
      </w:pPr>
    </w:p>
    <w:p>
      <w:pPr>
        <w:ind w:left="1400" w:right="559" w:hanging="368"/>
        <w:spacing w:after="0" w:line="266" w:lineRule="auto"/>
        <w:tabs>
          <w:tab w:leader="none" w:pos="1400"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 xml:space="preserve">Tax fees. </w:t>
      </w:r>
      <w:r>
        <w:rPr>
          <w:rFonts w:ascii="Arial" w:cs="Arial" w:eastAsia="Arial" w:hAnsi="Arial"/>
          <w:sz w:val="16"/>
          <w:szCs w:val="16"/>
          <w:color w:val="auto"/>
        </w:rPr>
        <w:t>Tax fees consist of professional services for tax compliance, tax advice and tax planning. These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include assistance regarding federal, state and international tax compliance, value-added tax compliance, and transfer pricing advice and planning.</w:t>
      </w:r>
    </w:p>
    <w:p>
      <w:pPr>
        <w:spacing w:after="0" w:line="36" w:lineRule="exact"/>
        <w:rPr>
          <w:rFonts w:ascii="Arial" w:cs="Arial" w:eastAsia="Arial" w:hAnsi="Arial"/>
          <w:sz w:val="16"/>
          <w:szCs w:val="16"/>
          <w:color w:val="auto"/>
        </w:rPr>
      </w:pPr>
    </w:p>
    <w:p>
      <w:pPr>
        <w:ind w:left="1400" w:right="439" w:hanging="368"/>
        <w:spacing w:after="0" w:line="286" w:lineRule="auto"/>
        <w:tabs>
          <w:tab w:leader="none" w:pos="1400"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 xml:space="preserve">All other fees. </w:t>
      </w:r>
      <w:r>
        <w:rPr>
          <w:rFonts w:ascii="Arial" w:cs="Arial" w:eastAsia="Arial" w:hAnsi="Arial"/>
          <w:sz w:val="16"/>
          <w:szCs w:val="16"/>
          <w:color w:val="auto"/>
        </w:rPr>
        <w:t>All other fees consist of professional products and services other than the services reported</w:t>
      </w:r>
      <w:r>
        <w:rPr>
          <w:rFonts w:ascii="Arial" w:cs="Arial" w:eastAsia="Arial" w:hAnsi="Arial"/>
          <w:sz w:val="16"/>
          <w:szCs w:val="16"/>
          <w:b w:val="1"/>
          <w:bCs w:val="1"/>
          <w:color w:val="auto"/>
        </w:rPr>
        <w:t xml:space="preserve"> </w:t>
      </w:r>
      <w:r>
        <w:rPr>
          <w:rFonts w:ascii="Arial" w:cs="Arial" w:eastAsia="Arial" w:hAnsi="Arial"/>
          <w:sz w:val="16"/>
          <w:szCs w:val="16"/>
          <w:color w:val="auto"/>
        </w:rPr>
        <w:t>above, including fees for our subscription to Deloitte’s online accounting research tool.</w:t>
      </w:r>
    </w:p>
    <w:p>
      <w:pPr>
        <w:spacing w:after="0" w:line="118" w:lineRule="exact"/>
        <w:rPr>
          <w:sz w:val="20"/>
          <w:szCs w:val="20"/>
          <w:color w:val="auto"/>
        </w:rPr>
      </w:pPr>
    </w:p>
    <w:p>
      <w:pPr>
        <w:ind w:left="920" w:right="859"/>
        <w:spacing w:after="0" w:line="274" w:lineRule="auto"/>
        <w:rPr>
          <w:sz w:val="20"/>
          <w:szCs w:val="20"/>
          <w:color w:val="auto"/>
        </w:rPr>
      </w:pPr>
      <w:r>
        <w:rPr>
          <w:rFonts w:ascii="Arial" w:cs="Arial" w:eastAsia="Arial" w:hAnsi="Arial"/>
          <w:sz w:val="36"/>
          <w:szCs w:val="36"/>
          <w:b w:val="1"/>
          <w:bCs w:val="1"/>
          <w:color w:val="E7417A"/>
        </w:rPr>
        <w:t>Policy on Audit Committee Pre-Approval of Audit and Non-Audit Services</w:t>
      </w:r>
    </w:p>
    <w:p>
      <w:pPr>
        <w:spacing w:after="0" w:line="19" w:lineRule="exact"/>
        <w:rPr>
          <w:sz w:val="20"/>
          <w:szCs w:val="20"/>
          <w:color w:val="auto"/>
        </w:rPr>
      </w:pPr>
    </w:p>
    <w:p>
      <w:pPr>
        <w:ind w:left="920" w:right="179"/>
        <w:spacing w:after="0" w:line="243" w:lineRule="auto"/>
        <w:rPr>
          <w:sz w:val="20"/>
          <w:szCs w:val="20"/>
          <w:color w:val="auto"/>
        </w:rPr>
      </w:pPr>
      <w:r>
        <w:rPr>
          <w:rFonts w:ascii="Arial" w:cs="Arial" w:eastAsia="Arial" w:hAnsi="Arial"/>
          <w:sz w:val="18"/>
          <w:szCs w:val="18"/>
          <w:color w:val="auto"/>
        </w:rPr>
        <w:t>The Audit Committee has adopted a policy to pre-approve audit and permissible non-audit services provided by the independent registered public accounting firm. These services may include audit services, audit-related services, tax services and other services. Prior to engagement of the independent registered public accounting firm for the next year’s audit, the independent registered public accounting firm and our management submit a list of services expected to be rendered during that year for each of the four categories of services to the Audit Committee for approval. Pre-approval is generally provided for up to one year and any pre-approval is detailed as to the particular service or category of services. The independent registered public accounting firm and our management periodically report to the Audit Committee regarding the extent of services provided by the independent registered public accounting firm in accordance with this pre- approval process. The Audit Committee may also pre-approve particular services on a case-by-case basis. The Audit Committee pre-approved all of the services and fees of Deloitte set forth above in accordance with such policy.</w:t>
      </w:r>
    </w:p>
    <w:p>
      <w:pPr>
        <w:spacing w:after="0" w:line="118" w:lineRule="exact"/>
        <w:rPr>
          <w:sz w:val="20"/>
          <w:szCs w:val="20"/>
          <w:color w:val="auto"/>
        </w:rPr>
      </w:pPr>
    </w:p>
    <w:p>
      <w:pPr>
        <w:ind w:left="920" w:right="199"/>
        <w:spacing w:after="0" w:line="247" w:lineRule="auto"/>
        <w:rPr>
          <w:sz w:val="20"/>
          <w:szCs w:val="20"/>
          <w:color w:val="auto"/>
        </w:rPr>
      </w:pPr>
      <w:r>
        <w:rPr>
          <w:rFonts w:ascii="Arial" w:cs="Arial" w:eastAsia="Arial" w:hAnsi="Arial"/>
          <w:sz w:val="18"/>
          <w:szCs w:val="18"/>
          <w:color w:val="auto"/>
        </w:rPr>
        <w:t>Our Audit Committee requires the regular rotation of the lead audit partner and concurring partner as required by Section 203 of the Sarbanes-Oxley Act of 2002 and is responsible for recommending to our Board policies for hiring employees or former employees of the independent registered public accounting firm. The Audit Committee has determined that the provision of services described above to us by Deloitte is compatible with maintaining Deloitte’s independence.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9166BA"/>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9166BA"/>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Audit Committee Report</w:t>
      </w:r>
    </w:p>
    <w:p>
      <w:pPr>
        <w:spacing w:after="0" w:line="160" w:lineRule="exact"/>
        <w:rPr>
          <w:sz w:val="20"/>
          <w:szCs w:val="20"/>
          <w:color w:val="auto"/>
        </w:rPr>
      </w:pPr>
    </w:p>
    <w:p>
      <w:pPr>
        <w:ind w:left="920" w:right="299"/>
        <w:spacing w:after="0" w:line="247" w:lineRule="auto"/>
        <w:rPr>
          <w:sz w:val="20"/>
          <w:szCs w:val="20"/>
          <w:color w:val="auto"/>
        </w:rPr>
      </w:pPr>
      <w:r>
        <w:rPr>
          <w:rFonts w:ascii="Arial" w:cs="Arial" w:eastAsia="Arial" w:hAnsi="Arial"/>
          <w:sz w:val="18"/>
          <w:szCs w:val="18"/>
          <w:i w:val="1"/>
          <w:iCs w:val="1"/>
          <w:color w:val="auto"/>
        </w:rPr>
        <w:t>The information contained in this report shall not be deemed to be “soliciting material” or “filed” or incorporated by reference in future filings with the SEC, or subject to the liabilities of Section 18 of the Securities Exchange Act of 1934, as amended (the “Exchange Act”), except to the extent that we specifically request that it be treated as soliciting material or specifically incorporate it by reference into a document filed under the Securities Act of 1933, as amended, or the Exchange Act</w:t>
      </w:r>
      <w:r>
        <w:rPr>
          <w:rFonts w:ascii="Arial" w:cs="Arial" w:eastAsia="Arial" w:hAnsi="Arial"/>
          <w:sz w:val="18"/>
          <w:szCs w:val="18"/>
          <w:color w:val="auto"/>
        </w:rPr>
        <w:t>.</w:t>
      </w:r>
    </w:p>
    <w:p>
      <w:pPr>
        <w:spacing w:after="0" w:line="107" w:lineRule="exact"/>
        <w:rPr>
          <w:sz w:val="20"/>
          <w:szCs w:val="20"/>
          <w:color w:val="auto"/>
        </w:rPr>
      </w:pPr>
    </w:p>
    <w:p>
      <w:pPr>
        <w:ind w:left="920" w:right="139"/>
        <w:spacing w:after="0" w:line="243" w:lineRule="auto"/>
        <w:rPr>
          <w:sz w:val="20"/>
          <w:szCs w:val="20"/>
          <w:color w:val="auto"/>
        </w:rPr>
      </w:pPr>
      <w:r>
        <w:rPr>
          <w:rFonts w:ascii="Arial" w:cs="Arial" w:eastAsia="Arial" w:hAnsi="Arial"/>
          <w:sz w:val="18"/>
          <w:szCs w:val="18"/>
          <w:color w:val="auto"/>
        </w:rPr>
        <w:t>We reviewed Ribbon’s audited financial statements for the fiscal year ended December 31, 2024 and discussed these financial statements with Ribbon’s management, including a discussion of the quality, not just the acceptability, of the accounting principles, the reasonableness of significant judgments and the clarity of disclosures in the financial statements. Ribbon’s management is responsible for Ribbon’s financial reporting process, including its system of internal controls, and for the preparation of consolidated financial statements in accordance with generally accepted accounting principles. Ribbon’s independent registered public accounting firm, Deloitte, is responsible for performing an independent audit of Ribbon’s financial statements in accordance with standards of the Public Company Accounting Oversight Board (United States) (“</w:t>
      </w:r>
      <w:r>
        <w:rPr>
          <w:rFonts w:ascii="Arial" w:cs="Arial" w:eastAsia="Arial" w:hAnsi="Arial"/>
          <w:sz w:val="18"/>
          <w:szCs w:val="18"/>
          <w:i w:val="1"/>
          <w:iCs w:val="1"/>
          <w:color w:val="auto"/>
        </w:rPr>
        <w:t>PCAOB</w:t>
      </w:r>
      <w:r>
        <w:rPr>
          <w:rFonts w:ascii="Arial" w:cs="Arial" w:eastAsia="Arial" w:hAnsi="Arial"/>
          <w:sz w:val="18"/>
          <w:szCs w:val="18"/>
          <w:color w:val="auto"/>
        </w:rPr>
        <w:t>”) and issuing a report on those financial statements and issuing a report on the effectiveness of Ribbon’s internal control over financial reporting as of the end of the fiscal year. Our responsibility is to monitor and review these processes. We also reviewed and discussed with Deloitte the audited financial statements and the matters required by the SEC and PCAOB.</w:t>
      </w:r>
    </w:p>
    <w:p>
      <w:pPr>
        <w:spacing w:after="0" w:line="118" w:lineRule="exact"/>
        <w:rPr>
          <w:sz w:val="20"/>
          <w:szCs w:val="20"/>
          <w:color w:val="auto"/>
        </w:rPr>
      </w:pPr>
    </w:p>
    <w:p>
      <w:pPr>
        <w:ind w:left="920" w:right="99"/>
        <w:spacing w:after="0" w:line="246" w:lineRule="auto"/>
        <w:rPr>
          <w:sz w:val="20"/>
          <w:szCs w:val="20"/>
          <w:color w:val="auto"/>
        </w:rPr>
      </w:pPr>
      <w:r>
        <w:rPr>
          <w:rFonts w:ascii="Arial" w:cs="Arial" w:eastAsia="Arial" w:hAnsi="Arial"/>
          <w:sz w:val="18"/>
          <w:szCs w:val="18"/>
          <w:color w:val="auto"/>
        </w:rPr>
        <w:t>Deloitte provided us with, and we reviewed, the written disclosures and the letter required by the applicable requirements of the PCAOB that independent registered public accounting firms annually to disclose in writing all relationships that in the independent registered public accounting firm’s professional opinion may reasonably be thought to bear on independence, to confirm their independence and to engage in a discussion of independence. In addition to engaging in this discussion with Deloitte regarding its independence, we also considered whether Deloitte’s provision of other, non-audit related services to Ribbon is compatible with maintaining Deloitte’s independence.</w:t>
      </w:r>
    </w:p>
    <w:p>
      <w:pPr>
        <w:spacing w:after="0" w:line="108" w:lineRule="exact"/>
        <w:rPr>
          <w:sz w:val="20"/>
          <w:szCs w:val="20"/>
          <w:color w:val="auto"/>
        </w:rPr>
      </w:pPr>
    </w:p>
    <w:p>
      <w:pPr>
        <w:ind w:left="920" w:right="359"/>
        <w:spacing w:after="0" w:line="252" w:lineRule="auto"/>
        <w:rPr>
          <w:sz w:val="20"/>
          <w:szCs w:val="20"/>
          <w:color w:val="auto"/>
        </w:rPr>
      </w:pPr>
      <w:r>
        <w:rPr>
          <w:rFonts w:ascii="Arial" w:cs="Arial" w:eastAsia="Arial" w:hAnsi="Arial"/>
          <w:sz w:val="18"/>
          <w:szCs w:val="18"/>
          <w:color w:val="auto"/>
        </w:rPr>
        <w:t>Based on our discussions with management and Deloitte, and our review of information provided by management and Deloitte, we recommended to the Ribbon Board of Directors that the audited financial statements be included in Ribbon’s 2024 Annual Report on Form 10-K for the year ended December 31, 2024.</w:t>
      </w:r>
    </w:p>
    <w:p>
      <w:pPr>
        <w:spacing w:after="0" w:line="103"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Submitted by,</w:t>
      </w:r>
    </w:p>
    <w:p>
      <w:pPr>
        <w:spacing w:after="0" w:line="14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THE AUDIT COMMITTEE</w:t>
      </w:r>
    </w:p>
    <w:p>
      <w:pPr>
        <w:spacing w:after="0" w:line="181" w:lineRule="exact"/>
        <w:rPr>
          <w:sz w:val="20"/>
          <w:szCs w:val="20"/>
          <w:color w:val="auto"/>
        </w:rPr>
      </w:pPr>
    </w:p>
    <w:p>
      <w:pPr>
        <w:ind w:left="2320"/>
        <w:spacing w:after="0"/>
        <w:tabs>
          <w:tab w:leader="none" w:pos="4860" w:val="left"/>
          <w:tab w:leader="none" w:pos="6940" w:val="left"/>
          <w:tab w:leader="none" w:pos="83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-118110</wp:posOffset>
            </wp:positionV>
            <wp:extent cx="3909060" cy="7029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9090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320"/>
        <w:spacing w:after="0"/>
        <w:tabs>
          <w:tab w:leader="none" w:pos="2640" w:val="left"/>
          <w:tab w:leader="none" w:pos="4860" w:val="left"/>
          <w:tab w:leader="none" w:pos="5220" w:val="left"/>
          <w:tab w:leader="none" w:pos="6940" w:val="left"/>
          <w:tab w:leader="none" w:pos="8340" w:val="left"/>
        </w:tabs>
        <w:rPr>
          <w:sz w:val="20"/>
          <w:szCs w:val="20"/>
          <w:color w:val="auto"/>
        </w:rPr>
      </w:pPr>
      <w:r>
        <w:rPr>
          <w:rFonts w:ascii="Arial" w:cs="Arial" w:eastAsia="Arial" w:hAnsi="Arial"/>
          <w:sz w:val="17"/>
          <w:szCs w:val="17"/>
          <w:b w:val="1"/>
          <w:bCs w:val="1"/>
          <w:color w:val="auto"/>
        </w:rPr>
        <w:t>​</w:t>
        <w:tab/>
        <w:t>R. Stewart Ewing, Jr.</w:t>
      </w:r>
      <w:r>
        <w:rPr>
          <w:sz w:val="20"/>
          <w:szCs w:val="20"/>
          <w:color w:val="auto"/>
        </w:rPr>
        <w:tab/>
      </w:r>
      <w:r>
        <w:rPr>
          <w:rFonts w:ascii="Arial" w:cs="Arial" w:eastAsia="Arial" w:hAnsi="Arial"/>
          <w:sz w:val="17"/>
          <w:szCs w:val="17"/>
          <w:b w:val="1"/>
          <w:bCs w:val="1"/>
          <w:color w:val="auto"/>
        </w:rPr>
        <w:t>​  ​</w:t>
        <w:tab/>
        <w:t>Beatriz V. Infante</w:t>
        <w:tab/>
        <w:t>​  ​  Scott Mair</w:t>
        <w:tab/>
        <w:t>​</w:t>
      </w:r>
    </w:p>
    <w:p>
      <w:pPr>
        <w:ind w:left="3280"/>
        <w:spacing w:after="0"/>
        <w:rPr>
          <w:sz w:val="20"/>
          <w:szCs w:val="20"/>
          <w:color w:val="auto"/>
        </w:rPr>
      </w:pPr>
      <w:r>
        <w:rPr>
          <w:rFonts w:ascii="Arial" w:cs="Arial" w:eastAsia="Arial" w:hAnsi="Arial"/>
          <w:sz w:val="17"/>
          <w:szCs w:val="17"/>
          <w:b w:val="1"/>
          <w:bCs w:val="1"/>
          <w:i w:val="1"/>
          <w:iCs w:val="1"/>
          <w:color w:val="auto"/>
        </w:rPr>
        <w:t>(Chair)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32</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9166BA"/>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9166BA"/>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16"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62259D"/>
        </w:rPr>
        <w:t>EXECUTIVE OFFICERS</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executive officers of the Company as of the date hereof are listed below:</w:t>
      </w:r>
    </w:p>
    <w:p>
      <w:pPr>
        <w:spacing w:after="0" w:line="37" w:lineRule="exact"/>
        <w:rPr>
          <w:sz w:val="20"/>
          <w:szCs w:val="20"/>
          <w:color w:val="auto"/>
        </w:rPr>
      </w:pPr>
    </w:p>
    <w:tbl>
      <w:tblPr>
        <w:tblLayout w:type="fixed"/>
        <w:tblInd w:w="920" w:type="dxa"/>
        <w:tblCellMar>
          <w:top w:w="0" w:type="dxa"/>
          <w:left w:w="0" w:type="dxa"/>
          <w:bottom w:w="0" w:type="dxa"/>
          <w:right w:w="0" w:type="dxa"/>
        </w:tblCellMar>
      </w:tblPr>
      <w:tr>
        <w:trPr>
          <w:trHeight w:val="383"/>
        </w:trPr>
        <w:tc>
          <w:tcPr>
            <w:tcW w:w="1500" w:type="dxa"/>
            <w:vAlign w:val="bottom"/>
          </w:tcPr>
          <w:p>
            <w:pPr>
              <w:ind w:left="60"/>
              <w:spacing w:after="0"/>
              <w:rPr>
                <w:sz w:val="20"/>
                <w:szCs w:val="20"/>
                <w:color w:val="auto"/>
              </w:rPr>
            </w:pPr>
            <w:r>
              <w:rPr>
                <w:rFonts w:ascii="Arial" w:cs="Arial" w:eastAsia="Arial" w:hAnsi="Arial"/>
                <w:sz w:val="32"/>
                <w:szCs w:val="32"/>
                <w:b w:val="1"/>
                <w:bCs w:val="1"/>
                <w:color w:val="FEFEFE"/>
                <w:vertAlign w:val="subscript"/>
              </w:rPr>
              <w:t>​</w:t>
            </w:r>
            <w:r>
              <w:rPr>
                <w:rFonts w:ascii="Arial" w:cs="Arial" w:eastAsia="Arial" w:hAnsi="Arial"/>
                <w:sz w:val="16"/>
                <w:szCs w:val="16"/>
                <w:b w:val="1"/>
                <w:bCs w:val="1"/>
                <w:color w:val="FEFEFE"/>
              </w:rPr>
              <w:t>Name</w:t>
            </w:r>
          </w:p>
        </w:tc>
        <w:tc>
          <w:tcPr>
            <w:tcW w:w="2400" w:type="dxa"/>
            <w:vAlign w:val="bottom"/>
            <w:gridSpan w:val="2"/>
          </w:tcPr>
          <w:p>
            <w:pPr>
              <w:ind w:left="300"/>
              <w:spacing w:after="0"/>
              <w:rPr>
                <w:sz w:val="20"/>
                <w:szCs w:val="20"/>
                <w:color w:val="auto"/>
              </w:rPr>
            </w:pPr>
            <w:r>
              <w:rPr>
                <w:rFonts w:ascii="Arial" w:cs="Arial" w:eastAsia="Arial" w:hAnsi="Arial"/>
                <w:sz w:val="16"/>
                <w:szCs w:val="16"/>
                <w:b w:val="1"/>
                <w:bCs w:val="1"/>
                <w:color w:val="FEFEFE"/>
              </w:rPr>
              <w:t>​ ​</w:t>
            </w:r>
            <w:r>
              <w:rPr>
                <w:rFonts w:ascii="Arial" w:cs="Arial" w:eastAsia="Arial" w:hAnsi="Arial"/>
                <w:sz w:val="32"/>
                <w:szCs w:val="32"/>
                <w:b w:val="1"/>
                <w:bCs w:val="1"/>
                <w:color w:val="FEFEFE"/>
                <w:vertAlign w:val="superscript"/>
              </w:rPr>
              <w:t>Age</w:t>
            </w:r>
            <w:r>
              <w:rPr>
                <w:rFonts w:ascii="Arial" w:cs="Arial" w:eastAsia="Arial" w:hAnsi="Arial"/>
                <w:sz w:val="16"/>
                <w:szCs w:val="16"/>
                <w:b w:val="1"/>
                <w:bCs w:val="1"/>
                <w:color w:val="FEFEFE"/>
              </w:rPr>
              <w:t xml:space="preserve"> ​ ​</w:t>
            </w:r>
          </w:p>
        </w:tc>
        <w:tc>
          <w:tcPr>
            <w:tcW w:w="3860" w:type="dxa"/>
            <w:vAlign w:val="bottom"/>
          </w:tcPr>
          <w:p>
            <w:pPr>
              <w:ind w:left="1380"/>
              <w:spacing w:after="0"/>
              <w:rPr>
                <w:sz w:val="20"/>
                <w:szCs w:val="20"/>
                <w:color w:val="auto"/>
              </w:rPr>
            </w:pPr>
            <w:r>
              <w:rPr>
                <w:rFonts w:ascii="Arial" w:cs="Arial" w:eastAsia="Arial" w:hAnsi="Arial"/>
                <w:sz w:val="16"/>
                <w:szCs w:val="16"/>
                <w:b w:val="1"/>
                <w:bCs w:val="1"/>
                <w:color w:val="FEFEFE"/>
              </w:rPr>
              <w:t>Position</w:t>
            </w:r>
          </w:p>
        </w:tc>
      </w:tr>
      <w:tr>
        <w:trPr>
          <w:trHeight w:val="269"/>
        </w:trPr>
        <w:tc>
          <w:tcPr>
            <w:tcW w:w="222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color w:val="auto"/>
              </w:rPr>
              <w:t xml:space="preserve"> Bruce W. McClelland </w:t>
            </w:r>
            <w:r>
              <w:rPr>
                <w:rFonts w:ascii="Arial" w:cs="Arial" w:eastAsia="Arial" w:hAnsi="Arial"/>
                <w:sz w:val="31"/>
                <w:szCs w:val="31"/>
                <w:color w:val="auto"/>
                <w:vertAlign w:val="superscript"/>
              </w:rPr>
              <w:t>​ ​</w:t>
            </w:r>
            <w:r>
              <w:rPr>
                <w:rFonts w:ascii="Arial" w:cs="Arial" w:eastAsia="Arial" w:hAnsi="Arial"/>
                <w:sz w:val="16"/>
                <w:szCs w:val="16"/>
                <w:color w:val="auto"/>
              </w:rPr>
              <w:t xml:space="preserve"> 58</w:t>
            </w:r>
          </w:p>
        </w:tc>
        <w:tc>
          <w:tcPr>
            <w:tcW w:w="5540" w:type="dxa"/>
            <w:vAlign w:val="bottom"/>
            <w:gridSpan w:val="2"/>
          </w:tcPr>
          <w:p>
            <w:pPr>
              <w:ind w:left="8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6"/>
                <w:szCs w:val="16"/>
                <w:color w:val="auto"/>
              </w:rPr>
              <w:t xml:space="preserve"> President and Chief Executive Officer</w:t>
            </w:r>
          </w:p>
        </w:tc>
      </w:tr>
      <w:tr>
        <w:trPr>
          <w:trHeight w:val="270"/>
        </w:trPr>
        <w:tc>
          <w:tcPr>
            <w:tcW w:w="1500" w:type="dxa"/>
            <w:vAlign w:val="bottom"/>
          </w:tcPr>
          <w:p>
            <w:pPr>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color w:val="auto"/>
              </w:rPr>
              <w:t xml:space="preserve"> John Townsend</w:t>
            </w:r>
          </w:p>
        </w:tc>
        <w:tc>
          <w:tcPr>
            <w:tcW w:w="720" w:type="dxa"/>
            <w:vAlign w:val="bottom"/>
          </w:tcPr>
          <w:p>
            <w:pPr>
              <w:ind w:left="24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6"/>
                <w:szCs w:val="16"/>
                <w:color w:val="auto"/>
              </w:rPr>
              <w:t xml:space="preserve"> 62</w:t>
            </w:r>
          </w:p>
        </w:tc>
        <w:tc>
          <w:tcPr>
            <w:tcW w:w="5540" w:type="dxa"/>
            <w:vAlign w:val="bottom"/>
            <w:gridSpan w:val="2"/>
          </w:tcPr>
          <w:p>
            <w:pPr>
              <w:ind w:left="8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6"/>
                <w:szCs w:val="16"/>
                <w:color w:val="auto"/>
              </w:rPr>
              <w:t xml:space="preserve"> Executive Vice President, Chief Financial Officer</w:t>
            </w:r>
          </w:p>
        </w:tc>
      </w:tr>
      <w:tr>
        <w:trPr>
          <w:trHeight w:val="270"/>
        </w:trPr>
        <w:tc>
          <w:tcPr>
            <w:tcW w:w="1500" w:type="dxa"/>
            <w:vAlign w:val="bottom"/>
          </w:tcPr>
          <w:p>
            <w:pPr>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color w:val="auto"/>
              </w:rPr>
              <w:t xml:space="preserve"> Sam Bucci</w:t>
            </w:r>
          </w:p>
        </w:tc>
        <w:tc>
          <w:tcPr>
            <w:tcW w:w="720" w:type="dxa"/>
            <w:vAlign w:val="bottom"/>
          </w:tcPr>
          <w:p>
            <w:pPr>
              <w:ind w:left="24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6"/>
                <w:szCs w:val="16"/>
                <w:color w:val="auto"/>
              </w:rPr>
              <w:t xml:space="preserve"> 60</w:t>
            </w:r>
          </w:p>
        </w:tc>
        <w:tc>
          <w:tcPr>
            <w:tcW w:w="5540" w:type="dxa"/>
            <w:vAlign w:val="bottom"/>
            <w:gridSpan w:val="2"/>
          </w:tcPr>
          <w:p>
            <w:pPr>
              <w:ind w:left="8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6"/>
                <w:szCs w:val="16"/>
                <w:color w:val="auto"/>
              </w:rPr>
              <w:t xml:space="preserve"> Executive Vice President, Chief Operating Officer</w:t>
            </w:r>
          </w:p>
        </w:tc>
      </w:tr>
      <w:tr>
        <w:trPr>
          <w:trHeight w:val="270"/>
        </w:trPr>
        <w:tc>
          <w:tcPr>
            <w:tcW w:w="1500" w:type="dxa"/>
            <w:vAlign w:val="bottom"/>
          </w:tcPr>
          <w:p>
            <w:pPr>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color w:val="auto"/>
              </w:rPr>
              <w:t xml:space="preserve"> Patrick Macken</w:t>
            </w:r>
          </w:p>
        </w:tc>
        <w:tc>
          <w:tcPr>
            <w:tcW w:w="720" w:type="dxa"/>
            <w:vAlign w:val="bottom"/>
          </w:tcPr>
          <w:p>
            <w:pPr>
              <w:ind w:left="24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6"/>
                <w:szCs w:val="16"/>
                <w:color w:val="auto"/>
              </w:rPr>
              <w:t xml:space="preserve"> 51</w:t>
            </w:r>
          </w:p>
        </w:tc>
        <w:tc>
          <w:tcPr>
            <w:tcW w:w="5540" w:type="dxa"/>
            <w:vAlign w:val="bottom"/>
            <w:gridSpan w:val="2"/>
          </w:tcPr>
          <w:p>
            <w:pPr>
              <w:ind w:left="8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6"/>
                <w:szCs w:val="16"/>
                <w:color w:val="auto"/>
              </w:rPr>
              <w:t xml:space="preserve"> Executive Vice President, Chief Legal Officer and Corporate Secretary</w:t>
            </w:r>
          </w:p>
        </w:tc>
      </w:tr>
      <w:tr>
        <w:trPr>
          <w:trHeight w:val="435"/>
        </w:trPr>
        <w:tc>
          <w:tcPr>
            <w:tcW w:w="1500" w:type="dxa"/>
            <w:vAlign w:val="bottom"/>
          </w:tcPr>
          <w:p>
            <w:pPr>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Dan Redington</w:t>
            </w:r>
          </w:p>
        </w:tc>
        <w:tc>
          <w:tcPr>
            <w:tcW w:w="720" w:type="dxa"/>
            <w:vAlign w:val="bottom"/>
          </w:tcPr>
          <w:p>
            <w:pPr>
              <w:ind w:left="240"/>
              <w:spacing w:after="0"/>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 xml:space="preserve"> 58</w:t>
            </w:r>
          </w:p>
        </w:tc>
        <w:tc>
          <w:tcPr>
            <w:tcW w:w="5540" w:type="dxa"/>
            <w:vAlign w:val="bottom"/>
            <w:gridSpan w:val="2"/>
          </w:tcPr>
          <w:p>
            <w:pPr>
              <w:ind w:left="80"/>
              <w:spacing w:after="0"/>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 xml:space="preserve"> Executive Vice President, Global Sales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-1106170</wp:posOffset>
            </wp:positionV>
            <wp:extent cx="5623560" cy="1625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623560" cy="16256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-94615</wp:posOffset>
            </wp:positionV>
            <wp:extent cx="56235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-266065</wp:posOffset>
            </wp:positionV>
            <wp:extent cx="56235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-437515</wp:posOffset>
            </wp:positionV>
            <wp:extent cx="56235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-608965</wp:posOffset>
            </wp:positionV>
            <wp:extent cx="56235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-780415</wp:posOffset>
            </wp:positionV>
            <wp:extent cx="56235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119"/>
        <w:spacing w:after="0"/>
        <w:rPr>
          <w:sz w:val="20"/>
          <w:szCs w:val="20"/>
          <w:color w:val="auto"/>
        </w:rPr>
      </w:pPr>
      <w:r>
        <w:rPr>
          <w:rFonts w:ascii="Arial" w:cs="Arial" w:eastAsia="Arial" w:hAnsi="Arial"/>
          <w:sz w:val="16"/>
          <w:szCs w:val="16"/>
          <w:b w:val="1"/>
          <w:bCs w:val="1"/>
          <w:color w:val="FEFEFE"/>
        </w:rPr>
        <w:t>​</w:t>
      </w:r>
    </w:p>
    <w:p>
      <w:pPr>
        <w:spacing w:after="0"/>
        <w:rPr>
          <w:sz w:val="20"/>
          <w:szCs w:val="20"/>
          <w:color w:val="auto"/>
        </w:rPr>
      </w:pPr>
      <w:r>
        <w:rPr>
          <w:rFonts w:ascii="Arial" w:cs="Arial" w:eastAsia="Arial" w:hAnsi="Arial"/>
          <w:sz w:val="16"/>
          <w:szCs w:val="16"/>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37" w:lineRule="exact"/>
        <w:rPr>
          <w:sz w:val="20"/>
          <w:szCs w:val="20"/>
          <w:color w:val="auto"/>
        </w:rPr>
      </w:pPr>
    </w:p>
    <w:p>
      <w:pPr>
        <w:sectPr>
          <w:pgSz w:w="11900" w:h="16838" w:orient="portrait"/>
          <w:cols w:equalWidth="0" w:num="2">
            <w:col w:w="8940" w:space="720"/>
            <w:col w:w="219"/>
          </w:cols>
          <w:pgMar w:left="580" w:top="97" w:right="1440" w:bottom="1440" w:gutter="0" w:footer="0" w:header="0"/>
          <w:type w:val="continuous"/>
        </w:sectPr>
      </w:pPr>
    </w:p>
    <w:p>
      <w:pPr>
        <w:ind w:left="920" w:right="319"/>
        <w:spacing w:after="0" w:line="261" w:lineRule="auto"/>
        <w:rPr>
          <w:sz w:val="20"/>
          <w:szCs w:val="20"/>
          <w:color w:val="auto"/>
        </w:rPr>
      </w:pPr>
      <w:r>
        <w:rPr>
          <w:rFonts w:ascii="Arial" w:cs="Arial" w:eastAsia="Arial" w:hAnsi="Arial"/>
          <w:sz w:val="18"/>
          <w:szCs w:val="18"/>
          <w:color w:val="auto"/>
        </w:rPr>
        <w:t>Biographical information regarding each executive officer other than Bruce W. McClelland is set forth below. Mr. McClelland’s biographical information is set forth above under the section entitled “</w:t>
      </w:r>
      <w:r>
        <w:rPr>
          <w:rFonts w:ascii="Arial" w:cs="Arial" w:eastAsia="Arial" w:hAnsi="Arial"/>
          <w:sz w:val="18"/>
          <w:szCs w:val="18"/>
          <w:i w:val="1"/>
          <w:iCs w:val="1"/>
          <w:color w:val="auto"/>
        </w:rPr>
        <w:t>Proposal 1</w:t>
      </w:r>
      <w:r>
        <w:rPr>
          <w:rFonts w:ascii="Arial" w:cs="Arial" w:eastAsia="Arial" w:hAnsi="Arial"/>
          <w:sz w:val="18"/>
          <w:szCs w:val="18"/>
          <w:color w:val="auto"/>
        </w:rPr>
        <w:t xml:space="preserve"> </w:t>
      </w:r>
      <w:r>
        <w:rPr>
          <w:rFonts w:ascii="Arial" w:cs="Arial" w:eastAsia="Arial" w:hAnsi="Arial"/>
          <w:sz w:val="18"/>
          <w:szCs w:val="18"/>
          <w:i w:val="1"/>
          <w:iCs w:val="1"/>
          <w:color w:val="auto"/>
        </w:rPr>
        <w:t>— Election of Directors</w:t>
      </w:r>
      <w:r>
        <w:rPr>
          <w:rFonts w:ascii="Arial" w:cs="Arial" w:eastAsia="Arial" w:hAnsi="Arial"/>
          <w:sz w:val="18"/>
          <w:szCs w:val="18"/>
          <w:color w:val="auto"/>
        </w:rPr>
        <w:t>.”</w:t>
      </w:r>
    </w:p>
    <w:p>
      <w:pPr>
        <w:sectPr>
          <w:pgSz w:w="11900" w:h="16838" w:orient="portrait"/>
          <w:cols w:equalWidth="0" w:num="1">
            <w:col w:w="9879"/>
          </w:cols>
          <w:pgMar w:left="580" w:top="97" w:right="1440" w:bottom="1440" w:gutter="0" w:footer="0" w:header="0"/>
          <w:type w:val="continuous"/>
        </w:sectPr>
      </w:pPr>
    </w:p>
    <w:p>
      <w:pPr>
        <w:spacing w:after="0" w:line="16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32"/>
          <w:szCs w:val="32"/>
          <w:color w:val="000000"/>
          <w:vertAlign w:val="superscript"/>
        </w:rPr>
        <w:t>​</w:t>
      </w:r>
      <w:r>
        <w:rPr>
          <w:rFonts w:ascii="Arial" w:cs="Arial" w:eastAsia="Arial" w:hAnsi="Arial"/>
          <w:sz w:val="25"/>
          <w:szCs w:val="25"/>
          <w:b w:val="1"/>
          <w:bCs w:val="1"/>
          <w:color w:val="FEFEFE"/>
          <w:shd w:val="clear" w:color="auto" w:fill="E7417A"/>
        </w:rPr>
        <w:t xml:space="preserve">  ​ JOHN TOWNSEND​​</w:t>
      </w:r>
      <w:r>
        <w:rPr>
          <w:rFonts w:ascii="Arial" w:cs="Arial" w:eastAsia="Arial" w:hAnsi="Arial"/>
          <w:sz w:val="14"/>
          <w:szCs w:val="14"/>
          <w:b w:val="1"/>
          <w:bCs w:val="1"/>
          <w:color w:val="FEFEFE"/>
          <w:shd w:val="clear" w:color="auto" w:fill="E7417A"/>
        </w:rPr>
        <w:t>EXECUTIVE VICE PRESIDENT, CHIEF FINANCIAL OFFICER</w:t>
      </w:r>
      <w:r>
        <w:rPr>
          <w:rFonts w:ascii="Arial" w:cs="Arial" w:eastAsia="Arial" w:hAnsi="Arial"/>
          <w:sz w:val="25"/>
          <w:szCs w:val="25"/>
          <w:b w:val="1"/>
          <w:bCs w:val="1"/>
          <w:color w:val="FEFEFE"/>
          <w:shd w:val="clear" w:color="auto" w:fill="E7417A"/>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-809625</wp:posOffset>
            </wp:positionH>
            <wp:positionV relativeFrom="paragraph">
              <wp:posOffset>-224155</wp:posOffset>
            </wp:positionV>
            <wp:extent cx="814070" cy="8147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14070" cy="81470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1600" w:space="720"/>
            <w:col w:w="75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62</w:t>
      </w:r>
    </w:p>
    <w:p>
      <w:pPr>
        <w:spacing w:after="0" w:line="20" w:lineRule="exact"/>
        <w:rPr>
          <w:sz w:val="20"/>
          <w:szCs w:val="20"/>
          <w:color w:val="auto"/>
        </w:rPr>
      </w:pPr>
      <w:r>
        <w:rPr>
          <w:sz w:val="20"/>
          <w:szCs w:val="20"/>
          <w:color w:val="auto"/>
        </w:rPr>
        <w:br w:type="column"/>
      </w:r>
    </w:p>
    <w:p>
      <w:pPr>
        <w:ind w:left="116" w:hanging="116"/>
        <w:spacing w:after="0"/>
        <w:tabs>
          <w:tab w:leader="none" w:pos="116"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62259D"/>
        </w:rPr>
        <w:t>BACKGROUND</w:t>
      </w:r>
    </w:p>
    <w:p>
      <w:pPr>
        <w:spacing w:after="0" w:line="45" w:lineRule="exact"/>
        <w:rPr>
          <w:rFonts w:ascii="Arial" w:cs="Arial" w:eastAsia="Arial" w:hAnsi="Arial"/>
          <w:sz w:val="16"/>
          <w:szCs w:val="16"/>
          <w:color w:val="auto"/>
        </w:rPr>
      </w:pPr>
    </w:p>
    <w:p>
      <w:pPr>
        <w:ind w:left="116"/>
        <w:spacing w:after="0"/>
        <w:rPr>
          <w:rFonts w:ascii="Arial" w:cs="Arial" w:eastAsia="Arial" w:hAnsi="Arial"/>
          <w:sz w:val="16"/>
          <w:szCs w:val="16"/>
          <w:color w:val="auto"/>
        </w:rPr>
      </w:pPr>
      <w:r>
        <w:rPr>
          <w:rFonts w:ascii="Arial" w:cs="Arial" w:eastAsia="Arial" w:hAnsi="Arial"/>
          <w:sz w:val="16"/>
          <w:szCs w:val="16"/>
          <w:b w:val="1"/>
          <w:bCs w:val="1"/>
          <w:color w:val="auto"/>
        </w:rPr>
        <w:t>Ribbon Communications Inc.</w:t>
      </w:r>
    </w:p>
    <w:p>
      <w:pPr>
        <w:spacing w:after="0" w:line="61" w:lineRule="exact"/>
        <w:rPr>
          <w:rFonts w:ascii="Arial" w:cs="Arial" w:eastAsia="Arial" w:hAnsi="Arial"/>
          <w:sz w:val="16"/>
          <w:szCs w:val="16"/>
          <w:color w:val="auto"/>
        </w:rPr>
      </w:pPr>
    </w:p>
    <w:p>
      <w:pPr>
        <w:ind w:left="276" w:right="600" w:hanging="168"/>
        <w:spacing w:after="0" w:line="236" w:lineRule="auto"/>
        <w:tabs>
          <w:tab w:leader="none" w:pos="276" w:val="left"/>
        </w:tabs>
        <w:numPr>
          <w:ilvl w:val="1"/>
          <w:numId w:val="82"/>
        </w:numPr>
        <w:rPr>
          <w:rFonts w:ascii="Arial" w:cs="Arial" w:eastAsia="Arial" w:hAnsi="Arial"/>
          <w:sz w:val="16"/>
          <w:szCs w:val="16"/>
          <w:color w:val="62259D"/>
        </w:rPr>
      </w:pPr>
      <w:r>
        <w:rPr>
          <w:rFonts w:ascii="Arial" w:cs="Arial" w:eastAsia="Arial" w:hAnsi="Arial"/>
          <w:sz w:val="16"/>
          <w:szCs w:val="16"/>
          <w:color w:val="auto"/>
        </w:rPr>
        <w:t>Executive Vice President and Chief Financial Officer (November 2024 to present)</w:t>
      </w:r>
    </w:p>
    <w:p>
      <w:pPr>
        <w:spacing w:after="0" w:line="36" w:lineRule="exact"/>
        <w:rPr>
          <w:sz w:val="20"/>
          <w:szCs w:val="20"/>
          <w:color w:val="auto"/>
        </w:rPr>
      </w:pPr>
    </w:p>
    <w:p>
      <w:pPr>
        <w:ind w:left="116"/>
        <w:spacing w:after="0"/>
        <w:rPr>
          <w:sz w:val="20"/>
          <w:szCs w:val="20"/>
          <w:color w:val="auto"/>
        </w:rPr>
      </w:pPr>
      <w:r>
        <w:rPr>
          <w:rFonts w:ascii="Arial" w:cs="Arial" w:eastAsia="Arial" w:hAnsi="Arial"/>
          <w:sz w:val="16"/>
          <w:szCs w:val="16"/>
          <w:b w:val="1"/>
          <w:bCs w:val="1"/>
          <w:color w:val="auto"/>
        </w:rPr>
        <w:t>Digicel Group, a leading</w:t>
      </w:r>
    </w:p>
    <w:p>
      <w:pPr>
        <w:spacing w:after="0" w:line="8" w:lineRule="exact"/>
        <w:rPr>
          <w:sz w:val="20"/>
          <w:szCs w:val="20"/>
          <w:color w:val="auto"/>
        </w:rPr>
      </w:pPr>
    </w:p>
    <w:p>
      <w:pPr>
        <w:ind w:left="116" w:right="600"/>
        <w:spacing w:after="0" w:line="236" w:lineRule="auto"/>
        <w:rPr>
          <w:sz w:val="20"/>
          <w:szCs w:val="20"/>
          <w:color w:val="auto"/>
        </w:rPr>
      </w:pPr>
      <w:r>
        <w:rPr>
          <w:rFonts w:ascii="Arial" w:cs="Arial" w:eastAsia="Arial" w:hAnsi="Arial"/>
          <w:sz w:val="16"/>
          <w:szCs w:val="16"/>
          <w:b w:val="1"/>
          <w:bCs w:val="1"/>
          <w:color w:val="auto"/>
        </w:rPr>
        <w:t>telecommunications carrier in the Caribbean</w:t>
      </w:r>
    </w:p>
    <w:p>
      <w:pPr>
        <w:spacing w:after="0" w:line="43" w:lineRule="exact"/>
        <w:rPr>
          <w:sz w:val="20"/>
          <w:szCs w:val="20"/>
          <w:color w:val="auto"/>
        </w:rPr>
      </w:pPr>
    </w:p>
    <w:p>
      <w:pPr>
        <w:ind w:left="276" w:hanging="168"/>
        <w:spacing w:after="0"/>
        <w:tabs>
          <w:tab w:leader="none" w:pos="276" w:val="left"/>
        </w:tabs>
        <w:numPr>
          <w:ilvl w:val="0"/>
          <w:numId w:val="83"/>
        </w:numPr>
        <w:rPr>
          <w:rFonts w:ascii="Arial" w:cs="Arial" w:eastAsia="Arial" w:hAnsi="Arial"/>
          <w:sz w:val="16"/>
          <w:szCs w:val="16"/>
          <w:color w:val="62259D"/>
        </w:rPr>
      </w:pPr>
      <w:r>
        <w:rPr>
          <w:rFonts w:ascii="Arial" w:cs="Arial" w:eastAsia="Arial" w:hAnsi="Arial"/>
          <w:sz w:val="16"/>
          <w:szCs w:val="16"/>
          <w:color w:val="auto"/>
        </w:rPr>
        <w:t>Group Chief Financial Officer (2022 to 2023)</w:t>
      </w:r>
    </w:p>
    <w:p>
      <w:pPr>
        <w:spacing w:after="0" w:line="20" w:lineRule="exact"/>
        <w:rPr>
          <w:sz w:val="20"/>
          <w:szCs w:val="20"/>
          <w:color w:val="auto"/>
        </w:rPr>
      </w:pPr>
      <w:r>
        <w:rPr>
          <w:sz w:val="20"/>
          <w:szCs w:val="20"/>
          <w:color w:val="auto"/>
        </w:rPr>
        <w:br w:type="column"/>
      </w:r>
    </w:p>
    <w:p>
      <w:pPr>
        <w:spacing w:after="0"/>
        <w:tabs>
          <w:tab w:leader="none" w:pos="3600" w:val="left"/>
        </w:tabs>
        <w:rPr>
          <w:sz w:val="20"/>
          <w:szCs w:val="20"/>
          <w:color w:val="auto"/>
        </w:rPr>
      </w:pPr>
      <w:r>
        <w:rPr>
          <w:rFonts w:ascii="Arial" w:cs="Arial" w:eastAsia="Arial" w:hAnsi="Arial"/>
          <w:sz w:val="16"/>
          <w:szCs w:val="16"/>
          <w:color w:val="auto"/>
        </w:rPr>
        <w:t>​ ​ Earlier in his career, he gained valuable</w:t>
      </w:r>
      <w:r>
        <w:rPr>
          <w:sz w:val="20"/>
          <w:szCs w:val="20"/>
          <w:color w:val="auto"/>
        </w:rPr>
        <w:tab/>
      </w:r>
      <w:r>
        <w:rPr>
          <w:rFonts w:ascii="Arial" w:cs="Arial" w:eastAsia="Arial" w:hAnsi="Arial"/>
          <w:sz w:val="16"/>
          <w:szCs w:val="16"/>
          <w:color w:val="auto"/>
        </w:rPr>
        <w:t>​</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experience as</w:t>
      </w:r>
    </w:p>
    <w:p>
      <w:pPr>
        <w:spacing w:after="0" w:line="57" w:lineRule="exact"/>
        <w:rPr>
          <w:sz w:val="20"/>
          <w:szCs w:val="20"/>
          <w:color w:val="auto"/>
        </w:rPr>
      </w:pPr>
    </w:p>
    <w:p>
      <w:pPr>
        <w:ind w:left="360" w:hanging="150"/>
        <w:spacing w:after="0"/>
        <w:tabs>
          <w:tab w:leader="none" w:pos="360" w:val="left"/>
        </w:tabs>
        <w:numPr>
          <w:ilvl w:val="0"/>
          <w:numId w:val="84"/>
        </w:numPr>
        <w:rPr>
          <w:rFonts w:ascii="Arial" w:cs="Arial" w:eastAsia="Arial" w:hAnsi="Arial"/>
          <w:sz w:val="16"/>
          <w:szCs w:val="16"/>
          <w:color w:val="62259D"/>
        </w:rPr>
      </w:pPr>
      <w:r>
        <w:rPr>
          <w:rFonts w:ascii="Arial" w:cs="Arial" w:eastAsia="Arial" w:hAnsi="Arial"/>
          <w:sz w:val="16"/>
          <w:szCs w:val="16"/>
          <w:color w:val="auto"/>
        </w:rPr>
        <w:t xml:space="preserve">Auditor at </w:t>
      </w:r>
      <w:r>
        <w:rPr>
          <w:rFonts w:ascii="Arial" w:cs="Arial" w:eastAsia="Arial" w:hAnsi="Arial"/>
          <w:sz w:val="16"/>
          <w:szCs w:val="16"/>
          <w:b w:val="1"/>
          <w:bCs w:val="1"/>
          <w:color w:val="auto"/>
        </w:rPr>
        <w:t>KPMG</w:t>
      </w:r>
    </w:p>
    <w:p>
      <w:pPr>
        <w:spacing w:after="0" w:line="86" w:lineRule="exact"/>
        <w:rPr>
          <w:rFonts w:ascii="Arial" w:cs="Arial" w:eastAsia="Arial" w:hAnsi="Arial"/>
          <w:sz w:val="16"/>
          <w:szCs w:val="16"/>
          <w:color w:val="62259D"/>
        </w:rPr>
      </w:pPr>
    </w:p>
    <w:p>
      <w:pPr>
        <w:ind w:left="220"/>
        <w:spacing w:after="0"/>
        <w:rPr>
          <w:rFonts w:ascii="Arial" w:cs="Arial" w:eastAsia="Arial" w:hAnsi="Arial"/>
          <w:sz w:val="16"/>
          <w:szCs w:val="16"/>
          <w:color w:val="62259D"/>
        </w:rPr>
      </w:pPr>
      <w:r>
        <w:rPr>
          <w:rFonts w:ascii="Arial" w:cs="Arial" w:eastAsia="Arial" w:hAnsi="Arial"/>
          <w:sz w:val="16"/>
          <w:szCs w:val="16"/>
          <w:b w:val="1"/>
          <w:bCs w:val="1"/>
          <w:color w:val="62259D"/>
        </w:rPr>
        <w:t>EDUCATION</w:t>
      </w:r>
    </w:p>
    <w:p>
      <w:pPr>
        <w:spacing w:after="0" w:line="61" w:lineRule="exact"/>
        <w:rPr>
          <w:rFonts w:ascii="Arial" w:cs="Arial" w:eastAsia="Arial" w:hAnsi="Arial"/>
          <w:sz w:val="16"/>
          <w:szCs w:val="16"/>
          <w:color w:val="62259D"/>
        </w:rPr>
      </w:pPr>
    </w:p>
    <w:p>
      <w:pPr>
        <w:ind w:left="360" w:right="679" w:hanging="150"/>
        <w:spacing w:after="0" w:line="259" w:lineRule="auto"/>
        <w:tabs>
          <w:tab w:leader="none" w:pos="360" w:val="left"/>
        </w:tabs>
        <w:numPr>
          <w:ilvl w:val="0"/>
          <w:numId w:val="84"/>
        </w:numPr>
        <w:rPr>
          <w:rFonts w:ascii="Arial" w:cs="Arial" w:eastAsia="Arial" w:hAnsi="Arial"/>
          <w:sz w:val="16"/>
          <w:szCs w:val="16"/>
          <w:color w:val="62259D"/>
        </w:rPr>
      </w:pPr>
      <w:r>
        <w:rPr>
          <w:rFonts w:ascii="Arial" w:cs="Arial" w:eastAsia="Arial" w:hAnsi="Arial"/>
          <w:sz w:val="16"/>
          <w:szCs w:val="16"/>
          <w:color w:val="auto"/>
        </w:rPr>
        <w:t>Bachelors in Economics and Business Finance, Manchester University</w:t>
      </w:r>
    </w:p>
    <w:p>
      <w:pPr>
        <w:spacing w:after="0" w:line="34" w:lineRule="exact"/>
        <w:rPr>
          <w:rFonts w:ascii="Arial" w:cs="Arial" w:eastAsia="Arial" w:hAnsi="Arial"/>
          <w:sz w:val="16"/>
          <w:szCs w:val="16"/>
          <w:color w:val="62259D"/>
        </w:rPr>
      </w:pPr>
    </w:p>
    <w:p>
      <w:pPr>
        <w:ind w:left="360" w:hanging="150"/>
        <w:spacing w:after="0"/>
        <w:tabs>
          <w:tab w:leader="none" w:pos="360" w:val="left"/>
        </w:tabs>
        <w:numPr>
          <w:ilvl w:val="0"/>
          <w:numId w:val="84"/>
        </w:numPr>
        <w:rPr>
          <w:rFonts w:ascii="Arial" w:cs="Arial" w:eastAsia="Arial" w:hAnsi="Arial"/>
          <w:sz w:val="16"/>
          <w:szCs w:val="16"/>
          <w:color w:val="62259D"/>
        </w:rPr>
      </w:pPr>
      <w:r>
        <w:rPr>
          <w:rFonts w:ascii="Arial" w:cs="Arial" w:eastAsia="Arial" w:hAnsi="Arial"/>
          <w:sz w:val="16"/>
          <w:szCs w:val="16"/>
          <w:color w:val="auto"/>
        </w:rPr>
        <w:t>Chartered Accountant</w:t>
      </w:r>
    </w:p>
    <w:p>
      <w:pPr>
        <w:spacing w:after="0" w:line="327" w:lineRule="exact"/>
        <w:rPr>
          <w:sz w:val="20"/>
          <w:szCs w:val="20"/>
          <w:color w:val="auto"/>
        </w:rPr>
      </w:pPr>
    </w:p>
    <w:p>
      <w:pPr>
        <w:sectPr>
          <w:pgSz w:w="11900" w:h="16838" w:orient="portrait"/>
          <w:cols w:equalWidth="0" w:num="3">
            <w:col w:w="1824" w:space="720"/>
            <w:col w:w="3496" w:space="20"/>
            <w:col w:w="3819"/>
          </w:cols>
          <w:pgMar w:left="580" w:top="97" w:right="1440" w:bottom="1440" w:gutter="0" w:footer="0" w:header="0"/>
          <w:type w:val="continuous"/>
        </w:sectPr>
      </w:pPr>
    </w:p>
    <w:p>
      <w:pPr>
        <w:ind w:left="2660"/>
        <w:spacing w:after="0"/>
        <w:rPr>
          <w:sz w:val="20"/>
          <w:szCs w:val="20"/>
          <w:color w:val="auto"/>
        </w:rPr>
      </w:pPr>
      <w:r>
        <w:rPr>
          <w:rFonts w:ascii="Arial" w:cs="Arial" w:eastAsia="Arial" w:hAnsi="Arial"/>
          <w:sz w:val="16"/>
          <w:szCs w:val="16"/>
          <w:b w:val="1"/>
          <w:bCs w:val="1"/>
          <w:color w:val="auto"/>
        </w:rPr>
        <w:t>Verizon, Inc., a global</w:t>
      </w:r>
    </w:p>
    <w:p>
      <w:pPr>
        <w:spacing w:after="0" w:line="8"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auto"/>
        </w:rPr>
        <w:t>telecommunications company</w:t>
      </w:r>
    </w:p>
    <w:p>
      <w:pPr>
        <w:spacing w:after="0" w:line="59" w:lineRule="exact"/>
        <w:rPr>
          <w:sz w:val="20"/>
          <w:szCs w:val="20"/>
          <w:color w:val="auto"/>
        </w:rPr>
      </w:pPr>
    </w:p>
    <w:p>
      <w:pPr>
        <w:ind w:left="2820" w:right="3919" w:hanging="168"/>
        <w:spacing w:after="0" w:line="234" w:lineRule="auto"/>
        <w:tabs>
          <w:tab w:leader="none" w:pos="2820" w:val="left"/>
        </w:tabs>
        <w:numPr>
          <w:ilvl w:val="0"/>
          <w:numId w:val="85"/>
        </w:numPr>
        <w:rPr>
          <w:rFonts w:ascii="Arial" w:cs="Arial" w:eastAsia="Arial" w:hAnsi="Arial"/>
          <w:sz w:val="16"/>
          <w:szCs w:val="16"/>
          <w:color w:val="62259D"/>
        </w:rPr>
      </w:pPr>
      <w:r>
        <w:rPr>
          <w:rFonts w:ascii="Arial" w:cs="Arial" w:eastAsia="Arial" w:hAnsi="Arial"/>
          <w:sz w:val="16"/>
          <w:szCs w:val="16"/>
          <w:color w:val="auto"/>
        </w:rPr>
        <w:t>Multiple group CFO positions including Verizon Wireline, Verizon Wireless, Verizon Consumer and Verizon Business (2013 to 2022)</w:t>
      </w:r>
    </w:p>
    <w:p>
      <w:pPr>
        <w:sectPr>
          <w:pgSz w:w="11900" w:h="16838" w:orient="portrait"/>
          <w:cols w:equalWidth="0" w:num="1">
            <w:col w:w="9879"/>
          </w:cols>
          <w:pgMar w:left="580" w:top="97" w:right="1440" w:bottom="1440" w:gutter="0" w:footer="0" w:header="0"/>
          <w:type w:val="continuous"/>
        </w:sectPr>
      </w:pPr>
    </w:p>
    <w:p>
      <w:pPr>
        <w:spacing w:after="0" w:line="142" w:lineRule="exact"/>
        <w:rPr>
          <w:sz w:val="20"/>
          <w:szCs w:val="20"/>
          <w:color w:val="auto"/>
        </w:rPr>
      </w:pPr>
    </w:p>
    <w:p>
      <w:pPr>
        <w:ind w:left="920"/>
        <w:spacing w:after="0"/>
        <w:rPr>
          <w:sz w:val="20"/>
          <w:szCs w:val="20"/>
          <w:color w:val="auto"/>
        </w:rPr>
      </w:pPr>
      <w:r>
        <w:rPr>
          <w:rFonts w:ascii="Arial" w:cs="Arial" w:eastAsia="Arial" w:hAnsi="Arial"/>
          <w:sz w:val="3"/>
          <w:szCs w:val="3"/>
          <w:color w:val="auto"/>
        </w:rPr>
        <w:t>​</w:t>
      </w:r>
    </w:p>
    <w:p>
      <w:pPr>
        <w:spacing w:after="0" w:line="194" w:lineRule="exact"/>
        <w:rPr>
          <w:sz w:val="20"/>
          <w:szCs w:val="20"/>
          <w:color w:val="auto"/>
        </w:rPr>
      </w:pPr>
    </w:p>
    <w:p>
      <w:pPr>
        <w:jc w:val="right"/>
        <w:ind w:right="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tabs>
          <w:tab w:leader="none" w:pos="2340" w:val="left"/>
          <w:tab w:leader="none" w:pos="2780" w:val="left"/>
        </w:tabs>
        <w:rPr>
          <w:sz w:val="20"/>
          <w:szCs w:val="20"/>
          <w:color w:val="auto"/>
        </w:rPr>
      </w:pPr>
      <w:r>
        <w:rPr>
          <w:rFonts w:ascii="Arial" w:cs="Arial" w:eastAsia="Arial" w:hAnsi="Arial"/>
          <w:sz w:val="32"/>
          <w:szCs w:val="32"/>
          <w:color w:val="000000"/>
          <w:vertAlign w:val="superscript"/>
        </w:rPr>
        <w:t>​</w:t>
      </w:r>
      <w:r>
        <w:rPr>
          <w:rFonts w:ascii="Arial" w:cs="Arial" w:eastAsia="Arial" w:hAnsi="Arial"/>
          <w:sz w:val="25"/>
          <w:szCs w:val="25"/>
          <w:b w:val="1"/>
          <w:bCs w:val="1"/>
          <w:color w:val="FEFEFE"/>
        </w:rPr>
        <w:t xml:space="preserve">  ​ SAM BUCCI​</w:t>
        <w:tab/>
        <w:t>​</w:t>
      </w:r>
      <w:r>
        <w:rPr>
          <w:sz w:val="20"/>
          <w:szCs w:val="20"/>
          <w:color w:val="auto"/>
        </w:rPr>
        <w:tab/>
      </w:r>
      <w:r>
        <w:rPr>
          <w:rFonts w:ascii="Arial" w:cs="Arial" w:eastAsia="Arial" w:hAnsi="Arial"/>
          <w:sz w:val="14"/>
          <w:szCs w:val="14"/>
          <w:b w:val="1"/>
          <w:bCs w:val="1"/>
          <w:color w:val="FEFEFE"/>
        </w:rPr>
        <w:t xml:space="preserve">EXECUTIVE VICE PRESIDENT, CHIEF OPERATING OFFICER </w:t>
      </w:r>
      <w:r>
        <w:rPr>
          <w:rFonts w:ascii="Arial" w:cs="Arial" w:eastAsia="Arial" w:hAnsi="Arial"/>
          <w:sz w:val="25"/>
          <w:szCs w:val="25"/>
          <w:b w:val="1"/>
          <w:bCs w:val="1"/>
          <w:color w:val="FEFEF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-369570</wp:posOffset>
            </wp:positionV>
            <wp:extent cx="56235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-809625</wp:posOffset>
            </wp:positionH>
            <wp:positionV relativeFrom="paragraph">
              <wp:posOffset>-224155</wp:posOffset>
            </wp:positionV>
            <wp:extent cx="5546090" cy="8147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546090" cy="81470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1600" w:space="720"/>
            <w:col w:w="75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60</w:t>
      </w:r>
    </w:p>
    <w:p>
      <w:pPr>
        <w:spacing w:after="0" w:line="20" w:lineRule="exact"/>
        <w:rPr>
          <w:sz w:val="20"/>
          <w:szCs w:val="20"/>
          <w:color w:val="auto"/>
        </w:rPr>
      </w:pPr>
      <w:r>
        <w:rPr>
          <w:sz w:val="20"/>
          <w:szCs w:val="20"/>
          <w:color w:val="auto"/>
        </w:rPr>
        <w:br w:type="column"/>
      </w:r>
    </w:p>
    <w:p>
      <w:pPr>
        <w:ind w:left="116" w:hanging="116"/>
        <w:spacing w:after="0"/>
        <w:tabs>
          <w:tab w:leader="none" w:pos="116"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62259D"/>
        </w:rPr>
        <w:t>BACKGROUND</w:t>
      </w:r>
    </w:p>
    <w:p>
      <w:pPr>
        <w:spacing w:after="0" w:line="45" w:lineRule="exact"/>
        <w:rPr>
          <w:rFonts w:ascii="Arial" w:cs="Arial" w:eastAsia="Arial" w:hAnsi="Arial"/>
          <w:sz w:val="16"/>
          <w:szCs w:val="16"/>
          <w:color w:val="auto"/>
        </w:rPr>
      </w:pPr>
    </w:p>
    <w:p>
      <w:pPr>
        <w:ind w:left="116"/>
        <w:spacing w:after="0"/>
        <w:rPr>
          <w:rFonts w:ascii="Arial" w:cs="Arial" w:eastAsia="Arial" w:hAnsi="Arial"/>
          <w:sz w:val="16"/>
          <w:szCs w:val="16"/>
          <w:color w:val="auto"/>
        </w:rPr>
      </w:pPr>
      <w:r>
        <w:rPr>
          <w:rFonts w:ascii="Arial" w:cs="Arial" w:eastAsia="Arial" w:hAnsi="Arial"/>
          <w:sz w:val="16"/>
          <w:szCs w:val="16"/>
          <w:b w:val="1"/>
          <w:bCs w:val="1"/>
          <w:color w:val="auto"/>
        </w:rPr>
        <w:t>Ribbon Communications Inc.</w:t>
      </w:r>
    </w:p>
    <w:p>
      <w:pPr>
        <w:spacing w:after="0" w:line="61" w:lineRule="exact"/>
        <w:rPr>
          <w:rFonts w:ascii="Arial" w:cs="Arial" w:eastAsia="Arial" w:hAnsi="Arial"/>
          <w:sz w:val="16"/>
          <w:szCs w:val="16"/>
          <w:color w:val="auto"/>
        </w:rPr>
      </w:pPr>
    </w:p>
    <w:p>
      <w:pPr>
        <w:ind w:left="276" w:right="60" w:hanging="168"/>
        <w:spacing w:after="0" w:line="259" w:lineRule="auto"/>
        <w:tabs>
          <w:tab w:leader="none" w:pos="276" w:val="left"/>
        </w:tabs>
        <w:numPr>
          <w:ilvl w:val="1"/>
          <w:numId w:val="86"/>
        </w:numPr>
        <w:rPr>
          <w:rFonts w:ascii="Arial" w:cs="Arial" w:eastAsia="Arial" w:hAnsi="Arial"/>
          <w:sz w:val="16"/>
          <w:szCs w:val="16"/>
          <w:color w:val="62259D"/>
        </w:rPr>
      </w:pPr>
      <w:r>
        <w:rPr>
          <w:rFonts w:ascii="Arial" w:cs="Arial" w:eastAsia="Arial" w:hAnsi="Arial"/>
          <w:sz w:val="16"/>
          <w:szCs w:val="16"/>
          <w:color w:val="auto"/>
        </w:rPr>
        <w:t>Executive Vice President and Chief Operating Officer (January 2023 to present)</w:t>
      </w:r>
    </w:p>
    <w:p>
      <w:pPr>
        <w:spacing w:after="0" w:line="34" w:lineRule="exact"/>
        <w:rPr>
          <w:rFonts w:ascii="Arial" w:cs="Arial" w:eastAsia="Arial" w:hAnsi="Arial"/>
          <w:sz w:val="16"/>
          <w:szCs w:val="16"/>
          <w:color w:val="62259D"/>
        </w:rPr>
      </w:pPr>
    </w:p>
    <w:p>
      <w:pPr>
        <w:ind w:left="276" w:hanging="168"/>
        <w:spacing w:after="0" w:line="236" w:lineRule="auto"/>
        <w:tabs>
          <w:tab w:leader="none" w:pos="276" w:val="left"/>
        </w:tabs>
        <w:numPr>
          <w:ilvl w:val="1"/>
          <w:numId w:val="86"/>
        </w:numPr>
        <w:rPr>
          <w:rFonts w:ascii="Arial" w:cs="Arial" w:eastAsia="Arial" w:hAnsi="Arial"/>
          <w:sz w:val="16"/>
          <w:szCs w:val="16"/>
          <w:color w:val="62259D"/>
        </w:rPr>
      </w:pPr>
      <w:r>
        <w:rPr>
          <w:rFonts w:ascii="Arial" w:cs="Arial" w:eastAsia="Arial" w:hAnsi="Arial"/>
          <w:sz w:val="16"/>
          <w:szCs w:val="16"/>
          <w:color w:val="auto"/>
        </w:rPr>
        <w:t>Executive Vice President and General Manager, IP Optical Networks Business Unit (September 2020 to December 2022)</w:t>
      </w:r>
    </w:p>
    <w:p>
      <w:pPr>
        <w:spacing w:after="0" w:line="36" w:lineRule="exact"/>
        <w:rPr>
          <w:sz w:val="20"/>
          <w:szCs w:val="20"/>
          <w:color w:val="auto"/>
        </w:rPr>
      </w:pPr>
    </w:p>
    <w:p>
      <w:pPr>
        <w:ind w:left="116" w:right="800"/>
        <w:spacing w:after="0" w:line="244" w:lineRule="auto"/>
        <w:rPr>
          <w:sz w:val="20"/>
          <w:szCs w:val="20"/>
          <w:color w:val="auto"/>
        </w:rPr>
      </w:pPr>
      <w:r>
        <w:rPr>
          <w:rFonts w:ascii="Arial" w:cs="Arial" w:eastAsia="Arial" w:hAnsi="Arial"/>
          <w:sz w:val="16"/>
          <w:szCs w:val="16"/>
          <w:b w:val="1"/>
          <w:bCs w:val="1"/>
          <w:color w:val="auto"/>
        </w:rPr>
        <w:t>Nokia / Alcatel -Lucent</w:t>
      </w:r>
      <w:r>
        <w:rPr>
          <w:rFonts w:ascii="Arial" w:cs="Arial" w:eastAsia="Arial" w:hAnsi="Arial"/>
          <w:sz w:val="16"/>
          <w:szCs w:val="16"/>
          <w:color w:val="auto"/>
        </w:rPr>
        <w:t>, a global</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communications solutions company</w:t>
      </w:r>
    </w:p>
    <w:p>
      <w:pPr>
        <w:spacing w:after="0" w:line="20" w:lineRule="exact"/>
        <w:rPr>
          <w:sz w:val="20"/>
          <w:szCs w:val="20"/>
          <w:color w:val="auto"/>
        </w:rPr>
      </w:pPr>
      <w:r>
        <w:rPr>
          <w:sz w:val="20"/>
          <w:szCs w:val="20"/>
          <w:color w:val="auto"/>
        </w:rPr>
        <w:br w:type="column"/>
      </w:r>
    </w:p>
    <w:p>
      <w:pPr>
        <w:ind w:left="10" w:right="159" w:hanging="215"/>
        <w:spacing w:after="0" w:line="249" w:lineRule="auto"/>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Nortel Networks</w:t>
      </w:r>
      <w:r>
        <w:rPr>
          <w:rFonts w:ascii="Arial" w:cs="Arial" w:eastAsia="Arial" w:hAnsi="Arial"/>
          <w:sz w:val="16"/>
          <w:szCs w:val="16"/>
          <w:color w:val="auto"/>
        </w:rPr>
        <w:t>, a global communications</w:t>
      </w:r>
      <w:r>
        <w:rPr>
          <w:sz w:val="20"/>
          <w:szCs w:val="20"/>
          <w:color w:val="auto"/>
        </w:rPr>
        <w:t xml:space="preserve"> </w:t>
      </w:r>
      <w:r>
        <w:rPr>
          <w:rFonts w:ascii="Arial" w:cs="Arial" w:eastAsia="Arial" w:hAnsi="Arial"/>
          <w:sz w:val="16"/>
          <w:szCs w:val="16"/>
          <w:color w:val="auto"/>
        </w:rPr>
        <w:t>​ solutions company</w:t>
      </w:r>
    </w:p>
    <w:p>
      <w:pPr>
        <w:spacing w:after="0" w:line="217" w:lineRule="exact"/>
        <w:rPr>
          <w:sz w:val="20"/>
          <w:szCs w:val="20"/>
          <w:color w:val="auto"/>
        </w:rPr>
      </w:pPr>
    </w:p>
    <w:p>
      <w:pPr>
        <w:ind w:left="150" w:right="219" w:hanging="150"/>
        <w:spacing w:after="0" w:line="229" w:lineRule="auto"/>
        <w:tabs>
          <w:tab w:leader="none" w:pos="150" w:val="left"/>
        </w:tabs>
        <w:numPr>
          <w:ilvl w:val="0"/>
          <w:numId w:val="87"/>
        </w:numPr>
        <w:rPr>
          <w:rFonts w:ascii="Arial" w:cs="Arial" w:eastAsia="Arial" w:hAnsi="Arial"/>
          <w:sz w:val="16"/>
          <w:szCs w:val="16"/>
          <w:color w:val="62259D"/>
        </w:rPr>
      </w:pPr>
      <w:r>
        <w:rPr>
          <w:rFonts w:ascii="Arial" w:cs="Arial" w:eastAsia="Arial" w:hAnsi="Arial"/>
          <w:sz w:val="16"/>
          <w:szCs w:val="16"/>
          <w:color w:val="auto"/>
        </w:rPr>
        <w:t>served in the optical business unit in various senior product management, sales and business development roles over</w:t>
      </w:r>
    </w:p>
    <w:p>
      <w:pPr>
        <w:ind w:left="150"/>
        <w:spacing w:after="0"/>
        <w:rPr>
          <w:rFonts w:ascii="Arial" w:cs="Arial" w:eastAsia="Arial" w:hAnsi="Arial"/>
          <w:sz w:val="16"/>
          <w:szCs w:val="16"/>
          <w:color w:val="62259D"/>
        </w:rPr>
      </w:pPr>
      <w:r>
        <w:rPr>
          <w:rFonts w:ascii="Arial" w:cs="Arial" w:eastAsia="Arial" w:hAnsi="Arial"/>
          <w:sz w:val="16"/>
          <w:szCs w:val="16"/>
          <w:color w:val="auto"/>
        </w:rPr>
        <w:t>several years</w:t>
      </w:r>
    </w:p>
    <w:p>
      <w:pPr>
        <w:spacing w:after="0" w:line="97"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62259D"/>
        </w:rPr>
        <w:t>EDUCATION</w:t>
      </w:r>
    </w:p>
    <w:p>
      <w:pPr>
        <w:spacing w:after="0" w:line="61" w:lineRule="exact"/>
        <w:rPr>
          <w:sz w:val="20"/>
          <w:szCs w:val="20"/>
          <w:color w:val="auto"/>
        </w:rPr>
      </w:pPr>
    </w:p>
    <w:p>
      <w:pPr>
        <w:ind w:left="150" w:hanging="150"/>
        <w:spacing w:after="0"/>
        <w:tabs>
          <w:tab w:leader="none" w:pos="150" w:val="left"/>
        </w:tabs>
        <w:numPr>
          <w:ilvl w:val="0"/>
          <w:numId w:val="88"/>
        </w:numPr>
        <w:rPr>
          <w:rFonts w:ascii="Arial" w:cs="Arial" w:eastAsia="Arial" w:hAnsi="Arial"/>
          <w:sz w:val="16"/>
          <w:szCs w:val="16"/>
          <w:color w:val="62259D"/>
        </w:rPr>
      </w:pPr>
      <w:r>
        <w:rPr>
          <w:rFonts w:ascii="Arial" w:cs="Arial" w:eastAsia="Arial" w:hAnsi="Arial"/>
          <w:sz w:val="16"/>
          <w:szCs w:val="16"/>
          <w:color w:val="auto"/>
        </w:rPr>
        <w:t>B.E., with distinction, McGill University</w:t>
      </w:r>
    </w:p>
    <w:p>
      <w:pPr>
        <w:spacing w:after="0" w:line="248" w:lineRule="exact"/>
        <w:rPr>
          <w:sz w:val="20"/>
          <w:szCs w:val="20"/>
          <w:color w:val="auto"/>
        </w:rPr>
      </w:pPr>
    </w:p>
    <w:p>
      <w:pPr>
        <w:sectPr>
          <w:pgSz w:w="11900" w:h="16838" w:orient="portrait"/>
          <w:cols w:equalWidth="0" w:num="3">
            <w:col w:w="1824" w:space="720"/>
            <w:col w:w="3496" w:space="230"/>
            <w:col w:w="3609"/>
          </w:cols>
          <w:pgMar w:left="580" w:top="97" w:right="1440" w:bottom="1440" w:gutter="0" w:footer="0" w:header="0"/>
          <w:type w:val="continuous"/>
        </w:sectPr>
      </w:pPr>
    </w:p>
    <w:p>
      <w:pPr>
        <w:ind w:left="2820" w:right="4119" w:hanging="168"/>
        <w:spacing w:after="0" w:line="241" w:lineRule="auto"/>
        <w:tabs>
          <w:tab w:leader="none" w:pos="2820" w:val="left"/>
        </w:tabs>
        <w:numPr>
          <w:ilvl w:val="0"/>
          <w:numId w:val="89"/>
        </w:numPr>
        <w:rPr>
          <w:rFonts w:ascii="Arial" w:cs="Arial" w:eastAsia="Arial" w:hAnsi="Arial"/>
          <w:sz w:val="16"/>
          <w:szCs w:val="16"/>
          <w:color w:val="62259D"/>
        </w:rPr>
      </w:pPr>
      <w:r>
        <w:rPr>
          <w:rFonts w:ascii="Arial" w:cs="Arial" w:eastAsia="Arial" w:hAnsi="Arial"/>
          <w:sz w:val="16"/>
          <w:szCs w:val="16"/>
          <w:color w:val="auto"/>
        </w:rPr>
        <w:t>Director optical networking business unit (1994 to 2020)</w:t>
      </w:r>
    </w:p>
    <w:p>
      <w:pPr>
        <w:spacing w:after="0" w:line="328" w:lineRule="exact"/>
        <w:rPr>
          <w:sz w:val="20"/>
          <w:szCs w:val="20"/>
          <w:color w:val="auto"/>
        </w:rPr>
      </w:pPr>
    </w:p>
    <w:p>
      <w:pPr>
        <w:ind w:left="9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-4445</wp:posOffset>
            </wp:positionV>
            <wp:extent cx="562356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9166BA"/>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9166BA"/>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95"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2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-107315</wp:posOffset>
            </wp:positionV>
            <wp:extent cx="814070" cy="8147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1407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51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72"/>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E7417A"/>
          </w:tcPr>
          <w:p>
            <w:pPr>
              <w:spacing w:after="0"/>
              <w:rPr>
                <w:sz w:val="20"/>
                <w:szCs w:val="20"/>
                <w:color w:val="auto"/>
              </w:rPr>
            </w:pPr>
            <w:r>
              <w:rPr>
                <w:rFonts w:ascii="Arial" w:cs="Arial" w:eastAsia="Arial" w:hAnsi="Arial"/>
                <w:sz w:val="14"/>
                <w:szCs w:val="14"/>
                <w:b w:val="1"/>
                <w:bCs w:val="1"/>
                <w:color w:val="FEFEFE"/>
              </w:rPr>
              <w:t>​</w:t>
            </w:r>
          </w:p>
        </w:tc>
        <w:tc>
          <w:tcPr>
            <w:tcW w:w="7040" w:type="dxa"/>
            <w:vAlign w:val="bottom"/>
            <w:gridSpan w:val="2"/>
            <w:vMerge w:val="restart"/>
            <w:shd w:val="clear" w:color="auto" w:fill="E7417A"/>
          </w:tcPr>
          <w:p>
            <w:pPr>
              <w:ind w:left="80"/>
              <w:spacing w:after="0"/>
              <w:rPr>
                <w:sz w:val="20"/>
                <w:szCs w:val="20"/>
                <w:color w:val="auto"/>
              </w:rPr>
            </w:pPr>
            <w:r>
              <w:rPr>
                <w:rFonts w:ascii="Arial" w:cs="Arial" w:eastAsia="Arial" w:hAnsi="Arial"/>
                <w:sz w:val="50"/>
                <w:szCs w:val="50"/>
                <w:b w:val="1"/>
                <w:bCs w:val="1"/>
                <w:color w:val="FEFEFE"/>
                <w:vertAlign w:val="subscript"/>
              </w:rPr>
              <w:t>PATRICK MACKEN</w:t>
            </w:r>
            <w:r>
              <w:rPr>
                <w:rFonts w:ascii="Arial" w:cs="Arial" w:eastAsia="Arial" w:hAnsi="Arial"/>
                <w:sz w:val="14"/>
                <w:szCs w:val="14"/>
                <w:b w:val="1"/>
                <w:bCs w:val="1"/>
                <w:color w:val="FEFEFE"/>
              </w:rPr>
              <w:t xml:space="preserve"> </w:t>
            </w:r>
            <w:r>
              <w:rPr>
                <w:rFonts w:ascii="Arial" w:cs="Arial" w:eastAsia="Arial" w:hAnsi="Arial"/>
                <w:sz w:val="28"/>
                <w:szCs w:val="28"/>
                <w:b w:val="1"/>
                <w:bCs w:val="1"/>
                <w:color w:val="FEFEFE"/>
                <w:vertAlign w:val="subscript"/>
              </w:rPr>
              <w:t>​  ​</w:t>
            </w:r>
            <w:r>
              <w:rPr>
                <w:rFonts w:ascii="Arial" w:cs="Arial" w:eastAsia="Arial" w:hAnsi="Arial"/>
                <w:sz w:val="14"/>
                <w:szCs w:val="14"/>
                <w:b w:val="1"/>
                <w:bCs w:val="1"/>
                <w:color w:val="FEFEFE"/>
              </w:rPr>
              <w:t xml:space="preserve">  EXECUTIVE VICE PRESIDENT, CHIEF LEGAL OFFICER</w:t>
            </w:r>
            <w:r>
              <w:rPr>
                <w:rFonts w:ascii="Arial" w:cs="Arial" w:eastAsia="Arial" w:hAnsi="Arial"/>
                <w:sz w:val="28"/>
                <w:szCs w:val="28"/>
                <w:b w:val="1"/>
                <w:bCs w:val="1"/>
                <w:color w:val="FEFEFE"/>
                <w:vertAlign w:val="subscript"/>
              </w:rPr>
              <w:t>​</w:t>
            </w:r>
          </w:p>
        </w:tc>
        <w:tc>
          <w:tcPr>
            <w:tcW w:w="120" w:type="dxa"/>
            <w:vAlign w:val="bottom"/>
            <w:shd w:val="clear" w:color="auto" w:fill="E7417A"/>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20" w:type="dxa"/>
            <w:vAlign w:val="bottom"/>
          </w:tcPr>
          <w:p>
            <w:pPr>
              <w:spacing w:after="0"/>
              <w:rPr>
                <w:sz w:val="8"/>
                <w:szCs w:val="8"/>
                <w:color w:val="auto"/>
              </w:rPr>
            </w:pPr>
          </w:p>
        </w:tc>
        <w:tc>
          <w:tcPr>
            <w:tcW w:w="80" w:type="dxa"/>
            <w:vAlign w:val="bottom"/>
            <w:vMerge w:val="continue"/>
            <w:shd w:val="clear" w:color="auto" w:fill="E7417A"/>
          </w:tcPr>
          <w:p>
            <w:pPr>
              <w:spacing w:after="0"/>
              <w:rPr>
                <w:sz w:val="8"/>
                <w:szCs w:val="8"/>
                <w:color w:val="auto"/>
              </w:rPr>
            </w:pPr>
          </w:p>
        </w:tc>
        <w:tc>
          <w:tcPr>
            <w:tcW w:w="7040" w:type="dxa"/>
            <w:vAlign w:val="bottom"/>
            <w:gridSpan w:val="2"/>
            <w:vMerge w:val="continue"/>
            <w:shd w:val="clear" w:color="auto" w:fill="E7417A"/>
          </w:tcPr>
          <w:p>
            <w:pPr>
              <w:spacing w:after="0"/>
              <w:rPr>
                <w:sz w:val="8"/>
                <w:szCs w:val="8"/>
                <w:color w:val="auto"/>
              </w:rPr>
            </w:pPr>
          </w:p>
        </w:tc>
        <w:tc>
          <w:tcPr>
            <w:tcW w:w="120" w:type="dxa"/>
            <w:vAlign w:val="bottom"/>
            <w:shd w:val="clear" w:color="auto" w:fill="E7417A"/>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80" w:type="dxa"/>
            <w:vAlign w:val="bottom"/>
            <w:shd w:val="clear" w:color="auto" w:fill="E7417A"/>
          </w:tcPr>
          <w:p>
            <w:pPr>
              <w:spacing w:after="0"/>
              <w:rPr>
                <w:sz w:val="16"/>
                <w:szCs w:val="16"/>
                <w:color w:val="auto"/>
              </w:rPr>
            </w:pPr>
          </w:p>
        </w:tc>
        <w:tc>
          <w:tcPr>
            <w:tcW w:w="3400" w:type="dxa"/>
            <w:vAlign w:val="bottom"/>
            <w:shd w:val="clear" w:color="auto" w:fill="E7417A"/>
          </w:tcPr>
          <w:p>
            <w:pPr>
              <w:spacing w:after="0"/>
              <w:rPr>
                <w:sz w:val="16"/>
                <w:szCs w:val="16"/>
                <w:color w:val="auto"/>
              </w:rPr>
            </w:pPr>
          </w:p>
        </w:tc>
        <w:tc>
          <w:tcPr>
            <w:tcW w:w="3640" w:type="dxa"/>
            <w:vAlign w:val="bottom"/>
            <w:shd w:val="clear" w:color="auto" w:fill="E7417A"/>
          </w:tcPr>
          <w:p>
            <w:pPr>
              <w:ind w:left="1260"/>
              <w:spacing w:after="0"/>
              <w:rPr>
                <w:sz w:val="20"/>
                <w:szCs w:val="20"/>
                <w:color w:val="auto"/>
              </w:rPr>
            </w:pPr>
            <w:r>
              <w:rPr>
                <w:rFonts w:ascii="Arial" w:cs="Arial" w:eastAsia="Arial" w:hAnsi="Arial"/>
                <w:sz w:val="14"/>
                <w:szCs w:val="14"/>
                <w:b w:val="1"/>
                <w:bCs w:val="1"/>
                <w:color w:val="FEFEFE"/>
              </w:rPr>
              <w:t>AND CORPORATE SECRETARY</w:t>
            </w:r>
          </w:p>
        </w:tc>
        <w:tc>
          <w:tcPr>
            <w:tcW w:w="120" w:type="dxa"/>
            <w:vAlign w:val="bottom"/>
            <w:shd w:val="clear" w:color="auto" w:fill="E7417A"/>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220" w:type="dxa"/>
            <w:vAlign w:val="bottom"/>
          </w:tcPr>
          <w:p>
            <w:pPr>
              <w:spacing w:after="0"/>
              <w:rPr>
                <w:sz w:val="24"/>
                <w:szCs w:val="24"/>
                <w:color w:val="auto"/>
              </w:rPr>
            </w:pPr>
          </w:p>
        </w:tc>
        <w:tc>
          <w:tcPr>
            <w:tcW w:w="3480" w:type="dxa"/>
            <w:vAlign w:val="bottom"/>
            <w:gridSpan w:val="2"/>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62259D"/>
              </w:rPr>
              <w:t>BACKGROUND</w:t>
            </w:r>
          </w:p>
        </w:tc>
        <w:tc>
          <w:tcPr>
            <w:tcW w:w="3640" w:type="dxa"/>
            <w:vAlign w:val="bottom"/>
          </w:tcPr>
          <w:p>
            <w:pPr>
              <w:ind w:left="4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Troutman Sanders LLP</w:t>
            </w:r>
            <w:r>
              <w:rPr>
                <w:rFonts w:ascii="Arial" w:cs="Arial" w:eastAsia="Arial" w:hAnsi="Arial"/>
                <w:sz w:val="16"/>
                <w:szCs w:val="16"/>
                <w:color w:val="auto"/>
              </w:rPr>
              <w:t xml:space="preserve"> (now Troutman</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Ribbon Communications Inc.</w:t>
            </w:r>
          </w:p>
        </w:tc>
        <w:tc>
          <w:tcPr>
            <w:tcW w:w="3640" w:type="dxa"/>
            <w:vAlign w:val="bottom"/>
          </w:tcPr>
          <w:p>
            <w:pPr>
              <w:ind w:left="260"/>
              <w:spacing w:after="0"/>
              <w:rPr>
                <w:sz w:val="20"/>
                <w:szCs w:val="20"/>
                <w:color w:val="auto"/>
              </w:rPr>
            </w:pPr>
            <w:r>
              <w:rPr>
                <w:rFonts w:ascii="Arial" w:cs="Arial" w:eastAsia="Arial" w:hAnsi="Arial"/>
                <w:sz w:val="16"/>
                <w:szCs w:val="16"/>
                <w:color w:val="auto"/>
              </w:rPr>
              <w:t>Pepper Locke LLP)</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vMerge w:val="continue"/>
          </w:tcPr>
          <w:p>
            <w:pPr>
              <w:spacing w:after="0"/>
              <w:rPr>
                <w:sz w:val="5"/>
                <w:szCs w:val="5"/>
                <w:color w:val="auto"/>
              </w:rPr>
            </w:pPr>
          </w:p>
        </w:tc>
        <w:tc>
          <w:tcPr>
            <w:tcW w:w="3640" w:type="dxa"/>
            <w:vAlign w:val="bottom"/>
            <w:vMerge w:val="restart"/>
          </w:tcPr>
          <w:p>
            <w:pPr>
              <w:ind w:left="26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Partner in the corporate practice</w:t>
            </w: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Executive Vice President, Chief Legal</w:t>
            </w:r>
          </w:p>
        </w:tc>
        <w:tc>
          <w:tcPr>
            <w:tcW w:w="3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0" w:type="dxa"/>
            <w:vAlign w:val="bottom"/>
          </w:tcPr>
          <w:p>
            <w:pPr>
              <w:ind w:left="200"/>
              <w:spacing w:after="0" w:line="175" w:lineRule="exact"/>
              <w:rPr>
                <w:sz w:val="20"/>
                <w:szCs w:val="20"/>
                <w:color w:val="auto"/>
              </w:rPr>
            </w:pPr>
            <w:r>
              <w:rPr>
                <w:rFonts w:ascii="Arial" w:cs="Arial" w:eastAsia="Arial" w:hAnsi="Arial"/>
                <w:sz w:val="16"/>
                <w:szCs w:val="16"/>
                <w:color w:val="auto"/>
              </w:rPr>
              <w:t>Officer and Corporate Secretary (June 2020</w:t>
            </w:r>
          </w:p>
        </w:tc>
        <w:tc>
          <w:tcPr>
            <w:tcW w:w="3640" w:type="dxa"/>
            <w:vAlign w:val="bottom"/>
          </w:tcPr>
          <w:p>
            <w:pPr>
              <w:ind w:left="260"/>
              <w:spacing w:after="0" w:line="175" w:lineRule="exact"/>
              <w:rPr>
                <w:sz w:val="20"/>
                <w:szCs w:val="20"/>
                <w:color w:val="auto"/>
              </w:rPr>
            </w:pPr>
            <w:r>
              <w:rPr>
                <w:rFonts w:ascii="Arial" w:cs="Arial" w:eastAsia="Arial" w:hAnsi="Arial"/>
                <w:sz w:val="16"/>
                <w:szCs w:val="16"/>
                <w:b w:val="1"/>
                <w:bCs w:val="1"/>
                <w:color w:val="auto"/>
              </w:rPr>
              <w:t>EDUCATION</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Arial" w:cs="Arial" w:eastAsia="Arial" w:hAnsi="Arial"/>
                <w:sz w:val="16"/>
                <w:szCs w:val="16"/>
                <w:color w:val="auto"/>
              </w:rPr>
              <w:t>to present)</w:t>
            </w:r>
          </w:p>
        </w:tc>
        <w:tc>
          <w:tcPr>
            <w:tcW w:w="3640" w:type="dxa"/>
            <w:vAlign w:val="bottom"/>
            <w:vMerge w:val="restart"/>
          </w:tcPr>
          <w:p>
            <w:pPr>
              <w:ind w:left="26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J.D.,</w:t>
            </w:r>
            <w:r>
              <w:rPr>
                <w:rFonts w:ascii="Arial" w:cs="Arial" w:eastAsia="Arial" w:hAnsi="Arial"/>
                <w:sz w:val="16"/>
                <w:szCs w:val="16"/>
                <w:color w:val="62259D"/>
              </w:rPr>
              <w:t xml:space="preserve"> </w:t>
            </w:r>
            <w:r>
              <w:rPr>
                <w:rFonts w:ascii="Arial" w:cs="Arial" w:eastAsia="Arial" w:hAnsi="Arial"/>
                <w:sz w:val="16"/>
                <w:szCs w:val="16"/>
                <w:i w:val="1"/>
                <w:iCs w:val="1"/>
                <w:color w:val="000000"/>
              </w:rPr>
              <w:t>magna cum laude</w:t>
            </w:r>
            <w:r>
              <w:rPr>
                <w:rFonts w:ascii="Arial" w:cs="Arial" w:eastAsia="Arial" w:hAnsi="Arial"/>
                <w:sz w:val="16"/>
                <w:szCs w:val="16"/>
                <w:color w:val="000000"/>
              </w:rPr>
              <w:t>, Tulane Law School;</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 xml:space="preserve">ARRIS International plc, </w:t>
            </w:r>
            <w:r>
              <w:rPr>
                <w:rFonts w:ascii="Arial" w:cs="Arial" w:eastAsia="Arial" w:hAnsi="Arial"/>
                <w:sz w:val="16"/>
                <w:szCs w:val="16"/>
                <w:color w:val="auto"/>
              </w:rPr>
              <w:t>a global</w:t>
            </w:r>
          </w:p>
        </w:tc>
        <w:tc>
          <w:tcPr>
            <w:tcW w:w="3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vMerge w:val="continue"/>
          </w:tcPr>
          <w:p>
            <w:pPr>
              <w:spacing w:after="0"/>
              <w:rPr>
                <w:sz w:val="14"/>
                <w:szCs w:val="14"/>
                <w:color w:val="auto"/>
              </w:rPr>
            </w:pPr>
          </w:p>
        </w:tc>
        <w:tc>
          <w:tcPr>
            <w:tcW w:w="3640" w:type="dxa"/>
            <w:vAlign w:val="bottom"/>
          </w:tcPr>
          <w:p>
            <w:pPr>
              <w:ind w:left="400"/>
              <w:spacing w:after="0" w:line="162" w:lineRule="exact"/>
              <w:rPr>
                <w:sz w:val="20"/>
                <w:szCs w:val="20"/>
                <w:color w:val="auto"/>
              </w:rPr>
            </w:pPr>
            <w:r>
              <w:rPr>
                <w:rFonts w:ascii="Arial" w:cs="Arial" w:eastAsia="Arial" w:hAnsi="Arial"/>
                <w:sz w:val="16"/>
                <w:szCs w:val="16"/>
                <w:color w:val="auto"/>
              </w:rPr>
              <w:t>member of the Order of the Coif</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communications solutions company</w:t>
            </w:r>
          </w:p>
        </w:tc>
        <w:tc>
          <w:tcPr>
            <w:tcW w:w="3640" w:type="dxa"/>
            <w:vAlign w:val="bottom"/>
            <w:vMerge w:val="restart"/>
          </w:tcPr>
          <w:p>
            <w:pPr>
              <w:ind w:left="26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B.A., Tulane University</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tcPr>
          <w:p>
            <w:pPr>
              <w:spacing w:after="0"/>
              <w:rPr>
                <w:sz w:val="5"/>
                <w:szCs w:val="5"/>
                <w:color w:val="auto"/>
              </w:rPr>
            </w:pPr>
          </w:p>
        </w:tc>
        <w:tc>
          <w:tcPr>
            <w:tcW w:w="3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500" w:right="3859" w:hanging="168"/>
        <w:spacing w:after="0" w:line="231" w:lineRule="auto"/>
        <w:tabs>
          <w:tab w:leader="none" w:pos="500" w:val="left"/>
        </w:tabs>
        <w:numPr>
          <w:ilvl w:val="0"/>
          <w:numId w:val="90"/>
        </w:numPr>
        <w:rPr>
          <w:rFonts w:ascii="Arial" w:cs="Arial" w:eastAsia="Arial" w:hAnsi="Arial"/>
          <w:sz w:val="16"/>
          <w:szCs w:val="16"/>
          <w:color w:val="62259D"/>
        </w:rPr>
      </w:pPr>
      <w:r>
        <w:rPr>
          <w:rFonts w:ascii="Arial" w:cs="Arial" w:eastAsia="Arial" w:hAnsi="Arial"/>
          <w:sz w:val="16"/>
          <w:szCs w:val="16"/>
          <w:color w:val="auto"/>
        </w:rPr>
        <w:t>Senior Vice President, General Counsel and Secretary (2015 to 2019)</w:t>
      </w:r>
    </w:p>
    <w:p>
      <w:pPr>
        <w:spacing w:after="0" w:line="2" w:lineRule="exact"/>
        <w:rPr>
          <w:sz w:val="20"/>
          <w:szCs w:val="20"/>
          <w:color w:val="auto"/>
        </w:rPr>
      </w:pPr>
    </w:p>
    <w:p>
      <w:pPr>
        <w:sectPr>
          <w:pgSz w:w="11900" w:h="16838" w:orient="portrait"/>
          <w:cols w:equalWidth="0" w:num="2">
            <w:col w:w="1640" w:space="680"/>
            <w:col w:w="7559"/>
          </w:cols>
          <w:pgMar w:left="580" w:top="97" w:right="1440" w:bottom="1440" w:gutter="0" w:footer="0" w:header="0"/>
          <w:type w:val="continuous"/>
        </w:sectPr>
      </w:pPr>
    </w:p>
    <w:p>
      <w:pPr>
        <w:spacing w:after="0" w:line="98" w:lineRule="exact"/>
        <w:rPr>
          <w:sz w:val="20"/>
          <w:szCs w:val="20"/>
          <w:color w:val="auto"/>
        </w:rPr>
      </w:pPr>
    </w:p>
    <w:p>
      <w:pPr>
        <w:ind w:left="920"/>
        <w:spacing w:after="0"/>
        <w:rPr>
          <w:sz w:val="20"/>
          <w:szCs w:val="20"/>
          <w:color w:val="auto"/>
        </w:rPr>
      </w:pPr>
      <w:r>
        <w:rPr>
          <w:rFonts w:ascii="Arial" w:cs="Arial" w:eastAsia="Arial" w:hAnsi="Arial"/>
          <w:sz w:val="3"/>
          <w:szCs w:val="3"/>
          <w:color w:val="auto"/>
        </w:rPr>
        <w:t>​</w:t>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-107315</wp:posOffset>
            </wp:positionV>
            <wp:extent cx="814070" cy="8147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1407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58</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tabs>
          <w:tab w:leader="none" w:pos="3280" w:val="left"/>
        </w:tabs>
        <w:rPr>
          <w:sz w:val="20"/>
          <w:szCs w:val="20"/>
          <w:color w:val="auto"/>
        </w:rPr>
      </w:pPr>
      <w:r>
        <w:rPr>
          <w:rFonts w:ascii="Arial" w:cs="Arial" w:eastAsia="Arial" w:hAnsi="Arial"/>
          <w:sz w:val="32"/>
          <w:szCs w:val="32"/>
          <w:color w:val="000000"/>
          <w:vertAlign w:val="superscript"/>
        </w:rPr>
        <w:t>​</w:t>
      </w:r>
      <w:r>
        <w:rPr>
          <w:rFonts w:ascii="Arial" w:cs="Arial" w:eastAsia="Arial" w:hAnsi="Arial"/>
          <w:sz w:val="25"/>
          <w:szCs w:val="25"/>
          <w:b w:val="1"/>
          <w:bCs w:val="1"/>
          <w:color w:val="FEFEFE"/>
        </w:rPr>
        <w:t xml:space="preserve">  ​ DAN REDINGTON​</w:t>
      </w:r>
      <w:r>
        <w:rPr>
          <w:sz w:val="20"/>
          <w:szCs w:val="20"/>
          <w:color w:val="auto"/>
        </w:rPr>
        <w:tab/>
      </w:r>
      <w:r>
        <w:rPr>
          <w:rFonts w:ascii="Arial" w:cs="Arial" w:eastAsia="Arial" w:hAnsi="Arial"/>
          <w:sz w:val="25"/>
          <w:szCs w:val="25"/>
          <w:b w:val="1"/>
          <w:bCs w:val="1"/>
          <w:color w:val="FEFEF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-369570</wp:posOffset>
            </wp:positionV>
            <wp:extent cx="56235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69" w:lineRule="exact"/>
        <w:rPr>
          <w:sz w:val="20"/>
          <w:szCs w:val="20"/>
          <w:color w:val="auto"/>
        </w:rPr>
      </w:pPr>
    </w:p>
    <w:p>
      <w:pPr>
        <w:ind w:left="340" w:hanging="116"/>
        <w:spacing w:after="0"/>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62259D"/>
        </w:rPr>
        <w:t>BACKGROUND</w:t>
      </w:r>
    </w:p>
    <w:p>
      <w:pPr>
        <w:spacing w:after="0" w:line="45"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b w:val="1"/>
          <w:bCs w:val="1"/>
          <w:color w:val="auto"/>
        </w:rPr>
        <w:t>Ribbon Communications Inc.</w:t>
      </w:r>
    </w:p>
    <w:p>
      <w:pPr>
        <w:spacing w:after="0" w:line="61" w:lineRule="exact"/>
        <w:rPr>
          <w:sz w:val="20"/>
          <w:szCs w:val="20"/>
          <w:color w:val="auto"/>
        </w:rPr>
      </w:pPr>
    </w:p>
    <w:p>
      <w:pPr>
        <w:ind w:left="500" w:right="60" w:hanging="168"/>
        <w:spacing w:after="0" w:line="259" w:lineRule="auto"/>
        <w:tabs>
          <w:tab w:leader="none" w:pos="500" w:val="left"/>
        </w:tabs>
        <w:numPr>
          <w:ilvl w:val="0"/>
          <w:numId w:val="92"/>
        </w:numPr>
        <w:rPr>
          <w:rFonts w:ascii="Arial" w:cs="Arial" w:eastAsia="Arial" w:hAnsi="Arial"/>
          <w:sz w:val="16"/>
          <w:szCs w:val="16"/>
          <w:color w:val="62259D"/>
        </w:rPr>
      </w:pPr>
      <w:r>
        <w:rPr>
          <w:rFonts w:ascii="Arial" w:cs="Arial" w:eastAsia="Arial" w:hAnsi="Arial"/>
          <w:sz w:val="16"/>
          <w:szCs w:val="16"/>
          <w:color w:val="auto"/>
        </w:rPr>
        <w:t>Executive Vice President, Global Sales (December 2022 to present)</w:t>
      </w:r>
    </w:p>
    <w:p>
      <w:pPr>
        <w:spacing w:after="0" w:line="6" w:lineRule="exact"/>
        <w:rPr>
          <w:sz w:val="20"/>
          <w:szCs w:val="20"/>
          <w:color w:val="auto"/>
        </w:rPr>
      </w:pPr>
    </w:p>
    <w:p>
      <w:pPr>
        <w:ind w:left="340" w:right="60"/>
        <w:spacing w:after="0" w:line="261" w:lineRule="auto"/>
        <w:rPr>
          <w:sz w:val="20"/>
          <w:szCs w:val="20"/>
          <w:color w:val="auto"/>
        </w:rPr>
      </w:pPr>
      <w:r>
        <w:rPr>
          <w:rFonts w:ascii="Arial" w:cs="Arial" w:eastAsia="Arial" w:hAnsi="Arial"/>
          <w:sz w:val="16"/>
          <w:szCs w:val="16"/>
          <w:b w:val="1"/>
          <w:bCs w:val="1"/>
          <w:color w:val="auto"/>
        </w:rPr>
        <w:t>Juniper Networks</w:t>
      </w:r>
      <w:r>
        <w:rPr>
          <w:rFonts w:ascii="Arial" w:cs="Arial" w:eastAsia="Arial" w:hAnsi="Arial"/>
          <w:sz w:val="16"/>
          <w:szCs w:val="16"/>
          <w:color w:val="auto"/>
        </w:rPr>
        <w:t>, a global automation</w:t>
      </w:r>
      <w:r>
        <w:rPr>
          <w:rFonts w:ascii="Arial" w:cs="Arial" w:eastAsia="Arial" w:hAnsi="Arial"/>
          <w:sz w:val="16"/>
          <w:szCs w:val="16"/>
          <w:b w:val="1"/>
          <w:bCs w:val="1"/>
          <w:color w:val="auto"/>
        </w:rPr>
        <w:t xml:space="preserve"> </w:t>
      </w:r>
      <w:r>
        <w:rPr>
          <w:rFonts w:ascii="Arial" w:cs="Arial" w:eastAsia="Arial" w:hAnsi="Arial"/>
          <w:sz w:val="16"/>
          <w:szCs w:val="16"/>
          <w:color w:val="auto"/>
        </w:rPr>
        <w:t>company</w:t>
      </w:r>
    </w:p>
    <w:p>
      <w:pPr>
        <w:spacing w:after="0" w:line="34" w:lineRule="exact"/>
        <w:rPr>
          <w:sz w:val="20"/>
          <w:szCs w:val="20"/>
          <w:color w:val="auto"/>
        </w:rPr>
      </w:pPr>
    </w:p>
    <w:p>
      <w:pPr>
        <w:ind w:left="500" w:hanging="168"/>
        <w:spacing w:after="0"/>
        <w:tabs>
          <w:tab w:leader="none" w:pos="500" w:val="left"/>
        </w:tabs>
        <w:numPr>
          <w:ilvl w:val="0"/>
          <w:numId w:val="93"/>
        </w:numPr>
        <w:rPr>
          <w:rFonts w:ascii="Arial" w:cs="Arial" w:eastAsia="Arial" w:hAnsi="Arial"/>
          <w:sz w:val="16"/>
          <w:szCs w:val="16"/>
          <w:color w:val="62259D"/>
        </w:rPr>
      </w:pPr>
      <w:r>
        <w:rPr>
          <w:rFonts w:ascii="Arial" w:cs="Arial" w:eastAsia="Arial" w:hAnsi="Arial"/>
          <w:sz w:val="16"/>
          <w:szCs w:val="16"/>
          <w:color w:val="auto"/>
        </w:rPr>
        <w:t>VP, Sales (2002 – 2022)</w:t>
      </w:r>
    </w:p>
    <w:p>
      <w:pPr>
        <w:spacing w:after="0" w:line="20" w:lineRule="exact"/>
        <w:rPr>
          <w:sz w:val="20"/>
          <w:szCs w:val="20"/>
          <w:color w:val="auto"/>
        </w:rPr>
      </w:pPr>
      <w:r>
        <w:rPr>
          <w:sz w:val="20"/>
          <w:szCs w:val="20"/>
          <w:color w:val="auto"/>
        </w:rPr>
        <w:br w:type="column"/>
      </w:r>
    </w:p>
    <w:p>
      <w:pPr>
        <w:ind w:left="2200"/>
        <w:spacing w:after="0"/>
        <w:rPr>
          <w:sz w:val="20"/>
          <w:szCs w:val="20"/>
          <w:color w:val="auto"/>
        </w:rPr>
      </w:pPr>
      <w:r>
        <w:rPr>
          <w:rFonts w:ascii="Arial" w:cs="Arial" w:eastAsia="Arial" w:hAnsi="Arial"/>
          <w:sz w:val="14"/>
          <w:szCs w:val="14"/>
          <w:b w:val="1"/>
          <w:bCs w:val="1"/>
          <w:color w:val="FEFEFE"/>
        </w:rPr>
        <w:t xml:space="preserve">EXECUTIVE VICE </w:t>
      </w:r>
      <w:r>
        <w:rPr>
          <w:rFonts w:ascii="Arial" w:cs="Arial" w:eastAsia="Arial" w:hAnsi="Arial"/>
          <w:sz w:val="50"/>
          <w:szCs w:val="50"/>
          <w:b w:val="1"/>
          <w:bCs w:val="1"/>
          <w:color w:val="FEFEFE"/>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-2233295</wp:posOffset>
            </wp:positionH>
            <wp:positionV relativeFrom="paragraph">
              <wp:posOffset>-147955</wp:posOffset>
            </wp:positionV>
            <wp:extent cx="4594860" cy="2654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594860" cy="26543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4"/>
          <w:szCs w:val="14"/>
          <w:b w:val="1"/>
          <w:bCs w:val="1"/>
          <w:color w:val="FEFEFE"/>
        </w:rPr>
        <w:t>PRESIDENT, GLOBAL SALES</w:t>
      </w:r>
    </w:p>
    <w:p>
      <w:pPr>
        <w:spacing w:after="0" w:line="147" w:lineRule="exact"/>
        <w:rPr>
          <w:sz w:val="20"/>
          <w:szCs w:val="20"/>
          <w:color w:val="auto"/>
        </w:rPr>
      </w:pPr>
    </w:p>
    <w:p>
      <w:pPr>
        <w:spacing w:after="0"/>
        <w:tabs>
          <w:tab w:leader="none" w:pos="3600" w:val="left"/>
        </w:tabs>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62259D"/>
        </w:rPr>
        <w:t>EDUCATION</w:t>
      </w:r>
      <w:r>
        <w:rPr>
          <w:sz w:val="20"/>
          <w:szCs w:val="20"/>
          <w:color w:val="auto"/>
        </w:rPr>
        <w:tab/>
      </w:r>
      <w:r>
        <w:rPr>
          <w:rFonts w:ascii="Arial" w:cs="Arial" w:eastAsia="Arial" w:hAnsi="Arial"/>
          <w:sz w:val="16"/>
          <w:szCs w:val="16"/>
          <w:color w:val="auto"/>
        </w:rPr>
        <w:t>​</w:t>
      </w:r>
    </w:p>
    <w:p>
      <w:pPr>
        <w:spacing w:after="0" w:line="75" w:lineRule="exact"/>
        <w:rPr>
          <w:sz w:val="20"/>
          <w:szCs w:val="20"/>
          <w:color w:val="auto"/>
        </w:rPr>
      </w:pPr>
    </w:p>
    <w:p>
      <w:pPr>
        <w:ind w:left="360" w:right="919" w:hanging="150"/>
        <w:spacing w:after="0" w:line="259" w:lineRule="auto"/>
        <w:tabs>
          <w:tab w:leader="none" w:pos="360" w:val="left"/>
        </w:tabs>
        <w:numPr>
          <w:ilvl w:val="0"/>
          <w:numId w:val="94"/>
        </w:numPr>
        <w:rPr>
          <w:rFonts w:ascii="Arial" w:cs="Arial" w:eastAsia="Arial" w:hAnsi="Arial"/>
          <w:sz w:val="16"/>
          <w:szCs w:val="16"/>
          <w:color w:val="62259D"/>
        </w:rPr>
      </w:pPr>
      <w:r>
        <w:rPr>
          <w:rFonts w:ascii="Arial" w:cs="Arial" w:eastAsia="Arial" w:hAnsi="Arial"/>
          <w:sz w:val="16"/>
          <w:szCs w:val="16"/>
          <w:color w:val="auto"/>
        </w:rPr>
        <w:t>B.S., Missouri School of Science &amp; Technology</w:t>
      </w:r>
    </w:p>
    <w:p>
      <w:pPr>
        <w:spacing w:after="0" w:line="948" w:lineRule="exact"/>
        <w:rPr>
          <w:sz w:val="20"/>
          <w:szCs w:val="20"/>
          <w:color w:val="auto"/>
        </w:rPr>
      </w:pPr>
    </w:p>
    <w:p>
      <w:pPr>
        <w:sectPr>
          <w:pgSz w:w="11900" w:h="16838" w:orient="portrait"/>
          <w:cols w:equalWidth="0" w:num="3">
            <w:col w:w="1640" w:space="680"/>
            <w:col w:w="3380" w:space="360"/>
            <w:col w:w="3819"/>
          </w:cols>
          <w:pgMar w:left="580" w:top="97" w:right="1440" w:bottom="1440" w:gutter="0" w:footer="0" w:header="0"/>
          <w:type w:val="continuous"/>
        </w:sectPr>
      </w:pPr>
    </w:p>
    <w:p>
      <w:pPr>
        <w:ind w:left="9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-4445</wp:posOffset>
            </wp:positionV>
            <wp:extent cx="56235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34</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tbl>
      <w:tblPr>
        <w:tblLayout w:type="fixed"/>
        <w:tblInd w:w="920" w:type="dxa"/>
        <w:tblCellMar>
          <w:top w:w="0" w:type="dxa"/>
          <w:left w:w="0" w:type="dxa"/>
          <w:bottom w:w="0" w:type="dxa"/>
          <w:right w:w="0" w:type="dxa"/>
        </w:tblCellMar>
      </w:tblPr>
      <w:tr>
        <w:trPr>
          <w:trHeight w:val="496"/>
        </w:trPr>
        <w:tc>
          <w:tcPr>
            <w:tcW w:w="8860" w:type="dxa"/>
            <w:vAlign w:val="bottom"/>
            <w:gridSpan w:val="2"/>
          </w:tcPr>
          <w:p>
            <w:pPr>
              <w:spacing w:after="0"/>
              <w:rPr>
                <w:sz w:val="20"/>
                <w:szCs w:val="20"/>
                <w:color w:val="auto"/>
              </w:rPr>
            </w:pPr>
            <w:r>
              <w:rPr>
                <w:rFonts w:ascii="Arial" w:cs="Arial" w:eastAsia="Arial" w:hAnsi="Arial"/>
                <w:sz w:val="36"/>
                <w:szCs w:val="36"/>
                <w:b w:val="1"/>
                <w:bCs w:val="1"/>
                <w:color w:val="E7417A"/>
              </w:rPr>
              <w:t>EXECUTIVE COMPENSATION</w:t>
            </w:r>
          </w:p>
        </w:tc>
        <w:tc>
          <w:tcPr>
            <w:tcW w:w="100" w:type="dxa"/>
            <w:vAlign w:val="bottom"/>
          </w:tcPr>
          <w:p>
            <w:pPr>
              <w:spacing w:after="0"/>
              <w:rPr>
                <w:sz w:val="24"/>
                <w:szCs w:val="24"/>
                <w:color w:val="auto"/>
              </w:rPr>
            </w:pPr>
          </w:p>
        </w:tc>
      </w:tr>
      <w:tr>
        <w:trPr>
          <w:trHeight w:val="136"/>
        </w:trPr>
        <w:tc>
          <w:tcPr>
            <w:tcW w:w="94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471"/>
        </w:trPr>
        <w:tc>
          <w:tcPr>
            <w:tcW w:w="940" w:type="dxa"/>
            <w:vAlign w:val="bottom"/>
            <w:shd w:val="clear" w:color="auto" w:fill="62259D"/>
          </w:tcPr>
          <w:p>
            <w:pPr>
              <w:spacing w:after="0" w:line="469" w:lineRule="exact"/>
              <w:rPr>
                <w:sz w:val="20"/>
                <w:szCs w:val="20"/>
                <w:color w:val="auto"/>
              </w:rPr>
            </w:pPr>
            <w:r>
              <w:rPr>
                <w:rFonts w:ascii="Arial" w:cs="Arial" w:eastAsia="Arial" w:hAnsi="Arial"/>
                <w:sz w:val="28"/>
                <w:szCs w:val="28"/>
                <w:b w:val="1"/>
                <w:bCs w:val="1"/>
                <w:color w:val="FEFEFE"/>
              </w:rPr>
              <w:t xml:space="preserve">​ </w:t>
            </w:r>
            <w:r>
              <w:rPr>
                <w:rFonts w:ascii="Arial" w:cs="Arial" w:eastAsia="Arial" w:hAnsi="Arial"/>
                <w:sz w:val="54"/>
                <w:szCs w:val="54"/>
                <w:b w:val="1"/>
                <w:bCs w:val="1"/>
                <w:color w:val="FEFEFE"/>
                <w:vertAlign w:val="subscript"/>
              </w:rPr>
              <w:t>3</w:t>
            </w:r>
          </w:p>
        </w:tc>
        <w:tc>
          <w:tcPr>
            <w:tcW w:w="7920" w:type="dxa"/>
            <w:vAlign w:val="bottom"/>
          </w:tcPr>
          <w:p>
            <w:pPr>
              <w:spacing w:after="0" w:line="469" w:lineRule="exact"/>
              <w:rPr>
                <w:sz w:val="20"/>
                <w:szCs w:val="20"/>
                <w:color w:val="auto"/>
              </w:rPr>
            </w:pPr>
            <w:r>
              <w:rPr>
                <w:rFonts w:ascii="Arial" w:cs="Arial" w:eastAsia="Arial" w:hAnsi="Arial"/>
                <w:sz w:val="54"/>
                <w:szCs w:val="54"/>
                <w:b w:val="1"/>
                <w:bCs w:val="1"/>
                <w:color w:val="FEFEFE"/>
                <w:vertAlign w:val="superscript"/>
              </w:rPr>
              <w:t>​​</w:t>
            </w:r>
            <w:r>
              <w:rPr>
                <w:rFonts w:ascii="Arial" w:cs="Arial" w:eastAsia="Arial" w:hAnsi="Arial"/>
                <w:sz w:val="30"/>
                <w:szCs w:val="30"/>
                <w:b w:val="1"/>
                <w:bCs w:val="1"/>
                <w:color w:val="FEFEFE"/>
              </w:rPr>
              <w:t xml:space="preserve"> Proposal 3 — Approval, on a Non-</w:t>
            </w:r>
          </w:p>
        </w:tc>
        <w:tc>
          <w:tcPr>
            <w:tcW w:w="100" w:type="dxa"/>
            <w:vAlign w:val="bottom"/>
          </w:tcPr>
          <w:p>
            <w:pPr>
              <w:spacing w:after="0"/>
              <w:rPr>
                <w:sz w:val="20"/>
                <w:szCs w:val="20"/>
                <w:color w:val="auto"/>
              </w:rPr>
            </w:pPr>
            <w:r>
              <w:rPr>
                <w:rFonts w:ascii="Arial" w:cs="Arial" w:eastAsia="Arial" w:hAnsi="Arial"/>
                <w:sz w:val="36"/>
                <w:szCs w:val="36"/>
                <w:b w:val="1"/>
                <w:bCs w:val="1"/>
                <w:color w:val="FEFEFE"/>
              </w:rPr>
              <w:t>​</w:t>
            </w:r>
          </w:p>
        </w:tc>
      </w:tr>
      <w:tr>
        <w:trPr>
          <w:trHeight w:val="356"/>
        </w:trPr>
        <w:tc>
          <w:tcPr>
            <w:tcW w:w="940" w:type="dxa"/>
            <w:vAlign w:val="bottom"/>
            <w:shd w:val="clear" w:color="auto" w:fill="62259D"/>
          </w:tcPr>
          <w:p>
            <w:pPr>
              <w:spacing w:after="0"/>
              <w:rPr>
                <w:sz w:val="24"/>
                <w:szCs w:val="24"/>
                <w:color w:val="auto"/>
              </w:rPr>
            </w:pPr>
          </w:p>
        </w:tc>
        <w:tc>
          <w:tcPr>
            <w:tcW w:w="7920" w:type="dxa"/>
            <w:vAlign w:val="bottom"/>
          </w:tcPr>
          <w:p>
            <w:pPr>
              <w:ind w:left="300"/>
              <w:spacing w:after="0" w:line="356" w:lineRule="exact"/>
              <w:rPr>
                <w:sz w:val="20"/>
                <w:szCs w:val="20"/>
                <w:color w:val="auto"/>
              </w:rPr>
            </w:pPr>
            <w:r>
              <w:rPr>
                <w:rFonts w:ascii="Arial" w:cs="Arial" w:eastAsia="Arial" w:hAnsi="Arial"/>
                <w:sz w:val="36"/>
                <w:szCs w:val="36"/>
                <w:b w:val="1"/>
                <w:bCs w:val="1"/>
                <w:color w:val="FEFEFE"/>
              </w:rPr>
              <w:t>Binding, Advisory Basis, of the</w:t>
            </w:r>
          </w:p>
        </w:tc>
        <w:tc>
          <w:tcPr>
            <w:tcW w:w="100" w:type="dxa"/>
            <w:vAlign w:val="bottom"/>
          </w:tcPr>
          <w:p>
            <w:pPr>
              <w:spacing w:after="0"/>
              <w:rPr>
                <w:sz w:val="24"/>
                <w:szCs w:val="24"/>
                <w:color w:val="auto"/>
              </w:rPr>
            </w:pPr>
          </w:p>
        </w:tc>
      </w:tr>
      <w:tr>
        <w:trPr>
          <w:trHeight w:val="405"/>
        </w:trPr>
        <w:tc>
          <w:tcPr>
            <w:tcW w:w="940" w:type="dxa"/>
            <w:vAlign w:val="bottom"/>
            <w:shd w:val="clear" w:color="auto" w:fill="62259D"/>
          </w:tcPr>
          <w:p>
            <w:pPr>
              <w:spacing w:after="0"/>
              <w:rPr>
                <w:sz w:val="24"/>
                <w:szCs w:val="24"/>
                <w:color w:val="auto"/>
              </w:rPr>
            </w:pPr>
          </w:p>
        </w:tc>
        <w:tc>
          <w:tcPr>
            <w:tcW w:w="7920" w:type="dxa"/>
            <w:vAlign w:val="bottom"/>
          </w:tcPr>
          <w:p>
            <w:pPr>
              <w:ind w:left="300"/>
              <w:spacing w:after="0" w:line="404" w:lineRule="exact"/>
              <w:rPr>
                <w:sz w:val="20"/>
                <w:szCs w:val="20"/>
                <w:color w:val="auto"/>
              </w:rPr>
            </w:pPr>
            <w:r>
              <w:rPr>
                <w:rFonts w:ascii="Arial" w:cs="Arial" w:eastAsia="Arial" w:hAnsi="Arial"/>
                <w:sz w:val="36"/>
                <w:szCs w:val="36"/>
                <w:b w:val="1"/>
                <w:bCs w:val="1"/>
                <w:color w:val="FEFEFE"/>
              </w:rPr>
              <w:t>Compensation of Our Named Executive</w:t>
            </w:r>
          </w:p>
        </w:tc>
        <w:tc>
          <w:tcPr>
            <w:tcW w:w="100" w:type="dxa"/>
            <w:vAlign w:val="bottom"/>
          </w:tcPr>
          <w:p>
            <w:pPr>
              <w:spacing w:after="0"/>
              <w:rPr>
                <w:sz w:val="24"/>
                <w:szCs w:val="24"/>
                <w:color w:val="auto"/>
              </w:rPr>
            </w:pPr>
          </w:p>
        </w:tc>
      </w:tr>
      <w:tr>
        <w:trPr>
          <w:trHeight w:val="443"/>
        </w:trPr>
        <w:tc>
          <w:tcPr>
            <w:tcW w:w="940" w:type="dxa"/>
            <w:vAlign w:val="bottom"/>
            <w:shd w:val="clear" w:color="auto" w:fill="62259D"/>
          </w:tcPr>
          <w:p>
            <w:pPr>
              <w:spacing w:after="0"/>
              <w:rPr>
                <w:sz w:val="24"/>
                <w:szCs w:val="24"/>
                <w:color w:val="auto"/>
              </w:rPr>
            </w:pPr>
          </w:p>
        </w:tc>
        <w:tc>
          <w:tcPr>
            <w:tcW w:w="7920" w:type="dxa"/>
            <w:vAlign w:val="bottom"/>
          </w:tcPr>
          <w:p>
            <w:pPr>
              <w:ind w:left="300"/>
              <w:spacing w:after="0"/>
              <w:rPr>
                <w:sz w:val="20"/>
                <w:szCs w:val="20"/>
                <w:color w:val="auto"/>
              </w:rPr>
            </w:pPr>
            <w:r>
              <w:rPr>
                <w:rFonts w:ascii="Arial" w:cs="Arial" w:eastAsia="Arial" w:hAnsi="Arial"/>
                <w:sz w:val="36"/>
                <w:szCs w:val="36"/>
                <w:b w:val="1"/>
                <w:bCs w:val="1"/>
                <w:color w:val="FEFEFE"/>
              </w:rPr>
              <w:t>Officers</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-1062355</wp:posOffset>
            </wp:positionV>
            <wp:extent cx="5031740" cy="10718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031740" cy="1071880"/>
                    </a:xfrm>
                    <a:prstGeom prst="rect">
                      <a:avLst/>
                    </a:prstGeom>
                    <a:noFill/>
                  </pic:spPr>
                </pic:pic>
              </a:graphicData>
            </a:graphic>
          </wp:anchor>
        </w:drawing>
      </w:r>
    </w:p>
    <w:p>
      <w:pPr>
        <w:spacing w:after="0" w:line="218" w:lineRule="exact"/>
        <w:rPr>
          <w:sz w:val="20"/>
          <w:szCs w:val="20"/>
          <w:color w:val="auto"/>
        </w:rPr>
      </w:pPr>
    </w:p>
    <w:p>
      <w:pPr>
        <w:ind w:left="920" w:right="300"/>
        <w:spacing w:after="0" w:line="248" w:lineRule="auto"/>
        <w:rPr>
          <w:sz w:val="20"/>
          <w:szCs w:val="20"/>
          <w:color w:val="auto"/>
        </w:rPr>
      </w:pPr>
      <w:r>
        <w:rPr>
          <w:rFonts w:ascii="Arial" w:cs="Arial" w:eastAsia="Arial" w:hAnsi="Arial"/>
          <w:sz w:val="18"/>
          <w:szCs w:val="18"/>
          <w:color w:val="auto"/>
        </w:rPr>
        <w:t>The Board is dedicated to excellence in governance and is mindful of the interests our stockholders have in our executive compensation program. As part of that commitment as required by Section 14A of the Exchange Act, our stockholders are being asked to approve a non-binding advisory resolution on the compensation of our named executive officers. This proposal, which is typically called the “</w:t>
      </w:r>
      <w:r>
        <w:rPr>
          <w:rFonts w:ascii="Arial" w:cs="Arial" w:eastAsia="Arial" w:hAnsi="Arial"/>
          <w:sz w:val="18"/>
          <w:szCs w:val="18"/>
          <w:i w:val="1"/>
          <w:iCs w:val="1"/>
          <w:color w:val="auto"/>
        </w:rPr>
        <w:t>Say-on-Pay</w:t>
      </w:r>
      <w:r>
        <w:rPr>
          <w:rFonts w:ascii="Arial" w:cs="Arial" w:eastAsia="Arial" w:hAnsi="Arial"/>
          <w:sz w:val="18"/>
          <w:szCs w:val="18"/>
          <w:color w:val="auto"/>
        </w:rPr>
        <w:t>” proposal, offers stockholders the opportunity to express their opinions on our 2024 executive compensation program and policies for our named executive officers through the following resolution:</w:t>
      </w:r>
    </w:p>
    <w:p>
      <w:pPr>
        <w:spacing w:after="0" w:line="107" w:lineRule="exact"/>
        <w:rPr>
          <w:sz w:val="20"/>
          <w:szCs w:val="20"/>
          <w:color w:val="auto"/>
        </w:rPr>
      </w:pPr>
    </w:p>
    <w:p>
      <w:pPr>
        <w:ind w:left="1280" w:right="300"/>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stockholders of Ribbon Communications Inc. (the “</w:t>
      </w:r>
      <w:r>
        <w:rPr>
          <w:rFonts w:ascii="Arial" w:cs="Arial" w:eastAsia="Arial" w:hAnsi="Arial"/>
          <w:sz w:val="18"/>
          <w:szCs w:val="18"/>
          <w:i w:val="1"/>
          <w:iCs w:val="1"/>
          <w:color w:val="auto"/>
        </w:rPr>
        <w:t>Company</w:t>
      </w:r>
      <w:r>
        <w:rPr>
          <w:rFonts w:ascii="Arial" w:cs="Arial" w:eastAsia="Arial" w:hAnsi="Arial"/>
          <w:sz w:val="18"/>
          <w:szCs w:val="18"/>
          <w:color w:val="auto"/>
        </w:rPr>
        <w:t>”) approve, on an advisory basis, the compensation paid to the Company’s named executive officers as disclosed pursuant to the compensation disclosure rules of the U.S. Securities and Exchange Commission, including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and the accompanying compensation tables and the related narratives in the Proxy Statement for the Company’s 2025 annual meeting of stockholders.”</w:t>
      </w:r>
    </w:p>
    <w:p>
      <w:pPr>
        <w:spacing w:after="0" w:line="107" w:lineRule="exact"/>
        <w:rPr>
          <w:sz w:val="20"/>
          <w:szCs w:val="20"/>
          <w:color w:val="auto"/>
        </w:rPr>
      </w:pPr>
    </w:p>
    <w:p>
      <w:pPr>
        <w:ind w:left="920" w:right="200"/>
        <w:spacing w:after="0" w:line="243" w:lineRule="auto"/>
        <w:rPr>
          <w:sz w:val="20"/>
          <w:szCs w:val="20"/>
          <w:color w:val="auto"/>
        </w:rPr>
      </w:pPr>
      <w:r>
        <w:rPr>
          <w:rFonts w:ascii="Arial" w:cs="Arial" w:eastAsia="Arial" w:hAnsi="Arial"/>
          <w:sz w:val="18"/>
          <w:szCs w:val="18"/>
          <w:color w:val="auto"/>
        </w:rPr>
        <w:t>This vote is not intended to address any specific element of compensation, but rather the overall compensation policies and practices relating to the named executive officers. Even though the outcome of this advisory vote on the compensation of our named executive officers is non-binding, the Board and its Compensation Committee will, as they have done in prior years, consider the outcome of this vote when making future compensation arrangements. The outcome of this advisory vote does not overrule any decision by the Company or the Board (or any committee thereof), create or imply any change to the fiduciary duties of the Company or the Board (or any committee thereof), or create or imply any additional fiduciary duties for the Company or the Board (or any committees thereof). At the annual meeting held in 2024, stockholders cast 98.7% of the votes “for” this proposal at that meeting.</w:t>
      </w:r>
    </w:p>
    <w:p>
      <w:pPr>
        <w:spacing w:after="0" w:line="112" w:lineRule="exact"/>
        <w:rPr>
          <w:sz w:val="20"/>
          <w:szCs w:val="20"/>
          <w:color w:val="auto"/>
        </w:rPr>
      </w:pPr>
    </w:p>
    <w:p>
      <w:pPr>
        <w:ind w:left="920" w:right="140"/>
        <w:spacing w:after="0" w:line="252" w:lineRule="auto"/>
        <w:rPr>
          <w:sz w:val="20"/>
          <w:szCs w:val="20"/>
          <w:color w:val="auto"/>
        </w:rPr>
      </w:pPr>
      <w:r>
        <w:rPr>
          <w:rFonts w:ascii="Arial" w:cs="Arial" w:eastAsia="Arial" w:hAnsi="Arial"/>
          <w:sz w:val="18"/>
          <w:szCs w:val="18"/>
          <w:color w:val="auto"/>
        </w:rPr>
        <w:t>We believe that for the reasons summarized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of this Proxy Statement, we have a compensation program deserving of stockholder support. Unless the Board modifies its policy regarding the frequency of holding “say on pay” advisory votes, such votes will take place every year and the next such vote will occur at the 2026 Annual Meeting.</w:t>
      </w:r>
    </w:p>
    <w:p>
      <w:pPr>
        <w:spacing w:after="0" w:line="126" w:lineRule="exact"/>
        <w:rPr>
          <w:sz w:val="20"/>
          <w:szCs w:val="20"/>
          <w:color w:val="auto"/>
        </w:rPr>
      </w:pPr>
    </w:p>
    <w:p>
      <w:pPr>
        <w:ind w:left="1120"/>
        <w:spacing w:after="0"/>
        <w:rPr>
          <w:sz w:val="20"/>
          <w:szCs w:val="20"/>
          <w:color w:val="auto"/>
        </w:rPr>
      </w:pPr>
      <w:r>
        <w:rPr>
          <w:rFonts w:ascii="Arial" w:cs="Arial" w:eastAsia="Arial" w:hAnsi="Arial"/>
          <w:sz w:val="16"/>
          <w:szCs w:val="16"/>
          <w:color w:val="FEFEFE"/>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-101600</wp:posOffset>
            </wp:positionV>
            <wp:extent cx="5623560" cy="6172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623560" cy="617220"/>
                    </a:xfrm>
                    <a:prstGeom prst="rect">
                      <a:avLst/>
                    </a:prstGeom>
                    <a:noFill/>
                  </pic:spPr>
                </pic:pic>
              </a:graphicData>
            </a:graphic>
          </wp:anchor>
        </w:drawing>
      </w:r>
    </w:p>
    <w:p>
      <w:pPr>
        <w:ind w:left="2540"/>
        <w:spacing w:after="0" w:line="214" w:lineRule="auto"/>
        <w:rPr>
          <w:sz w:val="20"/>
          <w:szCs w:val="20"/>
          <w:color w:val="auto"/>
        </w:rPr>
      </w:pPr>
      <w:r>
        <w:rPr>
          <w:rFonts w:ascii="Arial" w:cs="Arial" w:eastAsia="Arial" w:hAnsi="Arial"/>
          <w:sz w:val="18"/>
          <w:szCs w:val="18"/>
          <w:color w:val="FEFEFE"/>
        </w:rPr>
        <w:t xml:space="preserve">The Board recommends that stockholders vote </w:t>
      </w:r>
      <w:r>
        <w:rPr>
          <w:rFonts w:ascii="Arial" w:cs="Arial" w:eastAsia="Arial" w:hAnsi="Arial"/>
          <w:sz w:val="18"/>
          <w:szCs w:val="18"/>
          <w:b w:val="1"/>
          <w:bCs w:val="1"/>
          <w:color w:val="FEFEFE"/>
        </w:rPr>
        <w:t>FOR</w:t>
      </w:r>
      <w:r>
        <w:rPr>
          <w:rFonts w:ascii="Arial" w:cs="Arial" w:eastAsia="Arial" w:hAnsi="Arial"/>
          <w:sz w:val="18"/>
          <w:szCs w:val="18"/>
          <w:color w:val="FEFEFE"/>
        </w:rPr>
        <w:t xml:space="preserve"> the approval, on a</w:t>
      </w:r>
    </w:p>
    <w:tbl>
      <w:tblPr>
        <w:tblLayout w:type="fixed"/>
        <w:tblInd w:w="920" w:type="dxa"/>
        <w:tblCellMar>
          <w:top w:w="0" w:type="dxa"/>
          <w:left w:w="0" w:type="dxa"/>
          <w:bottom w:w="0" w:type="dxa"/>
          <w:right w:w="0" w:type="dxa"/>
        </w:tblCellMar>
      </w:tblPr>
      <w:tr>
        <w:trPr>
          <w:trHeight w:val="18"/>
        </w:trPr>
        <w:tc>
          <w:tcPr>
            <w:tcW w:w="280" w:type="dxa"/>
            <w:vAlign w:val="bottom"/>
            <w:vMerge w:val="restart"/>
          </w:tcPr>
          <w:p>
            <w:pPr>
              <w:spacing w:after="0" w:line="195" w:lineRule="exact"/>
              <w:rPr>
                <w:sz w:val="20"/>
                <w:szCs w:val="20"/>
                <w:color w:val="auto"/>
              </w:rPr>
            </w:pPr>
            <w:r>
              <w:rPr>
                <w:rFonts w:ascii="Arial" w:cs="Arial" w:eastAsia="Arial" w:hAnsi="Arial"/>
                <w:sz w:val="18"/>
                <w:szCs w:val="18"/>
                <w:color w:val="FEFEFE"/>
              </w:rPr>
              <w:t>​</w:t>
            </w:r>
          </w:p>
        </w:tc>
        <w:tc>
          <w:tcPr>
            <w:tcW w:w="1220" w:type="dxa"/>
            <w:vAlign w:val="bottom"/>
          </w:tcPr>
          <w:p>
            <w:pPr>
              <w:ind w:left="240"/>
              <w:spacing w:after="0" w:line="18" w:lineRule="exact"/>
              <w:rPr>
                <w:sz w:val="20"/>
                <w:szCs w:val="20"/>
                <w:color w:val="auto"/>
              </w:rPr>
            </w:pPr>
            <w:r>
              <w:rPr>
                <w:rFonts w:ascii="Arial" w:cs="Arial" w:eastAsia="Arial" w:hAnsi="Arial"/>
                <w:sz w:val="2"/>
                <w:szCs w:val="2"/>
                <w:b w:val="1"/>
                <w:bCs w:val="1"/>
                <w:color w:val="FEFEFE"/>
              </w:rPr>
              <w:t>3</w:t>
            </w:r>
            <w:r>
              <w:rPr>
                <w:rFonts w:ascii="Arial" w:cs="Arial" w:eastAsia="Arial" w:hAnsi="Arial"/>
                <w:sz w:val="1"/>
                <w:szCs w:val="1"/>
                <w:color w:val="FEFEFE"/>
              </w:rPr>
              <w:t>​</w:t>
            </w:r>
          </w:p>
        </w:tc>
        <w:tc>
          <w:tcPr>
            <w:tcW w:w="5740" w:type="dxa"/>
            <w:vAlign w:val="bottom"/>
            <w:vMerge w:val="restart"/>
          </w:tcPr>
          <w:p>
            <w:pPr>
              <w:ind w:left="120"/>
              <w:spacing w:after="0" w:line="195" w:lineRule="exact"/>
              <w:rPr>
                <w:sz w:val="20"/>
                <w:szCs w:val="20"/>
                <w:color w:val="auto"/>
              </w:rPr>
            </w:pPr>
            <w:r>
              <w:rPr>
                <w:rFonts w:ascii="Arial" w:cs="Arial" w:eastAsia="Arial" w:hAnsi="Arial"/>
                <w:sz w:val="18"/>
                <w:szCs w:val="18"/>
                <w:color w:val="FEFEFE"/>
              </w:rPr>
              <w:t>non-binding, advisory basis, of the compensation of our named</w:t>
            </w:r>
          </w:p>
        </w:tc>
        <w:tc>
          <w:tcPr>
            <w:tcW w:w="1040" w:type="dxa"/>
            <w:vAlign w:val="bottom"/>
            <w:vMerge w:val="restart"/>
          </w:tcPr>
          <w:p>
            <w:pPr>
              <w:ind w:left="400"/>
              <w:spacing w:after="0" w:line="195" w:lineRule="exact"/>
              <w:rPr>
                <w:sz w:val="20"/>
                <w:szCs w:val="20"/>
                <w:color w:val="auto"/>
              </w:rPr>
            </w:pPr>
            <w:r>
              <w:rPr>
                <w:rFonts w:ascii="Arial" w:cs="Arial" w:eastAsia="Arial" w:hAnsi="Arial"/>
                <w:sz w:val="18"/>
                <w:szCs w:val="18"/>
                <w:color w:val="FEFEFE"/>
              </w:rPr>
              <w:t>​</w:t>
            </w:r>
          </w:p>
        </w:tc>
        <w:tc>
          <w:tcPr>
            <w:tcW w:w="640" w:type="dxa"/>
            <w:vAlign w:val="bottom"/>
            <w:vMerge w:val="restart"/>
          </w:tcPr>
          <w:p>
            <w:pPr>
              <w:ind w:left="580"/>
              <w:spacing w:after="0" w:line="195" w:lineRule="exact"/>
              <w:rPr>
                <w:sz w:val="20"/>
                <w:szCs w:val="20"/>
                <w:color w:val="auto"/>
              </w:rPr>
            </w:pPr>
            <w:r>
              <w:rPr>
                <w:rFonts w:ascii="Arial" w:cs="Arial" w:eastAsia="Arial" w:hAnsi="Arial"/>
                <w:sz w:val="18"/>
                <w:szCs w:val="18"/>
                <w:color w:val="FEFEFE"/>
              </w:rPr>
              <w:t>​</w:t>
            </w:r>
          </w:p>
        </w:tc>
        <w:tc>
          <w:tcPr>
            <w:tcW w:w="0" w:type="dxa"/>
            <w:vAlign w:val="bottom"/>
          </w:tcPr>
          <w:p>
            <w:pPr>
              <w:spacing w:after="0" w:line="20" w:lineRule="exact"/>
              <w:rPr>
                <w:sz w:val="1"/>
                <w:szCs w:val="1"/>
                <w:color w:val="auto"/>
              </w:rPr>
            </w:pPr>
          </w:p>
        </w:tc>
      </w:tr>
      <w:tr>
        <w:trPr>
          <w:trHeight w:val="176"/>
        </w:trPr>
        <w:tc>
          <w:tcPr>
            <w:tcW w:w="280" w:type="dxa"/>
            <w:vAlign w:val="bottom"/>
            <w:vMerge w:val="continue"/>
          </w:tcPr>
          <w:p>
            <w:pPr>
              <w:spacing w:after="0"/>
              <w:rPr>
                <w:sz w:val="15"/>
                <w:szCs w:val="15"/>
                <w:color w:val="auto"/>
              </w:rPr>
            </w:pPr>
          </w:p>
        </w:tc>
        <w:tc>
          <w:tcPr>
            <w:tcW w:w="1220" w:type="dxa"/>
            <w:vAlign w:val="bottom"/>
          </w:tcPr>
          <w:p>
            <w:pPr>
              <w:ind w:left="1040"/>
              <w:spacing w:after="0" w:line="176" w:lineRule="exact"/>
              <w:rPr>
                <w:sz w:val="20"/>
                <w:szCs w:val="20"/>
                <w:color w:val="auto"/>
              </w:rPr>
            </w:pPr>
            <w:r>
              <w:rPr>
                <w:rFonts w:ascii="Arial" w:cs="Arial" w:eastAsia="Arial" w:hAnsi="Arial"/>
                <w:sz w:val="18"/>
                <w:szCs w:val="18"/>
                <w:color w:val="FEFEFE"/>
              </w:rPr>
              <w:t>​​</w:t>
            </w:r>
          </w:p>
        </w:tc>
        <w:tc>
          <w:tcPr>
            <w:tcW w:w="57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740" w:type="dxa"/>
            <w:vAlign w:val="bottom"/>
          </w:tcPr>
          <w:p>
            <w:pPr>
              <w:ind w:left="120"/>
              <w:spacing w:after="0"/>
              <w:rPr>
                <w:sz w:val="20"/>
                <w:szCs w:val="20"/>
                <w:color w:val="auto"/>
              </w:rPr>
            </w:pPr>
            <w:r>
              <w:rPr>
                <w:rFonts w:ascii="Arial" w:cs="Arial" w:eastAsia="Arial" w:hAnsi="Arial"/>
                <w:sz w:val="18"/>
                <w:szCs w:val="18"/>
                <w:color w:val="FEFEFE"/>
              </w:rPr>
              <w:t>executive officers.</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80"/>
          </w:cols>
          <w:pgMar w:left="580" w:top="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Compensation Discussion and Analysis</w:t>
      </w:r>
    </w:p>
    <w:p>
      <w:pPr>
        <w:spacing w:after="0" w:line="160" w:lineRule="exact"/>
        <w:rPr>
          <w:sz w:val="20"/>
          <w:szCs w:val="20"/>
          <w:color w:val="auto"/>
        </w:rPr>
      </w:pPr>
    </w:p>
    <w:p>
      <w:pPr>
        <w:ind w:left="920" w:right="159"/>
        <w:spacing w:after="0" w:line="251" w:lineRule="auto"/>
        <w:rPr>
          <w:sz w:val="20"/>
          <w:szCs w:val="20"/>
          <w:color w:val="auto"/>
        </w:rPr>
      </w:pPr>
      <w:r>
        <w:rPr>
          <w:rFonts w:ascii="Arial" w:cs="Arial" w:eastAsia="Arial" w:hAnsi="Arial"/>
          <w:sz w:val="18"/>
          <w:szCs w:val="18"/>
          <w:i w:val="1"/>
          <w:iCs w:val="1"/>
          <w:color w:val="auto"/>
        </w:rPr>
        <w:t>The following discussion and analysis contain statements regarding performance targets and goals of the Company. These targets and goals are discussed in the limited context of our compensation programs and should not be understood to be statements of management’s expectations or estimates of results or other guidance. Investors should not apply these statements to other contexts</w:t>
      </w:r>
      <w:r>
        <w:rPr>
          <w:rFonts w:ascii="Arial" w:cs="Arial" w:eastAsia="Arial" w:hAnsi="Arial"/>
          <w:sz w:val="18"/>
          <w:szCs w:val="18"/>
          <w:color w:val="auto"/>
        </w:rPr>
        <w:t>.</w:t>
      </w:r>
    </w:p>
    <w:p>
      <w:pPr>
        <w:spacing w:after="0" w:line="169" w:lineRule="exact"/>
        <w:rPr>
          <w:sz w:val="20"/>
          <w:szCs w:val="20"/>
          <w:color w:val="auto"/>
        </w:rPr>
      </w:pPr>
    </w:p>
    <w:p>
      <w:pPr>
        <w:ind w:left="4480"/>
        <w:spacing w:after="0"/>
        <w:rPr>
          <w:sz w:val="20"/>
          <w:szCs w:val="20"/>
          <w:color w:val="auto"/>
        </w:rPr>
      </w:pPr>
      <w:r>
        <w:rPr>
          <w:rFonts w:ascii="Arial" w:cs="Arial" w:eastAsia="Arial" w:hAnsi="Arial"/>
          <w:sz w:val="20"/>
          <w:szCs w:val="20"/>
          <w:color w:val="E7417A"/>
        </w:rPr>
        <w:t>CD&amp;A CONTENTS</w:t>
      </w:r>
    </w:p>
    <w:p>
      <w:pPr>
        <w:sectPr>
          <w:pgSz w:w="11900" w:h="16838" w:orient="portrait"/>
          <w:cols w:equalWidth="0" w:num="1">
            <w:col w:w="9879"/>
          </w:cols>
          <w:pgMar w:left="580" w:top="97" w:right="1440" w:bottom="1440" w:gutter="0" w:footer="0" w:header="0"/>
        </w:sectPr>
      </w:pP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72"/>
        </w:trPr>
        <w:tc>
          <w:tcPr>
            <w:tcW w:w="3940" w:type="dxa"/>
            <w:vAlign w:val="bottom"/>
            <w:gridSpan w:val="23"/>
          </w:tcPr>
          <w:p>
            <w:pPr>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b w:val="1"/>
                <w:bCs w:val="1"/>
                <w:color w:val="0000EE"/>
              </w:rPr>
              <w:t>36</w:t>
            </w:r>
            <w:r>
              <w:rPr>
                <w:rFonts w:ascii="Arial" w:cs="Arial" w:eastAsia="Arial" w:hAnsi="Arial"/>
                <w:sz w:val="15"/>
                <w:szCs w:val="15"/>
                <w:b w:val="1"/>
                <w:bCs w:val="1"/>
                <w:color w:val="auto"/>
              </w:rPr>
              <w:t xml:space="preserve">  ​ ​ </w:t>
            </w:r>
            <w:r>
              <w:rPr>
                <w:rFonts w:ascii="Arial" w:cs="Arial" w:eastAsia="Arial" w:hAnsi="Arial"/>
                <w:sz w:val="15"/>
                <w:szCs w:val="15"/>
                <w:b w:val="1"/>
                <w:bCs w:val="1"/>
                <w:color w:val="0000EE"/>
              </w:rPr>
              <w:t>OVERVIEW</w:t>
            </w:r>
          </w:p>
        </w:tc>
        <w:tc>
          <w:tcPr>
            <w:tcW w:w="280" w:type="dxa"/>
            <w:vAlign w:val="bottom"/>
          </w:tcPr>
          <w:p>
            <w:pPr>
              <w:ind w:left="1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1"/>
        </w:trPr>
        <w:tc>
          <w:tcPr>
            <w:tcW w:w="120" w:type="dxa"/>
            <w:vAlign w:val="bottom"/>
            <w:tcBorders>
              <w:bottom w:val="single" w:sz="8" w:color="E7417A"/>
            </w:tcBorders>
          </w:tcPr>
          <w:p>
            <w:pPr>
              <w:spacing w:after="0" w:line="20" w:lineRule="exact"/>
              <w:rPr>
                <w:sz w:val="1"/>
                <w:szCs w:val="1"/>
                <w:color w:val="auto"/>
              </w:rPr>
            </w:pPr>
          </w:p>
        </w:tc>
        <w:tc>
          <w:tcPr>
            <w:tcW w:w="16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360" w:type="dxa"/>
            <w:vAlign w:val="bottom"/>
            <w:tcBorders>
              <w:bottom w:val="single" w:sz="8" w:color="E7417A"/>
            </w:tcBorders>
          </w:tcPr>
          <w:p>
            <w:pPr>
              <w:spacing w:after="0" w:line="20" w:lineRule="exact"/>
              <w:rPr>
                <w:sz w:val="1"/>
                <w:szCs w:val="1"/>
                <w:color w:val="auto"/>
              </w:rPr>
            </w:pPr>
          </w:p>
        </w:tc>
        <w:tc>
          <w:tcPr>
            <w:tcW w:w="6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420" w:type="dxa"/>
            <w:vAlign w:val="bottom"/>
            <w:tcBorders>
              <w:bottom w:val="single" w:sz="8" w:color="E7417A"/>
            </w:tcBorders>
          </w:tcPr>
          <w:p>
            <w:pPr>
              <w:spacing w:after="0" w:line="20" w:lineRule="exact"/>
              <w:rPr>
                <w:sz w:val="1"/>
                <w:szCs w:val="1"/>
                <w:color w:val="auto"/>
              </w:rPr>
            </w:pPr>
          </w:p>
        </w:tc>
        <w:tc>
          <w:tcPr>
            <w:tcW w:w="260" w:type="dxa"/>
            <w:vAlign w:val="bottom"/>
            <w:tcBorders>
              <w:bottom w:val="single" w:sz="8" w:color="E7417A"/>
            </w:tcBorders>
          </w:tcPr>
          <w:p>
            <w:pPr>
              <w:spacing w:after="0" w:line="20" w:lineRule="exact"/>
              <w:rPr>
                <w:sz w:val="1"/>
                <w:szCs w:val="1"/>
                <w:color w:val="auto"/>
              </w:rPr>
            </w:pPr>
          </w:p>
        </w:tc>
        <w:tc>
          <w:tcPr>
            <w:tcW w:w="320" w:type="dxa"/>
            <w:vAlign w:val="bottom"/>
            <w:tcBorders>
              <w:bottom w:val="single" w:sz="8" w:color="E7417A"/>
            </w:tcBorders>
          </w:tcPr>
          <w:p>
            <w:pPr>
              <w:spacing w:after="0" w:line="20" w:lineRule="exact"/>
              <w:rPr>
                <w:sz w:val="1"/>
                <w:szCs w:val="1"/>
                <w:color w:val="auto"/>
              </w:rPr>
            </w:pPr>
          </w:p>
        </w:tc>
        <w:tc>
          <w:tcPr>
            <w:tcW w:w="340" w:type="dxa"/>
            <w:vAlign w:val="bottom"/>
            <w:tcBorders>
              <w:bottom w:val="single" w:sz="8" w:color="E7417A"/>
            </w:tcBorders>
          </w:tcPr>
          <w:p>
            <w:pPr>
              <w:spacing w:after="0" w:line="20" w:lineRule="exact"/>
              <w:rPr>
                <w:sz w:val="1"/>
                <w:szCs w:val="1"/>
                <w:color w:val="auto"/>
              </w:rPr>
            </w:pPr>
          </w:p>
        </w:tc>
        <w:tc>
          <w:tcPr>
            <w:tcW w:w="26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12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32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8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0"/>
                <w:szCs w:val="20"/>
                <w:color w:val="auto"/>
              </w:rPr>
            </w:pPr>
            <w:r>
              <w:rPr>
                <w:rFonts w:ascii="Arial" w:cs="Arial" w:eastAsia="Arial" w:hAnsi="Arial"/>
                <w:sz w:val="15"/>
                <w:szCs w:val="15"/>
                <w:b w:val="1"/>
                <w:bCs w:val="1"/>
                <w:color w:val="auto"/>
              </w:rPr>
              <w:t>​</w:t>
            </w:r>
          </w:p>
        </w:tc>
        <w:tc>
          <w:tcPr>
            <w:tcW w:w="180" w:type="dxa"/>
            <w:vAlign w:val="bottom"/>
            <w:gridSpan w:val="2"/>
          </w:tcPr>
          <w:p>
            <w:pPr>
              <w:spacing w:after="0"/>
              <w:rPr>
                <w:sz w:val="20"/>
                <w:szCs w:val="20"/>
                <w:color w:val="auto"/>
              </w:rPr>
            </w:pPr>
            <w:r>
              <w:rPr>
                <w:rFonts w:ascii="Arial" w:cs="Arial" w:eastAsia="Arial" w:hAnsi="Arial"/>
                <w:sz w:val="15"/>
                <w:szCs w:val="15"/>
                <w:b w:val="1"/>
                <w:bCs w:val="1"/>
                <w:color w:val="0000EE"/>
                <w:w w:val="95"/>
              </w:rPr>
              <w:t>36</w:t>
            </w:r>
          </w:p>
        </w:tc>
        <w:tc>
          <w:tcPr>
            <w:tcW w:w="3640" w:type="dxa"/>
            <w:vAlign w:val="bottom"/>
            <w:gridSpan w:val="20"/>
          </w:tcPr>
          <w:p>
            <w:pPr>
              <w:ind w:left="140"/>
              <w:spacing w:after="0" w:line="250" w:lineRule="exact"/>
              <w:rPr>
                <w:sz w:val="20"/>
                <w:szCs w:val="20"/>
                <w:color w:val="auto"/>
              </w:rPr>
            </w:pPr>
            <w:r>
              <w:rPr>
                <w:rFonts w:ascii="Arial" w:cs="Arial" w:eastAsia="Arial" w:hAnsi="Arial"/>
                <w:sz w:val="28"/>
                <w:szCs w:val="28"/>
                <w:b w:val="1"/>
                <w:bCs w:val="1"/>
                <w:color w:val="000000"/>
                <w:vertAlign w:val="superscript"/>
              </w:rPr>
              <w:t>​ ​</w:t>
            </w:r>
            <w:r>
              <w:rPr>
                <w:rFonts w:ascii="Arial" w:cs="Arial" w:eastAsia="Arial" w:hAnsi="Arial"/>
                <w:sz w:val="15"/>
                <w:szCs w:val="15"/>
                <w:b w:val="1"/>
                <w:bCs w:val="1"/>
                <w:color w:val="0000EE"/>
              </w:rPr>
              <w:t xml:space="preserve"> 2024 NAMED EXECUTIVE OFFICERS</w:t>
            </w:r>
          </w:p>
        </w:tc>
        <w:tc>
          <w:tcPr>
            <w:tcW w:w="280" w:type="dxa"/>
            <w:vAlign w:val="bottom"/>
          </w:tcPr>
          <w:p>
            <w:pPr>
              <w:ind w:left="1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120" w:type="dxa"/>
            <w:vAlign w:val="bottom"/>
            <w:tcBorders>
              <w:bottom w:val="single" w:sz="8" w:color="E7417A"/>
            </w:tcBorders>
          </w:tcPr>
          <w:p>
            <w:pPr>
              <w:spacing w:after="0" w:line="20" w:lineRule="exact"/>
              <w:rPr>
                <w:sz w:val="1"/>
                <w:szCs w:val="1"/>
                <w:color w:val="auto"/>
              </w:rPr>
            </w:pPr>
          </w:p>
        </w:tc>
        <w:tc>
          <w:tcPr>
            <w:tcW w:w="16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360" w:type="dxa"/>
            <w:vAlign w:val="bottom"/>
            <w:tcBorders>
              <w:bottom w:val="single" w:sz="8" w:color="E7417A"/>
            </w:tcBorders>
          </w:tcPr>
          <w:p>
            <w:pPr>
              <w:spacing w:after="0" w:line="20" w:lineRule="exact"/>
              <w:rPr>
                <w:sz w:val="1"/>
                <w:szCs w:val="1"/>
                <w:color w:val="auto"/>
              </w:rPr>
            </w:pPr>
          </w:p>
        </w:tc>
        <w:tc>
          <w:tcPr>
            <w:tcW w:w="6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420" w:type="dxa"/>
            <w:vAlign w:val="bottom"/>
            <w:tcBorders>
              <w:top w:val="single" w:sz="8" w:color="0000EE"/>
              <w:bottom w:val="single" w:sz="8" w:color="E7417A"/>
            </w:tcBorders>
          </w:tcPr>
          <w:p>
            <w:pPr>
              <w:spacing w:after="0" w:line="20" w:lineRule="exact"/>
              <w:rPr>
                <w:sz w:val="1"/>
                <w:szCs w:val="1"/>
                <w:color w:val="auto"/>
              </w:rPr>
            </w:pPr>
          </w:p>
        </w:tc>
        <w:tc>
          <w:tcPr>
            <w:tcW w:w="260" w:type="dxa"/>
            <w:vAlign w:val="bottom"/>
            <w:tcBorders>
              <w:top w:val="single" w:sz="8" w:color="0000EE"/>
              <w:bottom w:val="single" w:sz="8" w:color="E7417A"/>
            </w:tcBorders>
          </w:tcPr>
          <w:p>
            <w:pPr>
              <w:spacing w:after="0" w:line="20" w:lineRule="exact"/>
              <w:rPr>
                <w:sz w:val="1"/>
                <w:szCs w:val="1"/>
                <w:color w:val="auto"/>
              </w:rPr>
            </w:pPr>
          </w:p>
        </w:tc>
        <w:tc>
          <w:tcPr>
            <w:tcW w:w="320" w:type="dxa"/>
            <w:vAlign w:val="bottom"/>
            <w:tcBorders>
              <w:top w:val="single" w:sz="8" w:color="0000EE"/>
              <w:bottom w:val="single" w:sz="8" w:color="E7417A"/>
            </w:tcBorders>
          </w:tcPr>
          <w:p>
            <w:pPr>
              <w:spacing w:after="0" w:line="20" w:lineRule="exact"/>
              <w:rPr>
                <w:sz w:val="1"/>
                <w:szCs w:val="1"/>
                <w:color w:val="auto"/>
              </w:rPr>
            </w:pPr>
          </w:p>
        </w:tc>
        <w:tc>
          <w:tcPr>
            <w:tcW w:w="340" w:type="dxa"/>
            <w:vAlign w:val="bottom"/>
            <w:tcBorders>
              <w:top w:val="single" w:sz="8" w:color="0000EE"/>
              <w:bottom w:val="single" w:sz="8" w:color="E7417A"/>
            </w:tcBorders>
          </w:tcPr>
          <w:p>
            <w:pPr>
              <w:spacing w:after="0" w:line="20" w:lineRule="exact"/>
              <w:rPr>
                <w:sz w:val="1"/>
                <w:szCs w:val="1"/>
                <w:color w:val="auto"/>
              </w:rPr>
            </w:pPr>
          </w:p>
        </w:tc>
        <w:tc>
          <w:tcPr>
            <w:tcW w:w="26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60" w:type="dxa"/>
            <w:vAlign w:val="bottom"/>
            <w:tcBorders>
              <w:top w:val="single" w:sz="8" w:color="0000EE"/>
              <w:bottom w:val="single" w:sz="8" w:color="E7417A"/>
            </w:tcBorders>
          </w:tcPr>
          <w:p>
            <w:pPr>
              <w:spacing w:after="0" w:line="20" w:lineRule="exact"/>
              <w:rPr>
                <w:sz w:val="1"/>
                <w:szCs w:val="1"/>
                <w:color w:val="auto"/>
              </w:rPr>
            </w:pPr>
          </w:p>
        </w:tc>
        <w:tc>
          <w:tcPr>
            <w:tcW w:w="120" w:type="dxa"/>
            <w:vAlign w:val="bottom"/>
            <w:tcBorders>
              <w:top w:val="single" w:sz="8" w:color="0000EE"/>
              <w:bottom w:val="single" w:sz="8" w:color="E7417A"/>
            </w:tcBorders>
          </w:tcPr>
          <w:p>
            <w:pPr>
              <w:spacing w:after="0" w:line="20" w:lineRule="exact"/>
              <w:rPr>
                <w:sz w:val="1"/>
                <w:szCs w:val="1"/>
                <w:color w:val="auto"/>
              </w:rPr>
            </w:pPr>
          </w:p>
        </w:tc>
        <w:tc>
          <w:tcPr>
            <w:tcW w:w="10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32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8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0"/>
                <w:szCs w:val="20"/>
                <w:color w:val="auto"/>
              </w:rPr>
            </w:pPr>
            <w:r>
              <w:rPr>
                <w:rFonts w:ascii="Arial" w:cs="Arial" w:eastAsia="Arial" w:hAnsi="Arial"/>
                <w:sz w:val="15"/>
                <w:szCs w:val="15"/>
                <w:b w:val="1"/>
                <w:bCs w:val="1"/>
                <w:color w:val="auto"/>
              </w:rPr>
              <w:t>​</w:t>
            </w:r>
          </w:p>
        </w:tc>
        <w:tc>
          <w:tcPr>
            <w:tcW w:w="180" w:type="dxa"/>
            <w:vAlign w:val="bottom"/>
            <w:gridSpan w:val="2"/>
          </w:tcPr>
          <w:p>
            <w:pPr>
              <w:spacing w:after="0"/>
              <w:rPr>
                <w:sz w:val="20"/>
                <w:szCs w:val="20"/>
                <w:color w:val="auto"/>
              </w:rPr>
            </w:pPr>
            <w:r>
              <w:rPr>
                <w:rFonts w:ascii="Arial" w:cs="Arial" w:eastAsia="Arial" w:hAnsi="Arial"/>
                <w:sz w:val="15"/>
                <w:szCs w:val="15"/>
                <w:b w:val="1"/>
                <w:bCs w:val="1"/>
                <w:color w:val="0000EE"/>
                <w:w w:val="95"/>
              </w:rPr>
              <w:t>37</w:t>
            </w:r>
          </w:p>
        </w:tc>
        <w:tc>
          <w:tcPr>
            <w:tcW w:w="3640" w:type="dxa"/>
            <w:vAlign w:val="bottom"/>
            <w:gridSpan w:val="20"/>
          </w:tcPr>
          <w:p>
            <w:pPr>
              <w:ind w:left="140"/>
              <w:spacing w:after="0" w:line="250" w:lineRule="exact"/>
              <w:rPr>
                <w:sz w:val="20"/>
                <w:szCs w:val="20"/>
                <w:color w:val="auto"/>
              </w:rPr>
            </w:pPr>
            <w:r>
              <w:rPr>
                <w:rFonts w:ascii="Arial" w:cs="Arial" w:eastAsia="Arial" w:hAnsi="Arial"/>
                <w:sz w:val="28"/>
                <w:szCs w:val="28"/>
                <w:b w:val="1"/>
                <w:bCs w:val="1"/>
                <w:color w:val="000000"/>
                <w:vertAlign w:val="superscript"/>
              </w:rPr>
              <w:t>​ ​</w:t>
            </w:r>
            <w:r>
              <w:rPr>
                <w:rFonts w:ascii="Arial" w:cs="Arial" w:eastAsia="Arial" w:hAnsi="Arial"/>
                <w:sz w:val="15"/>
                <w:szCs w:val="15"/>
                <w:b w:val="1"/>
                <w:bCs w:val="1"/>
                <w:color w:val="0000EE"/>
              </w:rPr>
              <w:t xml:space="preserve"> EXECUTIVE SUMMARY OF 2024</w:t>
            </w:r>
          </w:p>
        </w:tc>
        <w:tc>
          <w:tcPr>
            <w:tcW w:w="280" w:type="dxa"/>
            <w:vAlign w:val="bottom"/>
          </w:tcPr>
          <w:p>
            <w:pPr>
              <w:ind w:left="1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360" w:type="dxa"/>
            <w:vAlign w:val="bottom"/>
          </w:tcPr>
          <w:p>
            <w:pPr>
              <w:spacing w:after="0"/>
              <w:rPr>
                <w:sz w:val="12"/>
                <w:szCs w:val="12"/>
                <w:color w:val="auto"/>
              </w:rPr>
            </w:pPr>
          </w:p>
        </w:tc>
        <w:tc>
          <w:tcPr>
            <w:tcW w:w="2520" w:type="dxa"/>
            <w:vAlign w:val="bottom"/>
            <w:tcBorders>
              <w:top w:val="single" w:sz="8" w:color="0000EE"/>
              <w:bottom w:val="single" w:sz="8" w:color="0000EE"/>
            </w:tcBorders>
            <w:gridSpan w:val="10"/>
          </w:tcPr>
          <w:p>
            <w:pPr>
              <w:spacing w:after="0" w:line="142" w:lineRule="exact"/>
              <w:rPr>
                <w:sz w:val="20"/>
                <w:szCs w:val="20"/>
                <w:color w:val="auto"/>
              </w:rPr>
            </w:pPr>
            <w:r>
              <w:rPr>
                <w:rFonts w:ascii="Arial" w:cs="Arial" w:eastAsia="Arial" w:hAnsi="Arial"/>
                <w:sz w:val="15"/>
                <w:szCs w:val="15"/>
                <w:b w:val="1"/>
                <w:bCs w:val="1"/>
                <w:color w:val="0000EE"/>
              </w:rPr>
              <w:t>EXECUTIVE COMPENSATION</w:t>
            </w:r>
          </w:p>
        </w:tc>
        <w:tc>
          <w:tcPr>
            <w:tcW w:w="760" w:type="dxa"/>
            <w:vAlign w:val="bottom"/>
            <w:tcBorders>
              <w:bottom w:val="single" w:sz="8" w:color="0000EE"/>
            </w:tcBorders>
            <w:gridSpan w:val="9"/>
          </w:tcPr>
          <w:p>
            <w:pPr>
              <w:spacing w:after="0" w:line="142" w:lineRule="exact"/>
              <w:rPr>
                <w:sz w:val="20"/>
                <w:szCs w:val="20"/>
                <w:color w:val="auto"/>
              </w:rPr>
            </w:pPr>
            <w:r>
              <w:rPr>
                <w:rFonts w:ascii="Arial" w:cs="Arial" w:eastAsia="Arial" w:hAnsi="Arial"/>
                <w:sz w:val="15"/>
                <w:szCs w:val="15"/>
                <w:b w:val="1"/>
                <w:bCs w:val="1"/>
                <w:color w:val="0000EE"/>
                <w:w w:val="89"/>
              </w:rPr>
              <w:t>DECISIONS</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7417A"/>
            </w:tcBorders>
          </w:tcPr>
          <w:p>
            <w:pPr>
              <w:spacing w:after="0" w:line="20" w:lineRule="exact"/>
              <w:rPr>
                <w:sz w:val="1"/>
                <w:szCs w:val="1"/>
                <w:color w:val="auto"/>
              </w:rPr>
            </w:pPr>
          </w:p>
        </w:tc>
        <w:tc>
          <w:tcPr>
            <w:tcW w:w="1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360" w:type="dxa"/>
            <w:vAlign w:val="bottom"/>
            <w:tcBorders>
              <w:bottom w:val="single" w:sz="8" w:color="E7417A"/>
            </w:tcBorders>
          </w:tcPr>
          <w:p>
            <w:pPr>
              <w:spacing w:after="0" w:line="20" w:lineRule="exact"/>
              <w:rPr>
                <w:sz w:val="1"/>
                <w:szCs w:val="1"/>
                <w:color w:val="auto"/>
              </w:rPr>
            </w:pPr>
          </w:p>
        </w:tc>
        <w:tc>
          <w:tcPr>
            <w:tcW w:w="680" w:type="dxa"/>
            <w:vAlign w:val="bottom"/>
            <w:tcBorders>
              <w:bottom w:val="single" w:sz="8" w:color="E7417A"/>
            </w:tcBorders>
          </w:tcPr>
          <w:p>
            <w:pPr>
              <w:spacing w:after="0" w:line="20" w:lineRule="exact"/>
              <w:rPr>
                <w:sz w:val="1"/>
                <w:szCs w:val="1"/>
                <w:color w:val="auto"/>
              </w:rPr>
            </w:pPr>
          </w:p>
        </w:tc>
        <w:tc>
          <w:tcPr>
            <w:tcW w:w="14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420" w:type="dxa"/>
            <w:vAlign w:val="bottom"/>
            <w:tcBorders>
              <w:bottom w:val="single" w:sz="8" w:color="E7417A"/>
            </w:tcBorders>
          </w:tcPr>
          <w:p>
            <w:pPr>
              <w:spacing w:after="0" w:line="20" w:lineRule="exact"/>
              <w:rPr>
                <w:sz w:val="1"/>
                <w:szCs w:val="1"/>
                <w:color w:val="auto"/>
              </w:rPr>
            </w:pPr>
          </w:p>
        </w:tc>
        <w:tc>
          <w:tcPr>
            <w:tcW w:w="260" w:type="dxa"/>
            <w:vAlign w:val="bottom"/>
            <w:tcBorders>
              <w:bottom w:val="single" w:sz="8" w:color="E7417A"/>
            </w:tcBorders>
          </w:tcPr>
          <w:p>
            <w:pPr>
              <w:spacing w:after="0" w:line="20" w:lineRule="exact"/>
              <w:rPr>
                <w:sz w:val="1"/>
                <w:szCs w:val="1"/>
                <w:color w:val="auto"/>
              </w:rPr>
            </w:pPr>
          </w:p>
        </w:tc>
        <w:tc>
          <w:tcPr>
            <w:tcW w:w="320" w:type="dxa"/>
            <w:vAlign w:val="bottom"/>
            <w:tcBorders>
              <w:bottom w:val="single" w:sz="8" w:color="E7417A"/>
            </w:tcBorders>
          </w:tcPr>
          <w:p>
            <w:pPr>
              <w:spacing w:after="0" w:line="20" w:lineRule="exact"/>
              <w:rPr>
                <w:sz w:val="1"/>
                <w:szCs w:val="1"/>
                <w:color w:val="auto"/>
              </w:rPr>
            </w:pPr>
          </w:p>
        </w:tc>
        <w:tc>
          <w:tcPr>
            <w:tcW w:w="340" w:type="dxa"/>
            <w:vAlign w:val="bottom"/>
            <w:tcBorders>
              <w:bottom w:val="single" w:sz="8" w:color="E7417A"/>
            </w:tcBorders>
          </w:tcPr>
          <w:p>
            <w:pPr>
              <w:spacing w:after="0" w:line="20" w:lineRule="exact"/>
              <w:rPr>
                <w:sz w:val="1"/>
                <w:szCs w:val="1"/>
                <w:color w:val="auto"/>
              </w:rPr>
            </w:pPr>
          </w:p>
        </w:tc>
        <w:tc>
          <w:tcPr>
            <w:tcW w:w="26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12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32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8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line="142" w:lineRule="exact"/>
              <w:rPr>
                <w:sz w:val="20"/>
                <w:szCs w:val="20"/>
                <w:color w:val="auto"/>
              </w:rPr>
            </w:pPr>
            <w:r>
              <w:rPr>
                <w:rFonts w:ascii="Arial" w:cs="Arial" w:eastAsia="Arial" w:hAnsi="Arial"/>
                <w:sz w:val="15"/>
                <w:szCs w:val="15"/>
                <w:color w:val="auto"/>
              </w:rPr>
              <w:t>​</w:t>
            </w:r>
          </w:p>
        </w:tc>
        <w:tc>
          <w:tcPr>
            <w:tcW w:w="160" w:type="dxa"/>
            <w:vAlign w:val="bottom"/>
          </w:tcPr>
          <w:p>
            <w:pPr>
              <w:spacing w:after="0" w:line="142" w:lineRule="exact"/>
              <w:rPr>
                <w:sz w:val="20"/>
                <w:szCs w:val="20"/>
                <w:color w:val="auto"/>
              </w:rPr>
            </w:pPr>
            <w:r>
              <w:rPr>
                <w:rFonts w:ascii="Arial" w:cs="Arial" w:eastAsia="Arial" w:hAnsi="Arial"/>
                <w:sz w:val="15"/>
                <w:szCs w:val="15"/>
                <w:color w:val="0000EE"/>
                <w:w w:val="83"/>
              </w:rPr>
              <w:t>37</w:t>
            </w:r>
          </w:p>
        </w:tc>
        <w:tc>
          <w:tcPr>
            <w:tcW w:w="20" w:type="dxa"/>
            <w:vAlign w:val="bottom"/>
          </w:tcPr>
          <w:p>
            <w:pPr>
              <w:spacing w:after="0"/>
              <w:rPr>
                <w:sz w:val="12"/>
                <w:szCs w:val="12"/>
                <w:color w:val="auto"/>
              </w:rPr>
            </w:pPr>
          </w:p>
        </w:tc>
        <w:tc>
          <w:tcPr>
            <w:tcW w:w="3640" w:type="dxa"/>
            <w:vAlign w:val="bottom"/>
            <w:gridSpan w:val="20"/>
          </w:tcPr>
          <w:p>
            <w:pPr>
              <w:ind w:left="140"/>
              <w:spacing w:after="0" w:line="142" w:lineRule="exact"/>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color w:val="0000EE"/>
              </w:rPr>
              <w:t>Executive Compensation Highlights</w:t>
            </w:r>
          </w:p>
        </w:tc>
        <w:tc>
          <w:tcPr>
            <w:tcW w:w="280" w:type="dxa"/>
            <w:vAlign w:val="bottom"/>
          </w:tcPr>
          <w:p>
            <w:pPr>
              <w:ind w:left="160"/>
              <w:spacing w:after="0" w:line="14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
        </w:trPr>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16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vMerge w:val="restart"/>
          </w:tcPr>
          <w:p>
            <w:pPr>
              <w:ind w:left="140"/>
              <w:spacing w:after="0"/>
              <w:rPr>
                <w:sz w:val="20"/>
                <w:szCs w:val="20"/>
                <w:color w:val="auto"/>
              </w:rPr>
            </w:pPr>
            <w:r>
              <w:rPr>
                <w:rFonts w:ascii="Arial" w:cs="Arial" w:eastAsia="Arial" w:hAnsi="Arial"/>
                <w:sz w:val="15"/>
                <w:szCs w:val="15"/>
                <w:color w:val="auto"/>
              </w:rPr>
              <w:t>​ ​</w:t>
            </w:r>
          </w:p>
        </w:tc>
        <w:tc>
          <w:tcPr>
            <w:tcW w:w="6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60" w:type="dxa"/>
            <w:vAlign w:val="bottom"/>
            <w:gridSpan w:val="2"/>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62"/>
        </w:trPr>
        <w:tc>
          <w:tcPr>
            <w:tcW w:w="120" w:type="dxa"/>
            <w:vAlign w:val="bottom"/>
            <w:vMerge w:val="continue"/>
          </w:tcPr>
          <w:p>
            <w:pPr>
              <w:spacing w:after="0"/>
              <w:rPr>
                <w:sz w:val="14"/>
                <w:szCs w:val="14"/>
                <w:color w:val="auto"/>
              </w:rPr>
            </w:pPr>
          </w:p>
        </w:tc>
        <w:tc>
          <w:tcPr>
            <w:tcW w:w="160" w:type="dxa"/>
            <w:vAlign w:val="bottom"/>
            <w:tcBorders>
              <w:bottom w:val="single" w:sz="8" w:color="0000EE"/>
            </w:tcBorders>
          </w:tcPr>
          <w:p>
            <w:pPr>
              <w:spacing w:after="0" w:line="162" w:lineRule="exact"/>
              <w:rPr>
                <w:sz w:val="20"/>
                <w:szCs w:val="20"/>
                <w:color w:val="auto"/>
              </w:rPr>
            </w:pPr>
            <w:r>
              <w:rPr>
                <w:rFonts w:ascii="Arial" w:cs="Arial" w:eastAsia="Arial" w:hAnsi="Arial"/>
                <w:sz w:val="15"/>
                <w:szCs w:val="15"/>
                <w:color w:val="0000EE"/>
                <w:w w:val="83"/>
              </w:rPr>
              <w:t>38</w:t>
            </w:r>
          </w:p>
        </w:tc>
        <w:tc>
          <w:tcPr>
            <w:tcW w:w="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740" w:type="dxa"/>
            <w:vAlign w:val="bottom"/>
            <w:tcBorders>
              <w:bottom w:val="single" w:sz="8" w:color="0000EE"/>
            </w:tcBorders>
            <w:gridSpan w:val="14"/>
          </w:tcPr>
          <w:p>
            <w:pPr>
              <w:spacing w:after="0" w:line="162" w:lineRule="exact"/>
              <w:rPr>
                <w:sz w:val="20"/>
                <w:szCs w:val="20"/>
                <w:color w:val="auto"/>
              </w:rPr>
            </w:pPr>
            <w:r>
              <w:rPr>
                <w:rFonts w:ascii="Arial" w:cs="Arial" w:eastAsia="Arial" w:hAnsi="Arial"/>
                <w:sz w:val="15"/>
                <w:szCs w:val="15"/>
                <w:color w:val="0000EE"/>
              </w:rPr>
              <w:t>Our Guiding Compensation Philosophy</w:t>
            </w:r>
          </w:p>
        </w:tc>
        <w:tc>
          <w:tcPr>
            <w:tcW w:w="540" w:type="dxa"/>
            <w:vAlign w:val="bottom"/>
            <w:gridSpan w:val="5"/>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0000EE"/>
            </w:tcBorders>
          </w:tcPr>
          <w:p>
            <w:pPr>
              <w:spacing w:after="0" w:line="169" w:lineRule="exact"/>
              <w:rPr>
                <w:sz w:val="20"/>
                <w:szCs w:val="20"/>
                <w:color w:val="auto"/>
              </w:rPr>
            </w:pPr>
            <w:r>
              <w:rPr>
                <w:rFonts w:ascii="Arial" w:cs="Arial" w:eastAsia="Arial" w:hAnsi="Arial"/>
                <w:sz w:val="15"/>
                <w:szCs w:val="15"/>
                <w:color w:val="0000EE"/>
                <w:w w:val="83"/>
              </w:rPr>
              <w:t>39</w:t>
            </w:r>
          </w:p>
        </w:tc>
        <w:tc>
          <w:tcPr>
            <w:tcW w:w="20" w:type="dxa"/>
            <w:vAlign w:val="bottom"/>
          </w:tcPr>
          <w:p>
            <w:pPr>
              <w:spacing w:after="0"/>
              <w:rPr>
                <w:sz w:val="14"/>
                <w:szCs w:val="14"/>
                <w:color w:val="auto"/>
              </w:rPr>
            </w:pPr>
          </w:p>
        </w:tc>
        <w:tc>
          <w:tcPr>
            <w:tcW w:w="360" w:type="dxa"/>
            <w:vAlign w:val="bottom"/>
          </w:tcPr>
          <w:p>
            <w:pPr>
              <w:ind w:left="140"/>
              <w:spacing w:after="0" w:line="169" w:lineRule="exact"/>
              <w:rPr>
                <w:sz w:val="20"/>
                <w:szCs w:val="20"/>
                <w:color w:val="auto"/>
              </w:rPr>
            </w:pPr>
            <w:r>
              <w:rPr>
                <w:rFonts w:ascii="Arial" w:cs="Arial" w:eastAsia="Arial" w:hAnsi="Arial"/>
                <w:sz w:val="15"/>
                <w:szCs w:val="15"/>
                <w:color w:val="auto"/>
              </w:rPr>
              <w:t>​ ​</w:t>
            </w:r>
          </w:p>
        </w:tc>
        <w:tc>
          <w:tcPr>
            <w:tcW w:w="3260" w:type="dxa"/>
            <w:vAlign w:val="bottom"/>
            <w:tcBorders>
              <w:bottom w:val="single" w:sz="8" w:color="0000EE"/>
            </w:tcBorders>
            <w:gridSpan w:val="18"/>
          </w:tcPr>
          <w:p>
            <w:pPr>
              <w:spacing w:after="0" w:line="169" w:lineRule="exact"/>
              <w:rPr>
                <w:sz w:val="20"/>
                <w:szCs w:val="20"/>
                <w:color w:val="auto"/>
              </w:rPr>
            </w:pPr>
            <w:r>
              <w:rPr>
                <w:rFonts w:ascii="Arial" w:cs="Arial" w:eastAsia="Arial" w:hAnsi="Arial"/>
                <w:sz w:val="15"/>
                <w:szCs w:val="15"/>
                <w:color w:val="0000EE"/>
              </w:rPr>
              <w:t>Consideration of Stockholder Say-on-Pay Vote</w:t>
            </w:r>
          </w:p>
        </w:tc>
        <w:tc>
          <w:tcPr>
            <w:tcW w:w="20" w:type="dxa"/>
            <w:vAlign w:val="bottom"/>
          </w:tcPr>
          <w:p>
            <w:pPr>
              <w:spacing w:after="0"/>
              <w:rPr>
                <w:sz w:val="14"/>
                <w:szCs w:val="14"/>
                <w:color w:val="auto"/>
              </w:rPr>
            </w:pPr>
          </w:p>
        </w:tc>
        <w:tc>
          <w:tcPr>
            <w:tcW w:w="280" w:type="dxa"/>
            <w:vAlign w:val="bottom"/>
          </w:tcPr>
          <w:p>
            <w:pPr>
              <w:ind w:left="16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4"/>
        </w:trPr>
        <w:tc>
          <w:tcPr>
            <w:tcW w:w="120" w:type="dxa"/>
            <w:vAlign w:val="bottom"/>
          </w:tcPr>
          <w:p>
            <w:pPr>
              <w:spacing w:after="0"/>
              <w:rPr>
                <w:sz w:val="20"/>
                <w:szCs w:val="20"/>
                <w:color w:val="auto"/>
              </w:rPr>
            </w:pPr>
            <w:r>
              <w:rPr>
                <w:rFonts w:ascii="Arial" w:cs="Arial" w:eastAsia="Arial" w:hAnsi="Arial"/>
                <w:sz w:val="15"/>
                <w:szCs w:val="15"/>
                <w:b w:val="1"/>
                <w:bCs w:val="1"/>
                <w:color w:val="auto"/>
              </w:rPr>
              <w:t>​</w:t>
            </w:r>
          </w:p>
        </w:tc>
        <w:tc>
          <w:tcPr>
            <w:tcW w:w="180" w:type="dxa"/>
            <w:vAlign w:val="bottom"/>
            <w:gridSpan w:val="2"/>
          </w:tcPr>
          <w:p>
            <w:pPr>
              <w:spacing w:after="0"/>
              <w:rPr>
                <w:sz w:val="20"/>
                <w:szCs w:val="20"/>
                <w:color w:val="auto"/>
              </w:rPr>
            </w:pPr>
            <w:r>
              <w:rPr>
                <w:rFonts w:ascii="Arial" w:cs="Arial" w:eastAsia="Arial" w:hAnsi="Arial"/>
                <w:sz w:val="15"/>
                <w:szCs w:val="15"/>
                <w:b w:val="1"/>
                <w:bCs w:val="1"/>
                <w:color w:val="0000EE"/>
                <w:w w:val="95"/>
              </w:rPr>
              <w:t>40</w:t>
            </w:r>
          </w:p>
        </w:tc>
        <w:tc>
          <w:tcPr>
            <w:tcW w:w="360" w:type="dxa"/>
            <w:vAlign w:val="bottom"/>
          </w:tcPr>
          <w:p>
            <w:pPr>
              <w:ind w:left="140"/>
              <w:spacing w:after="0"/>
              <w:rPr>
                <w:sz w:val="20"/>
                <w:szCs w:val="20"/>
                <w:color w:val="auto"/>
              </w:rPr>
            </w:pPr>
            <w:r>
              <w:rPr>
                <w:rFonts w:ascii="Arial" w:cs="Arial" w:eastAsia="Arial" w:hAnsi="Arial"/>
                <w:sz w:val="15"/>
                <w:szCs w:val="15"/>
                <w:b w:val="1"/>
                <w:bCs w:val="1"/>
                <w:color w:val="auto"/>
              </w:rPr>
              <w:t>​ ​</w:t>
            </w:r>
          </w:p>
        </w:tc>
        <w:tc>
          <w:tcPr>
            <w:tcW w:w="3260" w:type="dxa"/>
            <w:vAlign w:val="bottom"/>
            <w:gridSpan w:val="18"/>
          </w:tcPr>
          <w:p>
            <w:pPr>
              <w:spacing w:after="0"/>
              <w:rPr>
                <w:sz w:val="20"/>
                <w:szCs w:val="20"/>
                <w:color w:val="auto"/>
              </w:rPr>
            </w:pPr>
            <w:r>
              <w:rPr>
                <w:rFonts w:ascii="Arial" w:cs="Arial" w:eastAsia="Arial" w:hAnsi="Arial"/>
                <w:sz w:val="15"/>
                <w:szCs w:val="15"/>
                <w:b w:val="1"/>
                <w:bCs w:val="1"/>
                <w:color w:val="0000EE"/>
              </w:rPr>
              <w:t>OVERVIEW OF THE COMPANY’S</w:t>
            </w:r>
          </w:p>
        </w:tc>
        <w:tc>
          <w:tcPr>
            <w:tcW w:w="20" w:type="dxa"/>
            <w:vAlign w:val="bottom"/>
          </w:tcPr>
          <w:p>
            <w:pPr>
              <w:spacing w:after="0"/>
              <w:rPr>
                <w:sz w:val="22"/>
                <w:szCs w:val="22"/>
                <w:color w:val="auto"/>
              </w:rPr>
            </w:pPr>
          </w:p>
        </w:tc>
        <w:tc>
          <w:tcPr>
            <w:tcW w:w="280" w:type="dxa"/>
            <w:vAlign w:val="bottom"/>
          </w:tcPr>
          <w:p>
            <w:pPr>
              <w:ind w:left="1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360" w:type="dxa"/>
            <w:vAlign w:val="bottom"/>
          </w:tcPr>
          <w:p>
            <w:pPr>
              <w:spacing w:after="0"/>
              <w:rPr>
                <w:sz w:val="12"/>
                <w:szCs w:val="12"/>
                <w:color w:val="auto"/>
              </w:rPr>
            </w:pPr>
          </w:p>
        </w:tc>
        <w:tc>
          <w:tcPr>
            <w:tcW w:w="2620" w:type="dxa"/>
            <w:vAlign w:val="bottom"/>
            <w:tcBorders>
              <w:top w:val="single" w:sz="8" w:color="0000EE"/>
            </w:tcBorders>
            <w:gridSpan w:val="13"/>
          </w:tcPr>
          <w:p>
            <w:pPr>
              <w:spacing w:after="0" w:line="142" w:lineRule="exact"/>
              <w:rPr>
                <w:sz w:val="20"/>
                <w:szCs w:val="20"/>
                <w:color w:val="auto"/>
              </w:rPr>
            </w:pPr>
            <w:r>
              <w:rPr>
                <w:rFonts w:ascii="Arial" w:cs="Arial" w:eastAsia="Arial" w:hAnsi="Arial"/>
                <w:sz w:val="15"/>
                <w:szCs w:val="15"/>
                <w:b w:val="1"/>
                <w:bCs w:val="1"/>
                <w:color w:val="0000EE"/>
              </w:rPr>
              <w:t>COMPENSATION PROGRAM</w:t>
            </w:r>
          </w:p>
        </w:tc>
        <w:tc>
          <w:tcPr>
            <w:tcW w:w="220" w:type="dxa"/>
            <w:vAlign w:val="bottom"/>
            <w:gridSpan w:val="2"/>
          </w:tcPr>
          <w:p>
            <w:pPr>
              <w:spacing w:after="0"/>
              <w:rPr>
                <w:sz w:val="12"/>
                <w:szCs w:val="12"/>
                <w:color w:val="auto"/>
              </w:rPr>
            </w:pPr>
          </w:p>
        </w:tc>
        <w:tc>
          <w:tcPr>
            <w:tcW w:w="36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7417A"/>
            </w:tcBorders>
          </w:tcPr>
          <w:p>
            <w:pPr>
              <w:spacing w:after="0" w:line="20" w:lineRule="exact"/>
              <w:rPr>
                <w:sz w:val="1"/>
                <w:szCs w:val="1"/>
                <w:color w:val="auto"/>
              </w:rPr>
            </w:pPr>
          </w:p>
        </w:tc>
        <w:tc>
          <w:tcPr>
            <w:tcW w:w="1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360" w:type="dxa"/>
            <w:vAlign w:val="bottom"/>
            <w:tcBorders>
              <w:bottom w:val="single" w:sz="8" w:color="E7417A"/>
            </w:tcBorders>
          </w:tcPr>
          <w:p>
            <w:pPr>
              <w:spacing w:after="0" w:line="20" w:lineRule="exact"/>
              <w:rPr>
                <w:sz w:val="1"/>
                <w:szCs w:val="1"/>
                <w:color w:val="auto"/>
              </w:rPr>
            </w:pPr>
          </w:p>
        </w:tc>
        <w:tc>
          <w:tcPr>
            <w:tcW w:w="6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420" w:type="dxa"/>
            <w:vAlign w:val="bottom"/>
            <w:tcBorders>
              <w:top w:val="single" w:sz="8" w:color="0000EE"/>
              <w:bottom w:val="single" w:sz="8" w:color="E7417A"/>
            </w:tcBorders>
          </w:tcPr>
          <w:p>
            <w:pPr>
              <w:spacing w:after="0" w:line="20" w:lineRule="exact"/>
              <w:rPr>
                <w:sz w:val="1"/>
                <w:szCs w:val="1"/>
                <w:color w:val="auto"/>
              </w:rPr>
            </w:pPr>
          </w:p>
        </w:tc>
        <w:tc>
          <w:tcPr>
            <w:tcW w:w="260" w:type="dxa"/>
            <w:vAlign w:val="bottom"/>
            <w:tcBorders>
              <w:top w:val="single" w:sz="8" w:color="0000EE"/>
              <w:bottom w:val="single" w:sz="8" w:color="E7417A"/>
            </w:tcBorders>
          </w:tcPr>
          <w:p>
            <w:pPr>
              <w:spacing w:after="0" w:line="20" w:lineRule="exact"/>
              <w:rPr>
                <w:sz w:val="1"/>
                <w:szCs w:val="1"/>
                <w:color w:val="auto"/>
              </w:rPr>
            </w:pPr>
          </w:p>
        </w:tc>
        <w:tc>
          <w:tcPr>
            <w:tcW w:w="320" w:type="dxa"/>
            <w:vAlign w:val="bottom"/>
            <w:tcBorders>
              <w:top w:val="single" w:sz="8" w:color="0000EE"/>
              <w:bottom w:val="single" w:sz="8" w:color="E7417A"/>
            </w:tcBorders>
          </w:tcPr>
          <w:p>
            <w:pPr>
              <w:spacing w:after="0" w:line="20" w:lineRule="exact"/>
              <w:rPr>
                <w:sz w:val="1"/>
                <w:szCs w:val="1"/>
                <w:color w:val="auto"/>
              </w:rPr>
            </w:pPr>
          </w:p>
        </w:tc>
        <w:tc>
          <w:tcPr>
            <w:tcW w:w="340" w:type="dxa"/>
            <w:vAlign w:val="bottom"/>
            <w:tcBorders>
              <w:top w:val="single" w:sz="8" w:color="0000EE"/>
              <w:bottom w:val="single" w:sz="8" w:color="E7417A"/>
            </w:tcBorders>
          </w:tcPr>
          <w:p>
            <w:pPr>
              <w:spacing w:after="0" w:line="20" w:lineRule="exact"/>
              <w:rPr>
                <w:sz w:val="1"/>
                <w:szCs w:val="1"/>
                <w:color w:val="auto"/>
              </w:rPr>
            </w:pPr>
          </w:p>
        </w:tc>
        <w:tc>
          <w:tcPr>
            <w:tcW w:w="26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12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32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8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line="156" w:lineRule="exact"/>
              <w:rPr>
                <w:sz w:val="20"/>
                <w:szCs w:val="20"/>
                <w:color w:val="auto"/>
              </w:rPr>
            </w:pPr>
            <w:r>
              <w:rPr>
                <w:rFonts w:ascii="Arial" w:cs="Arial" w:eastAsia="Arial" w:hAnsi="Arial"/>
                <w:sz w:val="15"/>
                <w:szCs w:val="15"/>
                <w:color w:val="auto"/>
              </w:rPr>
              <w:t>​</w:t>
            </w:r>
          </w:p>
        </w:tc>
        <w:tc>
          <w:tcPr>
            <w:tcW w:w="160" w:type="dxa"/>
            <w:vAlign w:val="bottom"/>
          </w:tcPr>
          <w:p>
            <w:pPr>
              <w:spacing w:after="0" w:line="156" w:lineRule="exact"/>
              <w:rPr>
                <w:sz w:val="20"/>
                <w:szCs w:val="20"/>
                <w:color w:val="auto"/>
              </w:rPr>
            </w:pPr>
            <w:r>
              <w:rPr>
                <w:rFonts w:ascii="Arial" w:cs="Arial" w:eastAsia="Arial" w:hAnsi="Arial"/>
                <w:sz w:val="15"/>
                <w:szCs w:val="15"/>
                <w:color w:val="0000EE"/>
                <w:w w:val="83"/>
              </w:rPr>
              <w:t>40</w:t>
            </w:r>
          </w:p>
        </w:tc>
        <w:tc>
          <w:tcPr>
            <w:tcW w:w="20" w:type="dxa"/>
            <w:vAlign w:val="bottom"/>
          </w:tcPr>
          <w:p>
            <w:pPr>
              <w:spacing w:after="0"/>
              <w:rPr>
                <w:sz w:val="13"/>
                <w:szCs w:val="13"/>
                <w:color w:val="auto"/>
              </w:rPr>
            </w:pPr>
          </w:p>
        </w:tc>
        <w:tc>
          <w:tcPr>
            <w:tcW w:w="3640" w:type="dxa"/>
            <w:vAlign w:val="bottom"/>
            <w:gridSpan w:val="20"/>
          </w:tcPr>
          <w:p>
            <w:pPr>
              <w:ind w:left="140"/>
              <w:spacing w:after="0" w:line="156" w:lineRule="exact"/>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color w:val="0000EE"/>
              </w:rPr>
              <w:t>Who Oversees the Company’s Compensation</w:t>
            </w:r>
          </w:p>
        </w:tc>
        <w:tc>
          <w:tcPr>
            <w:tcW w:w="280" w:type="dxa"/>
            <w:vAlign w:val="bottom"/>
          </w:tcPr>
          <w:p>
            <w:pPr>
              <w:ind w:left="16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2"/>
        </w:trPr>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16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vMerge w:val="restart"/>
          </w:tcPr>
          <w:p>
            <w:pPr>
              <w:ind w:left="140"/>
              <w:spacing w:after="0"/>
              <w:rPr>
                <w:sz w:val="20"/>
                <w:szCs w:val="20"/>
                <w:color w:val="auto"/>
              </w:rPr>
            </w:pPr>
            <w:r>
              <w:rPr>
                <w:rFonts w:ascii="Arial" w:cs="Arial" w:eastAsia="Arial" w:hAnsi="Arial"/>
                <w:sz w:val="15"/>
                <w:szCs w:val="15"/>
                <w:color w:val="auto"/>
              </w:rPr>
              <w:t>​ ​</w:t>
            </w:r>
          </w:p>
        </w:tc>
        <w:tc>
          <w:tcPr>
            <w:tcW w:w="3200" w:type="dxa"/>
            <w:vAlign w:val="bottom"/>
            <w:tcBorders>
              <w:top w:val="single" w:sz="8" w:color="0000EE"/>
            </w:tcBorders>
            <w:gridSpan w:val="17"/>
          </w:tcPr>
          <w:p>
            <w:pPr>
              <w:spacing w:after="0" w:line="142" w:lineRule="exact"/>
              <w:rPr>
                <w:sz w:val="20"/>
                <w:szCs w:val="20"/>
                <w:color w:val="auto"/>
              </w:rPr>
            </w:pPr>
            <w:r>
              <w:rPr>
                <w:rFonts w:ascii="Arial" w:cs="Arial" w:eastAsia="Arial" w:hAnsi="Arial"/>
                <w:sz w:val="15"/>
                <w:szCs w:val="15"/>
                <w:color w:val="0000EE"/>
              </w:rPr>
              <w:t>Program?</w:t>
            </w:r>
          </w:p>
        </w:tc>
        <w:tc>
          <w:tcPr>
            <w:tcW w:w="80" w:type="dxa"/>
            <w:vAlign w:val="bottom"/>
            <w:gridSpan w:val="2"/>
          </w:tcPr>
          <w:p>
            <w:pPr>
              <w:spacing w:after="0"/>
              <w:rPr>
                <w:sz w:val="12"/>
                <w:szCs w:val="12"/>
                <w:color w:val="auto"/>
              </w:rPr>
            </w:pPr>
          </w:p>
        </w:tc>
        <w:tc>
          <w:tcPr>
            <w:tcW w:w="28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vMerge w:val="continue"/>
          </w:tcPr>
          <w:p>
            <w:pPr>
              <w:spacing w:after="0"/>
              <w:rPr>
                <w:sz w:val="14"/>
                <w:szCs w:val="14"/>
                <w:color w:val="auto"/>
              </w:rPr>
            </w:pPr>
          </w:p>
        </w:tc>
        <w:tc>
          <w:tcPr>
            <w:tcW w:w="160" w:type="dxa"/>
            <w:vAlign w:val="bottom"/>
          </w:tcPr>
          <w:p>
            <w:pPr>
              <w:spacing w:after="0" w:line="169" w:lineRule="exact"/>
              <w:rPr>
                <w:sz w:val="20"/>
                <w:szCs w:val="20"/>
                <w:color w:val="auto"/>
              </w:rPr>
            </w:pPr>
            <w:r>
              <w:rPr>
                <w:rFonts w:ascii="Arial" w:cs="Arial" w:eastAsia="Arial" w:hAnsi="Arial"/>
                <w:sz w:val="15"/>
                <w:szCs w:val="15"/>
                <w:color w:val="0000EE"/>
                <w:w w:val="83"/>
              </w:rPr>
              <w:t>41</w:t>
            </w:r>
          </w:p>
        </w:tc>
        <w:tc>
          <w:tcPr>
            <w:tcW w:w="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3280" w:type="dxa"/>
            <w:vAlign w:val="bottom"/>
            <w:gridSpan w:val="19"/>
          </w:tcPr>
          <w:p>
            <w:pPr>
              <w:spacing w:after="0" w:line="169" w:lineRule="exact"/>
              <w:rPr>
                <w:sz w:val="20"/>
                <w:szCs w:val="20"/>
                <w:color w:val="auto"/>
              </w:rPr>
            </w:pPr>
            <w:r>
              <w:rPr>
                <w:rFonts w:ascii="Arial" w:cs="Arial" w:eastAsia="Arial" w:hAnsi="Arial"/>
                <w:sz w:val="15"/>
                <w:szCs w:val="15"/>
                <w:color w:val="0000EE"/>
              </w:rPr>
              <w:t>Competitive Benchmarking</w:t>
            </w: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2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 ​</w:t>
            </w:r>
          </w:p>
        </w:tc>
        <w:tc>
          <w:tcPr>
            <w:tcW w:w="820" w:type="dxa"/>
            <w:vAlign w:val="bottom"/>
            <w:gridSpan w:val="2"/>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60" w:type="dxa"/>
            <w:vAlign w:val="bottom"/>
            <w:gridSpan w:val="2"/>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6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440" w:type="dxa"/>
            <w:vAlign w:val="bottom"/>
            <w:gridSpan w:val="4"/>
          </w:tcPr>
          <w:p>
            <w:pPr>
              <w:spacing w:after="0"/>
              <w:rPr>
                <w:sz w:val="2"/>
                <w:szCs w:val="2"/>
                <w:color w:val="auto"/>
              </w:rPr>
            </w:pPr>
          </w:p>
        </w:tc>
        <w:tc>
          <w:tcPr>
            <w:tcW w:w="28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line="20" w:lineRule="exact"/>
              <w:rPr>
                <w:sz w:val="1"/>
                <w:szCs w:val="1"/>
                <w:color w:val="auto"/>
              </w:rPr>
            </w:pPr>
          </w:p>
        </w:tc>
      </w:tr>
      <w:tr>
        <w:trPr>
          <w:trHeight w:val="256"/>
        </w:trPr>
        <w:tc>
          <w:tcPr>
            <w:tcW w:w="120" w:type="dxa"/>
            <w:vAlign w:val="bottom"/>
            <w:vMerge w:val="continue"/>
          </w:tcPr>
          <w:p>
            <w:pPr>
              <w:spacing w:after="0"/>
              <w:rPr>
                <w:sz w:val="22"/>
                <w:szCs w:val="22"/>
                <w:color w:val="auto"/>
              </w:rPr>
            </w:pPr>
          </w:p>
        </w:tc>
        <w:tc>
          <w:tcPr>
            <w:tcW w:w="180" w:type="dxa"/>
            <w:vAlign w:val="bottom"/>
            <w:gridSpan w:val="2"/>
          </w:tcPr>
          <w:p>
            <w:pPr>
              <w:spacing w:after="0"/>
              <w:rPr>
                <w:sz w:val="20"/>
                <w:szCs w:val="20"/>
                <w:color w:val="auto"/>
              </w:rPr>
            </w:pPr>
            <w:r>
              <w:rPr>
                <w:rFonts w:ascii="Arial" w:cs="Arial" w:eastAsia="Arial" w:hAnsi="Arial"/>
                <w:sz w:val="15"/>
                <w:szCs w:val="15"/>
                <w:b w:val="1"/>
                <w:bCs w:val="1"/>
                <w:color w:val="0000EE"/>
                <w:w w:val="95"/>
              </w:rPr>
              <w:t>42</w:t>
            </w:r>
          </w:p>
        </w:tc>
        <w:tc>
          <w:tcPr>
            <w:tcW w:w="360" w:type="dxa"/>
            <w:vAlign w:val="bottom"/>
            <w:vMerge w:val="continue"/>
          </w:tcPr>
          <w:p>
            <w:pPr>
              <w:spacing w:after="0"/>
              <w:rPr>
                <w:sz w:val="22"/>
                <w:szCs w:val="22"/>
                <w:color w:val="auto"/>
              </w:rPr>
            </w:pPr>
          </w:p>
        </w:tc>
        <w:tc>
          <w:tcPr>
            <w:tcW w:w="3280" w:type="dxa"/>
            <w:vAlign w:val="bottom"/>
            <w:gridSpan w:val="19"/>
          </w:tcPr>
          <w:p>
            <w:pPr>
              <w:spacing w:after="0"/>
              <w:rPr>
                <w:sz w:val="20"/>
                <w:szCs w:val="20"/>
                <w:color w:val="auto"/>
              </w:rPr>
            </w:pPr>
            <w:r>
              <w:rPr>
                <w:rFonts w:ascii="Arial" w:cs="Arial" w:eastAsia="Arial" w:hAnsi="Arial"/>
                <w:sz w:val="15"/>
                <w:szCs w:val="15"/>
                <w:b w:val="1"/>
                <w:bCs w:val="1"/>
                <w:color w:val="0000EE"/>
              </w:rPr>
              <w:t>COMPENSATION COMPONENTS</w:t>
            </w:r>
          </w:p>
        </w:tc>
        <w:tc>
          <w:tcPr>
            <w:tcW w:w="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7417A"/>
            </w:tcBorders>
          </w:tcPr>
          <w:p>
            <w:pPr>
              <w:spacing w:after="0" w:line="20" w:lineRule="exact"/>
              <w:rPr>
                <w:sz w:val="1"/>
                <w:szCs w:val="1"/>
                <w:color w:val="auto"/>
              </w:rPr>
            </w:pPr>
          </w:p>
        </w:tc>
        <w:tc>
          <w:tcPr>
            <w:tcW w:w="16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360" w:type="dxa"/>
            <w:vAlign w:val="bottom"/>
            <w:tcBorders>
              <w:bottom w:val="single" w:sz="8" w:color="E7417A"/>
            </w:tcBorders>
          </w:tcPr>
          <w:p>
            <w:pPr>
              <w:spacing w:after="0" w:line="20" w:lineRule="exact"/>
              <w:rPr>
                <w:sz w:val="1"/>
                <w:szCs w:val="1"/>
                <w:color w:val="auto"/>
              </w:rPr>
            </w:pPr>
          </w:p>
        </w:tc>
        <w:tc>
          <w:tcPr>
            <w:tcW w:w="6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420" w:type="dxa"/>
            <w:vAlign w:val="bottom"/>
            <w:tcBorders>
              <w:top w:val="single" w:sz="8" w:color="0000EE"/>
              <w:bottom w:val="single" w:sz="8" w:color="E7417A"/>
            </w:tcBorders>
          </w:tcPr>
          <w:p>
            <w:pPr>
              <w:spacing w:after="0" w:line="20" w:lineRule="exact"/>
              <w:rPr>
                <w:sz w:val="1"/>
                <w:szCs w:val="1"/>
                <w:color w:val="auto"/>
              </w:rPr>
            </w:pPr>
          </w:p>
        </w:tc>
        <w:tc>
          <w:tcPr>
            <w:tcW w:w="260" w:type="dxa"/>
            <w:vAlign w:val="bottom"/>
            <w:tcBorders>
              <w:top w:val="single" w:sz="8" w:color="0000EE"/>
              <w:bottom w:val="single" w:sz="8" w:color="E7417A"/>
            </w:tcBorders>
          </w:tcPr>
          <w:p>
            <w:pPr>
              <w:spacing w:after="0" w:line="20" w:lineRule="exact"/>
              <w:rPr>
                <w:sz w:val="1"/>
                <w:szCs w:val="1"/>
                <w:color w:val="auto"/>
              </w:rPr>
            </w:pPr>
          </w:p>
        </w:tc>
        <w:tc>
          <w:tcPr>
            <w:tcW w:w="320" w:type="dxa"/>
            <w:vAlign w:val="bottom"/>
            <w:tcBorders>
              <w:top w:val="single" w:sz="8" w:color="0000EE"/>
              <w:bottom w:val="single" w:sz="8" w:color="E7417A"/>
            </w:tcBorders>
          </w:tcPr>
          <w:p>
            <w:pPr>
              <w:spacing w:after="0" w:line="20" w:lineRule="exact"/>
              <w:rPr>
                <w:sz w:val="1"/>
                <w:szCs w:val="1"/>
                <w:color w:val="auto"/>
              </w:rPr>
            </w:pPr>
          </w:p>
        </w:tc>
        <w:tc>
          <w:tcPr>
            <w:tcW w:w="340" w:type="dxa"/>
            <w:vAlign w:val="bottom"/>
            <w:tcBorders>
              <w:top w:val="single" w:sz="8" w:color="0000EE"/>
              <w:bottom w:val="single" w:sz="8" w:color="E7417A"/>
            </w:tcBorders>
          </w:tcPr>
          <w:p>
            <w:pPr>
              <w:spacing w:after="0" w:line="20" w:lineRule="exact"/>
              <w:rPr>
                <w:sz w:val="1"/>
                <w:szCs w:val="1"/>
                <w:color w:val="auto"/>
              </w:rPr>
            </w:pPr>
          </w:p>
        </w:tc>
        <w:tc>
          <w:tcPr>
            <w:tcW w:w="26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12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32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8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line="156" w:lineRule="exact"/>
              <w:rPr>
                <w:sz w:val="20"/>
                <w:szCs w:val="20"/>
                <w:color w:val="auto"/>
              </w:rPr>
            </w:pPr>
            <w:r>
              <w:rPr>
                <w:rFonts w:ascii="Arial" w:cs="Arial" w:eastAsia="Arial" w:hAnsi="Arial"/>
                <w:sz w:val="15"/>
                <w:szCs w:val="15"/>
                <w:color w:val="auto"/>
              </w:rPr>
              <w:t>​</w:t>
            </w:r>
          </w:p>
        </w:tc>
        <w:tc>
          <w:tcPr>
            <w:tcW w:w="160" w:type="dxa"/>
            <w:vAlign w:val="bottom"/>
          </w:tcPr>
          <w:p>
            <w:pPr>
              <w:spacing w:after="0" w:line="156" w:lineRule="exact"/>
              <w:rPr>
                <w:sz w:val="20"/>
                <w:szCs w:val="20"/>
                <w:color w:val="auto"/>
              </w:rPr>
            </w:pPr>
            <w:r>
              <w:rPr>
                <w:rFonts w:ascii="Arial" w:cs="Arial" w:eastAsia="Arial" w:hAnsi="Arial"/>
                <w:sz w:val="15"/>
                <w:szCs w:val="15"/>
                <w:color w:val="0000EE"/>
                <w:w w:val="83"/>
              </w:rPr>
              <w:t>42</w:t>
            </w:r>
          </w:p>
        </w:tc>
        <w:tc>
          <w:tcPr>
            <w:tcW w:w="20" w:type="dxa"/>
            <w:vAlign w:val="bottom"/>
          </w:tcPr>
          <w:p>
            <w:pPr>
              <w:spacing w:after="0"/>
              <w:rPr>
                <w:sz w:val="13"/>
                <w:szCs w:val="13"/>
                <w:color w:val="auto"/>
              </w:rPr>
            </w:pPr>
          </w:p>
        </w:tc>
        <w:tc>
          <w:tcPr>
            <w:tcW w:w="360" w:type="dxa"/>
            <w:vAlign w:val="bottom"/>
          </w:tcPr>
          <w:p>
            <w:pPr>
              <w:ind w:left="140"/>
              <w:spacing w:after="0" w:line="156" w:lineRule="exact"/>
              <w:rPr>
                <w:sz w:val="20"/>
                <w:szCs w:val="20"/>
                <w:color w:val="auto"/>
              </w:rPr>
            </w:pPr>
            <w:r>
              <w:rPr>
                <w:rFonts w:ascii="Arial" w:cs="Arial" w:eastAsia="Arial" w:hAnsi="Arial"/>
                <w:sz w:val="15"/>
                <w:szCs w:val="15"/>
                <w:color w:val="auto"/>
              </w:rPr>
              <w:t>​ ​</w:t>
            </w:r>
          </w:p>
        </w:tc>
        <w:tc>
          <w:tcPr>
            <w:tcW w:w="3280" w:type="dxa"/>
            <w:vAlign w:val="bottom"/>
            <w:gridSpan w:val="19"/>
          </w:tcPr>
          <w:p>
            <w:pPr>
              <w:spacing w:after="0" w:line="156" w:lineRule="exact"/>
              <w:rPr>
                <w:sz w:val="20"/>
                <w:szCs w:val="20"/>
                <w:color w:val="auto"/>
              </w:rPr>
            </w:pPr>
            <w:r>
              <w:rPr>
                <w:rFonts w:ascii="Arial" w:cs="Arial" w:eastAsia="Arial" w:hAnsi="Arial"/>
                <w:sz w:val="15"/>
                <w:szCs w:val="15"/>
                <w:color w:val="0000EE"/>
              </w:rPr>
              <w:t>Compensation Mix</w:t>
            </w:r>
          </w:p>
        </w:tc>
        <w:tc>
          <w:tcPr>
            <w:tcW w:w="280" w:type="dxa"/>
            <w:vAlign w:val="bottom"/>
          </w:tcPr>
          <w:p>
            <w:pPr>
              <w:ind w:left="16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0000EE"/>
            </w:tcBorders>
          </w:tcPr>
          <w:p>
            <w:pPr>
              <w:spacing w:after="0" w:line="169" w:lineRule="exact"/>
              <w:rPr>
                <w:sz w:val="20"/>
                <w:szCs w:val="20"/>
                <w:color w:val="auto"/>
              </w:rPr>
            </w:pPr>
            <w:r>
              <w:rPr>
                <w:rFonts w:ascii="Arial" w:cs="Arial" w:eastAsia="Arial" w:hAnsi="Arial"/>
                <w:sz w:val="15"/>
                <w:szCs w:val="15"/>
                <w:color w:val="0000EE"/>
                <w:w w:val="83"/>
              </w:rPr>
              <w:t>43</w:t>
            </w:r>
          </w:p>
        </w:tc>
        <w:tc>
          <w:tcPr>
            <w:tcW w:w="20" w:type="dxa"/>
            <w:vAlign w:val="bottom"/>
          </w:tcPr>
          <w:p>
            <w:pPr>
              <w:spacing w:after="0"/>
              <w:rPr>
                <w:sz w:val="14"/>
                <w:szCs w:val="14"/>
                <w:color w:val="auto"/>
              </w:rPr>
            </w:pPr>
          </w:p>
        </w:tc>
        <w:tc>
          <w:tcPr>
            <w:tcW w:w="360" w:type="dxa"/>
            <w:vAlign w:val="bottom"/>
          </w:tcPr>
          <w:p>
            <w:pPr>
              <w:ind w:left="140"/>
              <w:spacing w:after="0" w:line="169" w:lineRule="exact"/>
              <w:rPr>
                <w:sz w:val="20"/>
                <w:szCs w:val="20"/>
                <w:color w:val="auto"/>
              </w:rPr>
            </w:pPr>
            <w:r>
              <w:rPr>
                <w:rFonts w:ascii="Arial" w:cs="Arial" w:eastAsia="Arial" w:hAnsi="Arial"/>
                <w:sz w:val="15"/>
                <w:szCs w:val="15"/>
                <w:color w:val="auto"/>
              </w:rPr>
              <w:t>​ ​</w:t>
            </w:r>
          </w:p>
        </w:tc>
        <w:tc>
          <w:tcPr>
            <w:tcW w:w="1300" w:type="dxa"/>
            <w:vAlign w:val="bottom"/>
            <w:tcBorders>
              <w:top w:val="single" w:sz="8" w:color="0000EE"/>
            </w:tcBorders>
            <w:gridSpan w:val="5"/>
          </w:tcPr>
          <w:p>
            <w:pPr>
              <w:spacing w:after="0" w:line="169" w:lineRule="exact"/>
              <w:rPr>
                <w:sz w:val="20"/>
                <w:szCs w:val="20"/>
                <w:color w:val="auto"/>
              </w:rPr>
            </w:pPr>
            <w:r>
              <w:rPr>
                <w:rFonts w:ascii="Arial" w:cs="Arial" w:eastAsia="Arial" w:hAnsi="Arial"/>
                <w:sz w:val="15"/>
                <w:szCs w:val="15"/>
                <w:color w:val="0000EE"/>
              </w:rPr>
              <w:t>How Target Levels</w:t>
            </w:r>
          </w:p>
        </w:tc>
        <w:tc>
          <w:tcPr>
            <w:tcW w:w="1980" w:type="dxa"/>
            <w:vAlign w:val="bottom"/>
            <w:gridSpan w:val="14"/>
          </w:tcPr>
          <w:p>
            <w:pPr>
              <w:ind w:left="40"/>
              <w:spacing w:after="0" w:line="169" w:lineRule="exact"/>
              <w:rPr>
                <w:sz w:val="20"/>
                <w:szCs w:val="20"/>
                <w:color w:val="auto"/>
              </w:rPr>
            </w:pPr>
            <w:r>
              <w:rPr>
                <w:rFonts w:ascii="Arial" w:cs="Arial" w:eastAsia="Arial" w:hAnsi="Arial"/>
                <w:sz w:val="15"/>
                <w:szCs w:val="15"/>
                <w:color w:val="0000EE"/>
              </w:rPr>
              <w:t>of Compensation Are</w:t>
            </w:r>
          </w:p>
        </w:tc>
        <w:tc>
          <w:tcPr>
            <w:tcW w:w="280" w:type="dxa"/>
            <w:vAlign w:val="bottom"/>
          </w:tcPr>
          <w:p>
            <w:pPr>
              <w:ind w:left="16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2"/>
        </w:trPr>
        <w:tc>
          <w:tcPr>
            <w:tcW w:w="12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 ​</w:t>
            </w:r>
          </w:p>
        </w:tc>
        <w:tc>
          <w:tcPr>
            <w:tcW w:w="820" w:type="dxa"/>
            <w:vAlign w:val="bottom"/>
            <w:tcBorders>
              <w:top w:val="single" w:sz="8" w:color="0000EE"/>
              <w:bottom w:val="single" w:sz="8" w:color="0000EE"/>
            </w:tcBorders>
            <w:gridSpan w:val="2"/>
          </w:tcPr>
          <w:p>
            <w:pPr>
              <w:spacing w:after="0" w:line="142" w:lineRule="exact"/>
              <w:rPr>
                <w:sz w:val="20"/>
                <w:szCs w:val="20"/>
                <w:color w:val="auto"/>
              </w:rPr>
            </w:pPr>
            <w:r>
              <w:rPr>
                <w:rFonts w:ascii="Arial" w:cs="Arial" w:eastAsia="Arial" w:hAnsi="Arial"/>
                <w:sz w:val="15"/>
                <w:szCs w:val="15"/>
                <w:color w:val="0000EE"/>
              </w:rPr>
              <w:t>Determined</w:t>
            </w:r>
          </w:p>
        </w:tc>
        <w:tc>
          <w:tcPr>
            <w:tcW w:w="2020" w:type="dxa"/>
            <w:vAlign w:val="bottom"/>
            <w:tcBorders>
              <w:top w:val="single" w:sz="8" w:color="0000EE"/>
            </w:tcBorders>
            <w:gridSpan w:val="13"/>
          </w:tcPr>
          <w:p>
            <w:pPr>
              <w:spacing w:after="0"/>
              <w:rPr>
                <w:sz w:val="12"/>
                <w:szCs w:val="12"/>
                <w:color w:val="auto"/>
              </w:rPr>
            </w:pPr>
          </w:p>
        </w:tc>
        <w:tc>
          <w:tcPr>
            <w:tcW w:w="440" w:type="dxa"/>
            <w:vAlign w:val="bottom"/>
            <w:gridSpan w:val="4"/>
          </w:tcPr>
          <w:p>
            <w:pPr>
              <w:spacing w:after="0"/>
              <w:rPr>
                <w:sz w:val="12"/>
                <w:szCs w:val="12"/>
                <w:color w:val="auto"/>
              </w:rPr>
            </w:pPr>
          </w:p>
        </w:tc>
        <w:tc>
          <w:tcPr>
            <w:tcW w:w="28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63"/>
        </w:trPr>
        <w:tc>
          <w:tcPr>
            <w:tcW w:w="120" w:type="dxa"/>
            <w:vAlign w:val="bottom"/>
            <w:vMerge w:val="continue"/>
          </w:tcPr>
          <w:p>
            <w:pPr>
              <w:spacing w:after="0"/>
              <w:rPr>
                <w:sz w:val="22"/>
                <w:szCs w:val="22"/>
                <w:color w:val="auto"/>
              </w:rPr>
            </w:pPr>
          </w:p>
        </w:tc>
        <w:tc>
          <w:tcPr>
            <w:tcW w:w="180" w:type="dxa"/>
            <w:vAlign w:val="bottom"/>
            <w:gridSpan w:val="2"/>
          </w:tcPr>
          <w:p>
            <w:pPr>
              <w:spacing w:after="0"/>
              <w:rPr>
                <w:sz w:val="20"/>
                <w:szCs w:val="20"/>
                <w:color w:val="auto"/>
              </w:rPr>
            </w:pPr>
            <w:r>
              <w:rPr>
                <w:rFonts w:ascii="Arial" w:cs="Arial" w:eastAsia="Arial" w:hAnsi="Arial"/>
                <w:sz w:val="15"/>
                <w:szCs w:val="15"/>
                <w:b w:val="1"/>
                <w:bCs w:val="1"/>
                <w:color w:val="0000EE"/>
                <w:w w:val="95"/>
              </w:rPr>
              <w:t>43</w:t>
            </w:r>
          </w:p>
        </w:tc>
        <w:tc>
          <w:tcPr>
            <w:tcW w:w="360" w:type="dxa"/>
            <w:vAlign w:val="bottom"/>
            <w:vMerge w:val="continue"/>
          </w:tcPr>
          <w:p>
            <w:pPr>
              <w:spacing w:after="0"/>
              <w:rPr>
                <w:sz w:val="22"/>
                <w:szCs w:val="22"/>
                <w:color w:val="auto"/>
              </w:rPr>
            </w:pPr>
          </w:p>
        </w:tc>
        <w:tc>
          <w:tcPr>
            <w:tcW w:w="3280" w:type="dxa"/>
            <w:vAlign w:val="bottom"/>
            <w:gridSpan w:val="19"/>
          </w:tcPr>
          <w:p>
            <w:pPr>
              <w:spacing w:after="0"/>
              <w:rPr>
                <w:sz w:val="20"/>
                <w:szCs w:val="20"/>
                <w:color w:val="auto"/>
              </w:rPr>
            </w:pPr>
            <w:r>
              <w:rPr>
                <w:rFonts w:ascii="Arial" w:cs="Arial" w:eastAsia="Arial" w:hAnsi="Arial"/>
                <w:sz w:val="15"/>
                <w:szCs w:val="15"/>
                <w:b w:val="1"/>
                <w:bCs w:val="1"/>
                <w:color w:val="0000EE"/>
              </w:rPr>
              <w:t>2024 COMPENSATION PAYOUTS</w:t>
            </w:r>
          </w:p>
        </w:tc>
        <w:tc>
          <w:tcPr>
            <w:tcW w:w="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7417A"/>
            </w:tcBorders>
          </w:tcPr>
          <w:p>
            <w:pPr>
              <w:spacing w:after="0" w:line="20" w:lineRule="exact"/>
              <w:rPr>
                <w:sz w:val="1"/>
                <w:szCs w:val="1"/>
                <w:color w:val="auto"/>
              </w:rPr>
            </w:pPr>
          </w:p>
        </w:tc>
        <w:tc>
          <w:tcPr>
            <w:tcW w:w="16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360" w:type="dxa"/>
            <w:vAlign w:val="bottom"/>
            <w:tcBorders>
              <w:bottom w:val="single" w:sz="8" w:color="E7417A"/>
            </w:tcBorders>
          </w:tcPr>
          <w:p>
            <w:pPr>
              <w:spacing w:after="0" w:line="20" w:lineRule="exact"/>
              <w:rPr>
                <w:sz w:val="1"/>
                <w:szCs w:val="1"/>
                <w:color w:val="auto"/>
              </w:rPr>
            </w:pPr>
          </w:p>
        </w:tc>
        <w:tc>
          <w:tcPr>
            <w:tcW w:w="6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420" w:type="dxa"/>
            <w:vAlign w:val="bottom"/>
            <w:tcBorders>
              <w:top w:val="single" w:sz="8" w:color="0000EE"/>
              <w:bottom w:val="single" w:sz="8" w:color="E7417A"/>
            </w:tcBorders>
          </w:tcPr>
          <w:p>
            <w:pPr>
              <w:spacing w:after="0" w:line="20" w:lineRule="exact"/>
              <w:rPr>
                <w:sz w:val="1"/>
                <w:szCs w:val="1"/>
                <w:color w:val="auto"/>
              </w:rPr>
            </w:pPr>
          </w:p>
        </w:tc>
        <w:tc>
          <w:tcPr>
            <w:tcW w:w="260" w:type="dxa"/>
            <w:vAlign w:val="bottom"/>
            <w:tcBorders>
              <w:top w:val="single" w:sz="8" w:color="0000EE"/>
              <w:bottom w:val="single" w:sz="8" w:color="E7417A"/>
            </w:tcBorders>
          </w:tcPr>
          <w:p>
            <w:pPr>
              <w:spacing w:after="0" w:line="20" w:lineRule="exact"/>
              <w:rPr>
                <w:sz w:val="1"/>
                <w:szCs w:val="1"/>
                <w:color w:val="auto"/>
              </w:rPr>
            </w:pPr>
          </w:p>
        </w:tc>
        <w:tc>
          <w:tcPr>
            <w:tcW w:w="320" w:type="dxa"/>
            <w:vAlign w:val="bottom"/>
            <w:tcBorders>
              <w:top w:val="single" w:sz="8" w:color="0000EE"/>
              <w:bottom w:val="single" w:sz="8" w:color="E7417A"/>
            </w:tcBorders>
          </w:tcPr>
          <w:p>
            <w:pPr>
              <w:spacing w:after="0" w:line="20" w:lineRule="exact"/>
              <w:rPr>
                <w:sz w:val="1"/>
                <w:szCs w:val="1"/>
                <w:color w:val="auto"/>
              </w:rPr>
            </w:pPr>
          </w:p>
        </w:tc>
        <w:tc>
          <w:tcPr>
            <w:tcW w:w="340" w:type="dxa"/>
            <w:vAlign w:val="bottom"/>
            <w:tcBorders>
              <w:top w:val="single" w:sz="8" w:color="0000EE"/>
              <w:bottom w:val="single" w:sz="8" w:color="E7417A"/>
            </w:tcBorders>
          </w:tcPr>
          <w:p>
            <w:pPr>
              <w:spacing w:after="0" w:line="20" w:lineRule="exact"/>
              <w:rPr>
                <w:sz w:val="1"/>
                <w:szCs w:val="1"/>
                <w:color w:val="auto"/>
              </w:rPr>
            </w:pPr>
          </w:p>
        </w:tc>
        <w:tc>
          <w:tcPr>
            <w:tcW w:w="26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12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32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8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line="142" w:lineRule="exact"/>
              <w:rPr>
                <w:sz w:val="20"/>
                <w:szCs w:val="20"/>
                <w:color w:val="auto"/>
              </w:rPr>
            </w:pPr>
            <w:r>
              <w:rPr>
                <w:rFonts w:ascii="Arial" w:cs="Arial" w:eastAsia="Arial" w:hAnsi="Arial"/>
                <w:sz w:val="15"/>
                <w:szCs w:val="15"/>
                <w:color w:val="auto"/>
              </w:rPr>
              <w:t>​</w:t>
            </w:r>
          </w:p>
        </w:tc>
        <w:tc>
          <w:tcPr>
            <w:tcW w:w="160" w:type="dxa"/>
            <w:vAlign w:val="bottom"/>
          </w:tcPr>
          <w:p>
            <w:pPr>
              <w:spacing w:after="0" w:line="142" w:lineRule="exact"/>
              <w:rPr>
                <w:sz w:val="20"/>
                <w:szCs w:val="20"/>
                <w:color w:val="auto"/>
              </w:rPr>
            </w:pPr>
            <w:r>
              <w:rPr>
                <w:rFonts w:ascii="Arial" w:cs="Arial" w:eastAsia="Arial" w:hAnsi="Arial"/>
                <w:sz w:val="15"/>
                <w:szCs w:val="15"/>
                <w:color w:val="0000EE"/>
                <w:w w:val="83"/>
              </w:rPr>
              <w:t>43</w:t>
            </w:r>
          </w:p>
        </w:tc>
        <w:tc>
          <w:tcPr>
            <w:tcW w:w="20" w:type="dxa"/>
            <w:vAlign w:val="bottom"/>
          </w:tcPr>
          <w:p>
            <w:pPr>
              <w:spacing w:after="0"/>
              <w:rPr>
                <w:sz w:val="12"/>
                <w:szCs w:val="12"/>
                <w:color w:val="auto"/>
              </w:rPr>
            </w:pPr>
          </w:p>
        </w:tc>
        <w:tc>
          <w:tcPr>
            <w:tcW w:w="360" w:type="dxa"/>
            <w:vAlign w:val="bottom"/>
          </w:tcPr>
          <w:p>
            <w:pPr>
              <w:ind w:left="140"/>
              <w:spacing w:after="0" w:line="142" w:lineRule="exact"/>
              <w:rPr>
                <w:sz w:val="20"/>
                <w:szCs w:val="20"/>
                <w:color w:val="auto"/>
              </w:rPr>
            </w:pPr>
            <w:r>
              <w:rPr>
                <w:rFonts w:ascii="Arial" w:cs="Arial" w:eastAsia="Arial" w:hAnsi="Arial"/>
                <w:sz w:val="15"/>
                <w:szCs w:val="15"/>
                <w:color w:val="auto"/>
              </w:rPr>
              <w:t>​ ​</w:t>
            </w:r>
          </w:p>
        </w:tc>
        <w:tc>
          <w:tcPr>
            <w:tcW w:w="3280" w:type="dxa"/>
            <w:vAlign w:val="bottom"/>
            <w:gridSpan w:val="19"/>
          </w:tcPr>
          <w:p>
            <w:pPr>
              <w:spacing w:after="0" w:line="142" w:lineRule="exact"/>
              <w:rPr>
                <w:sz w:val="20"/>
                <w:szCs w:val="20"/>
                <w:color w:val="auto"/>
              </w:rPr>
            </w:pPr>
            <w:r>
              <w:rPr>
                <w:rFonts w:ascii="Arial" w:cs="Arial" w:eastAsia="Arial" w:hAnsi="Arial"/>
                <w:sz w:val="15"/>
                <w:szCs w:val="15"/>
                <w:color w:val="0000EE"/>
              </w:rPr>
              <w:t>Base Salary</w:t>
            </w:r>
          </w:p>
        </w:tc>
        <w:tc>
          <w:tcPr>
            <w:tcW w:w="280" w:type="dxa"/>
            <w:vAlign w:val="bottom"/>
          </w:tcPr>
          <w:p>
            <w:pPr>
              <w:ind w:left="160"/>
              <w:spacing w:after="0" w:line="14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1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0000EE"/>
              <w:bottom w:val="single" w:sz="8" w:color="0000EE"/>
            </w:tcBorders>
          </w:tcPr>
          <w:p>
            <w:pPr>
              <w:spacing w:after="0" w:line="162" w:lineRule="exact"/>
              <w:rPr>
                <w:sz w:val="20"/>
                <w:szCs w:val="20"/>
                <w:color w:val="auto"/>
              </w:rPr>
            </w:pPr>
            <w:r>
              <w:rPr>
                <w:rFonts w:ascii="Arial" w:cs="Arial" w:eastAsia="Arial" w:hAnsi="Arial"/>
                <w:sz w:val="15"/>
                <w:szCs w:val="15"/>
                <w:color w:val="0000EE"/>
                <w:w w:val="83"/>
              </w:rPr>
              <w:t>43</w:t>
            </w:r>
          </w:p>
        </w:tc>
        <w:tc>
          <w:tcPr>
            <w:tcW w:w="20" w:type="dxa"/>
            <w:vAlign w:val="bottom"/>
          </w:tcPr>
          <w:p>
            <w:pPr>
              <w:spacing w:after="0"/>
              <w:rPr>
                <w:sz w:val="14"/>
                <w:szCs w:val="14"/>
                <w:color w:val="auto"/>
              </w:rPr>
            </w:pPr>
          </w:p>
        </w:tc>
        <w:tc>
          <w:tcPr>
            <w:tcW w:w="360" w:type="dxa"/>
            <w:vAlign w:val="bottom"/>
          </w:tcPr>
          <w:p>
            <w:pPr>
              <w:ind w:left="140"/>
              <w:spacing w:after="0" w:line="162" w:lineRule="exact"/>
              <w:rPr>
                <w:sz w:val="20"/>
                <w:szCs w:val="20"/>
                <w:color w:val="auto"/>
              </w:rPr>
            </w:pPr>
            <w:r>
              <w:rPr>
                <w:rFonts w:ascii="Arial" w:cs="Arial" w:eastAsia="Arial" w:hAnsi="Arial"/>
                <w:sz w:val="15"/>
                <w:szCs w:val="15"/>
                <w:color w:val="auto"/>
              </w:rPr>
              <w:t>​ ​</w:t>
            </w:r>
          </w:p>
        </w:tc>
        <w:tc>
          <w:tcPr>
            <w:tcW w:w="840" w:type="dxa"/>
            <w:vAlign w:val="bottom"/>
            <w:tcBorders>
              <w:top w:val="single" w:sz="8" w:color="0000EE"/>
              <w:bottom w:val="single" w:sz="8" w:color="0000EE"/>
            </w:tcBorders>
            <w:gridSpan w:val="3"/>
          </w:tcPr>
          <w:p>
            <w:pPr>
              <w:spacing w:after="0" w:line="162" w:lineRule="exact"/>
              <w:rPr>
                <w:sz w:val="20"/>
                <w:szCs w:val="20"/>
                <w:color w:val="auto"/>
              </w:rPr>
            </w:pPr>
            <w:r>
              <w:rPr>
                <w:rFonts w:ascii="Arial" w:cs="Arial" w:eastAsia="Arial" w:hAnsi="Arial"/>
                <w:sz w:val="15"/>
                <w:szCs w:val="15"/>
                <w:color w:val="0000EE"/>
                <w:w w:val="95"/>
              </w:rPr>
              <w:t>Annual Cash</w:t>
            </w:r>
          </w:p>
        </w:tc>
        <w:tc>
          <w:tcPr>
            <w:tcW w:w="720" w:type="dxa"/>
            <w:vAlign w:val="bottom"/>
            <w:tcBorders>
              <w:bottom w:val="single" w:sz="8" w:color="0000EE"/>
            </w:tcBorders>
            <w:gridSpan w:val="3"/>
          </w:tcPr>
          <w:p>
            <w:pPr>
              <w:ind w:left="100"/>
              <w:spacing w:after="0" w:line="162" w:lineRule="exact"/>
              <w:rPr>
                <w:sz w:val="20"/>
                <w:szCs w:val="20"/>
                <w:color w:val="auto"/>
              </w:rPr>
            </w:pPr>
            <w:r>
              <w:rPr>
                <w:rFonts w:ascii="Arial" w:cs="Arial" w:eastAsia="Arial" w:hAnsi="Arial"/>
                <w:sz w:val="15"/>
                <w:szCs w:val="15"/>
                <w:color w:val="0000EE"/>
              </w:rPr>
              <w:t>Bonuses</w:t>
            </w:r>
          </w:p>
        </w:tc>
        <w:tc>
          <w:tcPr>
            <w:tcW w:w="1720" w:type="dxa"/>
            <w:vAlign w:val="bottom"/>
            <w:gridSpan w:val="13"/>
          </w:tcPr>
          <w:p>
            <w:pPr>
              <w:spacing w:after="0"/>
              <w:rPr>
                <w:sz w:val="14"/>
                <w:szCs w:val="14"/>
                <w:color w:val="auto"/>
              </w:rPr>
            </w:pPr>
          </w:p>
        </w:tc>
        <w:tc>
          <w:tcPr>
            <w:tcW w:w="280" w:type="dxa"/>
            <w:vAlign w:val="bottom"/>
          </w:tcPr>
          <w:p>
            <w:pPr>
              <w:ind w:left="1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179705</wp:posOffset>
            </wp:positionV>
            <wp:extent cx="279463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79463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12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0000EE"/>
                <w:w w:val="83"/>
              </w:rPr>
              <w:t>45</w:t>
            </w:r>
          </w:p>
        </w:tc>
        <w:tc>
          <w:tcPr>
            <w:tcW w:w="3600" w:type="dxa"/>
            <w:vAlign w:val="bottom"/>
            <w:gridSpan w:val="19"/>
          </w:tcPr>
          <w:p>
            <w:pPr>
              <w:ind w:left="1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color w:val="0000EE"/>
              </w:rPr>
              <w:t>Equity-Based Incentives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120" w:type="dxa"/>
            <w:vAlign w:val="bottom"/>
          </w:tcPr>
          <w:p>
            <w:pPr>
              <w:spacing w:after="0" w:line="149"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0000EE"/>
            </w:tcBorders>
          </w:tcPr>
          <w:p>
            <w:pPr>
              <w:jc w:val="right"/>
              <w:spacing w:after="0" w:line="149" w:lineRule="exact"/>
              <w:rPr>
                <w:sz w:val="20"/>
                <w:szCs w:val="20"/>
                <w:color w:val="auto"/>
              </w:rPr>
            </w:pPr>
            <w:r>
              <w:rPr>
                <w:rFonts w:ascii="Arial" w:cs="Arial" w:eastAsia="Arial" w:hAnsi="Arial"/>
                <w:sz w:val="15"/>
                <w:szCs w:val="15"/>
                <w:color w:val="0000EE"/>
                <w:w w:val="83"/>
              </w:rPr>
              <w:t>46</w:t>
            </w:r>
          </w:p>
        </w:tc>
        <w:tc>
          <w:tcPr>
            <w:tcW w:w="360" w:type="dxa"/>
            <w:vAlign w:val="bottom"/>
          </w:tcPr>
          <w:p>
            <w:pPr>
              <w:ind w:left="140"/>
              <w:spacing w:after="0" w:line="149" w:lineRule="exact"/>
              <w:rPr>
                <w:sz w:val="20"/>
                <w:szCs w:val="20"/>
                <w:color w:val="auto"/>
              </w:rPr>
            </w:pPr>
            <w:r>
              <w:rPr>
                <w:rFonts w:ascii="Arial" w:cs="Arial" w:eastAsia="Arial" w:hAnsi="Arial"/>
                <w:sz w:val="15"/>
                <w:szCs w:val="15"/>
                <w:color w:val="auto"/>
              </w:rPr>
              <w:t>​ ​</w:t>
            </w:r>
          </w:p>
        </w:tc>
        <w:tc>
          <w:tcPr>
            <w:tcW w:w="1700" w:type="dxa"/>
            <w:vAlign w:val="bottom"/>
            <w:tcBorders>
              <w:top w:val="single" w:sz="8" w:color="0000EE"/>
            </w:tcBorders>
            <w:gridSpan w:val="7"/>
          </w:tcPr>
          <w:p>
            <w:pPr>
              <w:spacing w:after="0" w:line="149" w:lineRule="exact"/>
              <w:rPr>
                <w:sz w:val="20"/>
                <w:szCs w:val="20"/>
                <w:color w:val="auto"/>
              </w:rPr>
            </w:pPr>
            <w:r>
              <w:rPr>
                <w:rFonts w:ascii="Arial" w:cs="Arial" w:eastAsia="Arial" w:hAnsi="Arial"/>
                <w:sz w:val="15"/>
                <w:szCs w:val="15"/>
                <w:color w:val="0000EE"/>
              </w:rPr>
              <w:t>Performance Goals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ind w:left="20"/>
              <w:spacing w:after="0" w:line="14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0"/>
                <w:szCs w:val="20"/>
                <w:color w:val="auto"/>
              </w:rPr>
            </w:pPr>
            <w:r>
              <w:rPr>
                <w:rFonts w:ascii="Arial" w:cs="Arial" w:eastAsia="Arial" w:hAnsi="Arial"/>
                <w:sz w:val="15"/>
                <w:szCs w:val="15"/>
                <w:b w:val="1"/>
                <w:bCs w:val="1"/>
                <w:color w:val="auto"/>
              </w:rPr>
              <w:t>​</w:t>
            </w:r>
          </w:p>
        </w:tc>
        <w:tc>
          <w:tcPr>
            <w:tcW w:w="180" w:type="dxa"/>
            <w:vAlign w:val="bottom"/>
            <w:tcBorders>
              <w:top w:val="single" w:sz="8" w:color="0000EE"/>
            </w:tcBorders>
          </w:tcPr>
          <w:p>
            <w:pPr>
              <w:jc w:val="right"/>
              <w:spacing w:after="0"/>
              <w:rPr>
                <w:sz w:val="20"/>
                <w:szCs w:val="20"/>
                <w:color w:val="auto"/>
              </w:rPr>
            </w:pPr>
            <w:r>
              <w:rPr>
                <w:rFonts w:ascii="Arial" w:cs="Arial" w:eastAsia="Arial" w:hAnsi="Arial"/>
                <w:sz w:val="15"/>
                <w:szCs w:val="15"/>
                <w:b w:val="1"/>
                <w:bCs w:val="1"/>
                <w:color w:val="0000EE"/>
                <w:w w:val="95"/>
              </w:rPr>
              <w:t>48</w:t>
            </w:r>
          </w:p>
        </w:tc>
        <w:tc>
          <w:tcPr>
            <w:tcW w:w="360" w:type="dxa"/>
            <w:vAlign w:val="bottom"/>
          </w:tcPr>
          <w:p>
            <w:pPr>
              <w:ind w:left="140"/>
              <w:spacing w:after="0"/>
              <w:rPr>
                <w:sz w:val="20"/>
                <w:szCs w:val="20"/>
                <w:color w:val="auto"/>
              </w:rPr>
            </w:pPr>
            <w:r>
              <w:rPr>
                <w:rFonts w:ascii="Arial" w:cs="Arial" w:eastAsia="Arial" w:hAnsi="Arial"/>
                <w:sz w:val="15"/>
                <w:szCs w:val="15"/>
                <w:b w:val="1"/>
                <w:bCs w:val="1"/>
                <w:color w:val="auto"/>
              </w:rPr>
              <w:t>​ ​</w:t>
            </w:r>
          </w:p>
        </w:tc>
        <w:tc>
          <w:tcPr>
            <w:tcW w:w="1360" w:type="dxa"/>
            <w:vAlign w:val="bottom"/>
            <w:tcBorders>
              <w:top w:val="single" w:sz="8" w:color="0000EE"/>
            </w:tcBorders>
            <w:gridSpan w:val="5"/>
          </w:tcPr>
          <w:p>
            <w:pPr>
              <w:spacing w:after="0"/>
              <w:rPr>
                <w:sz w:val="20"/>
                <w:szCs w:val="20"/>
                <w:color w:val="auto"/>
              </w:rPr>
            </w:pPr>
            <w:r>
              <w:rPr>
                <w:rFonts w:ascii="Arial" w:cs="Arial" w:eastAsia="Arial" w:hAnsi="Arial"/>
                <w:sz w:val="15"/>
                <w:szCs w:val="15"/>
                <w:b w:val="1"/>
                <w:bCs w:val="1"/>
                <w:color w:val="0000EE"/>
              </w:rPr>
              <w:t>BENEFITS AND</w:t>
            </w:r>
          </w:p>
        </w:tc>
        <w:tc>
          <w:tcPr>
            <w:tcW w:w="1880" w:type="dxa"/>
            <w:vAlign w:val="bottom"/>
            <w:gridSpan w:val="13"/>
          </w:tcPr>
          <w:p>
            <w:pPr>
              <w:spacing w:after="0"/>
              <w:rPr>
                <w:sz w:val="20"/>
                <w:szCs w:val="20"/>
                <w:color w:val="auto"/>
              </w:rPr>
            </w:pPr>
            <w:r>
              <w:rPr>
                <w:rFonts w:ascii="Arial" w:cs="Arial" w:eastAsia="Arial" w:hAnsi="Arial"/>
                <w:sz w:val="15"/>
                <w:szCs w:val="15"/>
                <w:b w:val="1"/>
                <w:bCs w:val="1"/>
                <w:color w:val="0000EE"/>
              </w:rPr>
              <w:t>OTHER COMPENSATION</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120" w:type="dxa"/>
            <w:vAlign w:val="bottom"/>
            <w:tcBorders>
              <w:bottom w:val="single" w:sz="8" w:color="E7417A"/>
            </w:tcBorders>
          </w:tcPr>
          <w:p>
            <w:pPr>
              <w:spacing w:after="0" w:line="20" w:lineRule="exact"/>
              <w:rPr>
                <w:sz w:val="1"/>
                <w:szCs w:val="1"/>
                <w:color w:val="auto"/>
              </w:rPr>
            </w:pPr>
          </w:p>
        </w:tc>
        <w:tc>
          <w:tcPr>
            <w:tcW w:w="180" w:type="dxa"/>
            <w:vAlign w:val="bottom"/>
            <w:tcBorders>
              <w:top w:val="single" w:sz="8" w:color="0000EE"/>
              <w:bottom w:val="single" w:sz="8" w:color="E7417A"/>
            </w:tcBorders>
          </w:tcPr>
          <w:p>
            <w:pPr>
              <w:spacing w:after="0" w:line="20" w:lineRule="exact"/>
              <w:rPr>
                <w:sz w:val="1"/>
                <w:szCs w:val="1"/>
                <w:color w:val="auto"/>
              </w:rPr>
            </w:pPr>
          </w:p>
        </w:tc>
        <w:tc>
          <w:tcPr>
            <w:tcW w:w="360" w:type="dxa"/>
            <w:vAlign w:val="bottom"/>
            <w:tcBorders>
              <w:bottom w:val="single" w:sz="8" w:color="E7417A"/>
            </w:tcBorders>
          </w:tcPr>
          <w:p>
            <w:pPr>
              <w:spacing w:after="0" w:line="20" w:lineRule="exact"/>
              <w:rPr>
                <w:sz w:val="1"/>
                <w:szCs w:val="1"/>
                <w:color w:val="auto"/>
              </w:rPr>
            </w:pPr>
          </w:p>
        </w:tc>
        <w:tc>
          <w:tcPr>
            <w:tcW w:w="520" w:type="dxa"/>
            <w:vAlign w:val="bottom"/>
            <w:tcBorders>
              <w:top w:val="single" w:sz="8" w:color="0000EE"/>
              <w:bottom w:val="single" w:sz="8" w:color="E7417A"/>
            </w:tcBorders>
          </w:tcPr>
          <w:p>
            <w:pPr>
              <w:spacing w:after="0" w:line="20" w:lineRule="exact"/>
              <w:rPr>
                <w:sz w:val="1"/>
                <w:szCs w:val="1"/>
                <w:color w:val="auto"/>
              </w:rPr>
            </w:pPr>
          </w:p>
        </w:tc>
        <w:tc>
          <w:tcPr>
            <w:tcW w:w="420" w:type="dxa"/>
            <w:vAlign w:val="bottom"/>
            <w:tcBorders>
              <w:top w:val="single" w:sz="8" w:color="0000EE"/>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20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300" w:type="dxa"/>
            <w:vAlign w:val="bottom"/>
            <w:tcBorders>
              <w:top w:val="single" w:sz="8" w:color="0000EE"/>
              <w:bottom w:val="single" w:sz="8" w:color="E7417A"/>
            </w:tcBorders>
          </w:tcPr>
          <w:p>
            <w:pPr>
              <w:spacing w:after="0" w:line="20" w:lineRule="exact"/>
              <w:rPr>
                <w:sz w:val="1"/>
                <w:szCs w:val="1"/>
                <w:color w:val="auto"/>
              </w:rPr>
            </w:pPr>
          </w:p>
        </w:tc>
        <w:tc>
          <w:tcPr>
            <w:tcW w:w="400" w:type="dxa"/>
            <w:vAlign w:val="bottom"/>
            <w:tcBorders>
              <w:top w:val="single" w:sz="8" w:color="0000EE"/>
              <w:bottom w:val="single" w:sz="8" w:color="E7417A"/>
            </w:tcBorders>
          </w:tcPr>
          <w:p>
            <w:pPr>
              <w:spacing w:after="0" w:line="20" w:lineRule="exact"/>
              <w:rPr>
                <w:sz w:val="1"/>
                <w:szCs w:val="1"/>
                <w:color w:val="auto"/>
              </w:rPr>
            </w:pPr>
          </w:p>
        </w:tc>
        <w:tc>
          <w:tcPr>
            <w:tcW w:w="12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220" w:type="dxa"/>
            <w:vAlign w:val="bottom"/>
            <w:tcBorders>
              <w:top w:val="single" w:sz="8" w:color="0000EE"/>
              <w:bottom w:val="single" w:sz="8" w:color="E7417A"/>
            </w:tcBorders>
          </w:tcPr>
          <w:p>
            <w:pPr>
              <w:spacing w:after="0" w:line="20" w:lineRule="exact"/>
              <w:rPr>
                <w:sz w:val="1"/>
                <w:szCs w:val="1"/>
                <w:color w:val="auto"/>
              </w:rPr>
            </w:pPr>
          </w:p>
        </w:tc>
        <w:tc>
          <w:tcPr>
            <w:tcW w:w="10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340" w:type="dxa"/>
            <w:vAlign w:val="bottom"/>
            <w:tcBorders>
              <w:top w:val="single" w:sz="8" w:color="0000EE"/>
              <w:bottom w:val="single" w:sz="8" w:color="E7417A"/>
            </w:tcBorders>
          </w:tcPr>
          <w:p>
            <w:pPr>
              <w:spacing w:after="0" w:line="20" w:lineRule="exact"/>
              <w:rPr>
                <w:sz w:val="1"/>
                <w:szCs w:val="1"/>
                <w:color w:val="auto"/>
              </w:rPr>
            </w:pPr>
          </w:p>
        </w:tc>
        <w:tc>
          <w:tcPr>
            <w:tcW w:w="100" w:type="dxa"/>
            <w:vAlign w:val="bottom"/>
            <w:tcBorders>
              <w:top w:val="single" w:sz="8" w:color="0000EE"/>
              <w:bottom w:val="single" w:sz="8" w:color="E7417A"/>
            </w:tcBorders>
          </w:tcPr>
          <w:p>
            <w:pPr>
              <w:spacing w:after="0" w:line="20" w:lineRule="exact"/>
              <w:rPr>
                <w:sz w:val="1"/>
                <w:szCs w:val="1"/>
                <w:color w:val="auto"/>
              </w:rPr>
            </w:pPr>
          </w:p>
        </w:tc>
        <w:tc>
          <w:tcPr>
            <w:tcW w:w="6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8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2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jc w:val="right"/>
              <w:spacing w:after="0"/>
              <w:rPr>
                <w:sz w:val="20"/>
                <w:szCs w:val="20"/>
                <w:color w:val="auto"/>
              </w:rPr>
            </w:pPr>
            <w:r>
              <w:rPr>
                <w:rFonts w:ascii="Arial" w:cs="Arial" w:eastAsia="Arial" w:hAnsi="Arial"/>
                <w:sz w:val="15"/>
                <w:szCs w:val="15"/>
                <w:b w:val="1"/>
                <w:bCs w:val="1"/>
                <w:color w:val="0000EE"/>
                <w:w w:val="95"/>
              </w:rPr>
              <w:t>48</w:t>
            </w:r>
          </w:p>
        </w:tc>
        <w:tc>
          <w:tcPr>
            <w:tcW w:w="3600" w:type="dxa"/>
            <w:vAlign w:val="bottom"/>
            <w:gridSpan w:val="19"/>
          </w:tcPr>
          <w:p>
            <w:pPr>
              <w:ind w:left="140"/>
              <w:spacing w:after="0" w:line="250" w:lineRule="exact"/>
              <w:rPr>
                <w:sz w:val="20"/>
                <w:szCs w:val="20"/>
                <w:color w:val="auto"/>
              </w:rPr>
            </w:pPr>
            <w:r>
              <w:rPr>
                <w:rFonts w:ascii="Arial" w:cs="Arial" w:eastAsia="Arial" w:hAnsi="Arial"/>
                <w:sz w:val="28"/>
                <w:szCs w:val="28"/>
                <w:b w:val="1"/>
                <w:bCs w:val="1"/>
                <w:color w:val="000000"/>
                <w:vertAlign w:val="superscript"/>
              </w:rPr>
              <w:t>​ ​</w:t>
            </w:r>
            <w:r>
              <w:rPr>
                <w:rFonts w:ascii="Arial" w:cs="Arial" w:eastAsia="Arial" w:hAnsi="Arial"/>
                <w:sz w:val="15"/>
                <w:szCs w:val="15"/>
                <w:b w:val="1"/>
                <w:bCs w:val="1"/>
                <w:color w:val="0000EE"/>
              </w:rPr>
              <w:t xml:space="preserve"> SEVERANCE AND SEPARATION</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360" w:type="dxa"/>
            <w:vAlign w:val="bottom"/>
          </w:tcPr>
          <w:p>
            <w:pPr>
              <w:spacing w:after="0"/>
              <w:rPr>
                <w:sz w:val="12"/>
                <w:szCs w:val="12"/>
                <w:color w:val="auto"/>
              </w:rPr>
            </w:pPr>
          </w:p>
        </w:tc>
        <w:tc>
          <w:tcPr>
            <w:tcW w:w="2580" w:type="dxa"/>
            <w:vAlign w:val="bottom"/>
            <w:tcBorders>
              <w:top w:val="single" w:sz="8" w:color="0000EE"/>
            </w:tcBorders>
            <w:gridSpan w:val="13"/>
          </w:tcPr>
          <w:p>
            <w:pPr>
              <w:spacing w:after="0" w:line="142" w:lineRule="exact"/>
              <w:rPr>
                <w:sz w:val="20"/>
                <w:szCs w:val="20"/>
                <w:color w:val="auto"/>
              </w:rPr>
            </w:pPr>
            <w:r>
              <w:rPr>
                <w:rFonts w:ascii="Arial" w:cs="Arial" w:eastAsia="Arial" w:hAnsi="Arial"/>
                <w:sz w:val="15"/>
                <w:szCs w:val="15"/>
                <w:b w:val="1"/>
                <w:bCs w:val="1"/>
                <w:color w:val="0000EE"/>
              </w:rPr>
              <w:t>ARRANGEMENTS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7417A"/>
            </w:tcBorders>
          </w:tcPr>
          <w:p>
            <w:pPr>
              <w:spacing w:after="0" w:line="20" w:lineRule="exact"/>
              <w:rPr>
                <w:sz w:val="1"/>
                <w:szCs w:val="1"/>
                <w:color w:val="auto"/>
              </w:rPr>
            </w:pPr>
          </w:p>
        </w:tc>
        <w:tc>
          <w:tcPr>
            <w:tcW w:w="180" w:type="dxa"/>
            <w:vAlign w:val="bottom"/>
            <w:tcBorders>
              <w:bottom w:val="single" w:sz="8" w:color="E7417A"/>
            </w:tcBorders>
          </w:tcPr>
          <w:p>
            <w:pPr>
              <w:spacing w:after="0" w:line="20" w:lineRule="exact"/>
              <w:rPr>
                <w:sz w:val="1"/>
                <w:szCs w:val="1"/>
                <w:color w:val="auto"/>
              </w:rPr>
            </w:pPr>
          </w:p>
        </w:tc>
        <w:tc>
          <w:tcPr>
            <w:tcW w:w="360" w:type="dxa"/>
            <w:vAlign w:val="bottom"/>
            <w:tcBorders>
              <w:bottom w:val="single" w:sz="8" w:color="E7417A"/>
            </w:tcBorders>
          </w:tcPr>
          <w:p>
            <w:pPr>
              <w:spacing w:after="0" w:line="20" w:lineRule="exact"/>
              <w:rPr>
                <w:sz w:val="1"/>
                <w:szCs w:val="1"/>
                <w:color w:val="auto"/>
              </w:rPr>
            </w:pPr>
          </w:p>
        </w:tc>
        <w:tc>
          <w:tcPr>
            <w:tcW w:w="520" w:type="dxa"/>
            <w:vAlign w:val="bottom"/>
            <w:tcBorders>
              <w:top w:val="single" w:sz="8" w:color="0000EE"/>
              <w:bottom w:val="single" w:sz="8" w:color="E7417A"/>
            </w:tcBorders>
          </w:tcPr>
          <w:p>
            <w:pPr>
              <w:spacing w:after="0" w:line="20" w:lineRule="exact"/>
              <w:rPr>
                <w:sz w:val="1"/>
                <w:szCs w:val="1"/>
                <w:color w:val="auto"/>
              </w:rPr>
            </w:pPr>
          </w:p>
        </w:tc>
        <w:tc>
          <w:tcPr>
            <w:tcW w:w="420" w:type="dxa"/>
            <w:vAlign w:val="bottom"/>
            <w:tcBorders>
              <w:top w:val="single" w:sz="8" w:color="0000EE"/>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20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300" w:type="dxa"/>
            <w:vAlign w:val="bottom"/>
            <w:tcBorders>
              <w:bottom w:val="single" w:sz="8" w:color="E7417A"/>
            </w:tcBorders>
          </w:tcPr>
          <w:p>
            <w:pPr>
              <w:spacing w:after="0" w:line="20" w:lineRule="exact"/>
              <w:rPr>
                <w:sz w:val="1"/>
                <w:szCs w:val="1"/>
                <w:color w:val="auto"/>
              </w:rPr>
            </w:pPr>
          </w:p>
        </w:tc>
        <w:tc>
          <w:tcPr>
            <w:tcW w:w="400" w:type="dxa"/>
            <w:vAlign w:val="bottom"/>
            <w:tcBorders>
              <w:bottom w:val="single" w:sz="8" w:color="E7417A"/>
            </w:tcBorders>
          </w:tcPr>
          <w:p>
            <w:pPr>
              <w:spacing w:after="0" w:line="20" w:lineRule="exact"/>
              <w:rPr>
                <w:sz w:val="1"/>
                <w:szCs w:val="1"/>
                <w:color w:val="auto"/>
              </w:rPr>
            </w:pPr>
          </w:p>
        </w:tc>
        <w:tc>
          <w:tcPr>
            <w:tcW w:w="1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2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34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14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8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2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jc w:val="right"/>
              <w:spacing w:after="0"/>
              <w:rPr>
                <w:sz w:val="20"/>
                <w:szCs w:val="20"/>
                <w:color w:val="auto"/>
              </w:rPr>
            </w:pPr>
            <w:r>
              <w:rPr>
                <w:rFonts w:ascii="Arial" w:cs="Arial" w:eastAsia="Arial" w:hAnsi="Arial"/>
                <w:sz w:val="15"/>
                <w:szCs w:val="15"/>
                <w:b w:val="1"/>
                <w:bCs w:val="1"/>
                <w:color w:val="0000EE"/>
                <w:w w:val="95"/>
              </w:rPr>
              <w:t>48</w:t>
            </w:r>
          </w:p>
        </w:tc>
        <w:tc>
          <w:tcPr>
            <w:tcW w:w="3600" w:type="dxa"/>
            <w:vAlign w:val="bottom"/>
            <w:gridSpan w:val="19"/>
          </w:tcPr>
          <w:p>
            <w:pPr>
              <w:ind w:left="140"/>
              <w:spacing w:after="0" w:line="250" w:lineRule="exact"/>
              <w:rPr>
                <w:sz w:val="20"/>
                <w:szCs w:val="20"/>
                <w:color w:val="auto"/>
              </w:rPr>
            </w:pPr>
            <w:r>
              <w:rPr>
                <w:rFonts w:ascii="Arial" w:cs="Arial" w:eastAsia="Arial" w:hAnsi="Arial"/>
                <w:sz w:val="28"/>
                <w:szCs w:val="28"/>
                <w:b w:val="1"/>
                <w:bCs w:val="1"/>
                <w:color w:val="000000"/>
                <w:vertAlign w:val="superscript"/>
              </w:rPr>
              <w:t>​ ​</w:t>
            </w:r>
            <w:r>
              <w:rPr>
                <w:rFonts w:ascii="Arial" w:cs="Arial" w:eastAsia="Arial" w:hAnsi="Arial"/>
                <w:sz w:val="15"/>
                <w:szCs w:val="15"/>
                <w:b w:val="1"/>
                <w:bCs w:val="1"/>
                <w:color w:val="0000EE"/>
              </w:rPr>
              <w:t xml:space="preserve"> COMPENSATION POLICIES AND</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360" w:type="dxa"/>
            <w:vAlign w:val="bottom"/>
          </w:tcPr>
          <w:p>
            <w:pPr>
              <w:spacing w:after="0"/>
              <w:rPr>
                <w:sz w:val="11"/>
                <w:szCs w:val="11"/>
                <w:color w:val="auto"/>
              </w:rPr>
            </w:pPr>
          </w:p>
        </w:tc>
        <w:tc>
          <w:tcPr>
            <w:tcW w:w="2560" w:type="dxa"/>
            <w:vAlign w:val="bottom"/>
            <w:tcBorders>
              <w:top w:val="single" w:sz="8" w:color="0000EE"/>
            </w:tcBorders>
            <w:gridSpan w:val="12"/>
          </w:tcPr>
          <w:p>
            <w:pPr>
              <w:spacing w:after="0" w:line="129" w:lineRule="exact"/>
              <w:rPr>
                <w:sz w:val="20"/>
                <w:szCs w:val="20"/>
                <w:color w:val="auto"/>
              </w:rPr>
            </w:pPr>
            <w:r>
              <w:rPr>
                <w:rFonts w:ascii="Arial" w:cs="Arial" w:eastAsia="Arial" w:hAnsi="Arial"/>
                <w:sz w:val="14"/>
                <w:szCs w:val="14"/>
                <w:b w:val="1"/>
                <w:bCs w:val="1"/>
                <w:color w:val="0000EE"/>
              </w:rPr>
              <w:t>PRACTICES</w:t>
            </w:r>
          </w:p>
        </w:tc>
        <w:tc>
          <w:tcPr>
            <w:tcW w:w="3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20" w:type="dxa"/>
            <w:vAlign w:val="bottom"/>
            <w:tcBorders>
              <w:bottom w:val="single" w:sz="8" w:color="E7417A"/>
            </w:tcBorders>
          </w:tcPr>
          <w:p>
            <w:pPr>
              <w:spacing w:after="0"/>
              <w:rPr>
                <w:sz w:val="2"/>
                <w:szCs w:val="2"/>
                <w:color w:val="auto"/>
              </w:rPr>
            </w:pPr>
          </w:p>
        </w:tc>
        <w:tc>
          <w:tcPr>
            <w:tcW w:w="180" w:type="dxa"/>
            <w:vAlign w:val="bottom"/>
            <w:tcBorders>
              <w:bottom w:val="single" w:sz="8" w:color="E7417A"/>
            </w:tcBorders>
          </w:tcPr>
          <w:p>
            <w:pPr>
              <w:spacing w:after="0"/>
              <w:rPr>
                <w:sz w:val="2"/>
                <w:szCs w:val="2"/>
                <w:color w:val="auto"/>
              </w:rPr>
            </w:pPr>
          </w:p>
        </w:tc>
        <w:tc>
          <w:tcPr>
            <w:tcW w:w="360" w:type="dxa"/>
            <w:vAlign w:val="bottom"/>
            <w:tcBorders>
              <w:bottom w:val="single" w:sz="8" w:color="E7417A"/>
            </w:tcBorders>
          </w:tcPr>
          <w:p>
            <w:pPr>
              <w:spacing w:after="0"/>
              <w:rPr>
                <w:sz w:val="2"/>
                <w:szCs w:val="2"/>
                <w:color w:val="auto"/>
              </w:rPr>
            </w:pPr>
          </w:p>
        </w:tc>
        <w:tc>
          <w:tcPr>
            <w:tcW w:w="520" w:type="dxa"/>
            <w:vAlign w:val="bottom"/>
            <w:tcBorders>
              <w:top w:val="single" w:sz="8" w:color="0000EE"/>
              <w:bottom w:val="single" w:sz="8" w:color="E7417A"/>
            </w:tcBorders>
          </w:tcPr>
          <w:p>
            <w:pPr>
              <w:spacing w:after="0"/>
              <w:rPr>
                <w:sz w:val="2"/>
                <w:szCs w:val="2"/>
                <w:color w:val="auto"/>
              </w:rPr>
            </w:pPr>
          </w:p>
        </w:tc>
        <w:tc>
          <w:tcPr>
            <w:tcW w:w="420" w:type="dxa"/>
            <w:vAlign w:val="bottom"/>
            <w:tcBorders>
              <w:top w:val="single" w:sz="8" w:color="0000EE"/>
              <w:bottom w:val="single" w:sz="8" w:color="E7417A"/>
            </w:tcBorders>
          </w:tcPr>
          <w:p>
            <w:pPr>
              <w:spacing w:after="0"/>
              <w:rPr>
                <w:sz w:val="2"/>
                <w:szCs w:val="2"/>
                <w:color w:val="auto"/>
              </w:rPr>
            </w:pPr>
          </w:p>
        </w:tc>
        <w:tc>
          <w:tcPr>
            <w:tcW w:w="80" w:type="dxa"/>
            <w:vAlign w:val="bottom"/>
            <w:tcBorders>
              <w:bottom w:val="single" w:sz="8" w:color="E7417A"/>
            </w:tcBorders>
          </w:tcPr>
          <w:p>
            <w:pPr>
              <w:spacing w:after="0"/>
              <w:rPr>
                <w:sz w:val="2"/>
                <w:szCs w:val="2"/>
                <w:color w:val="auto"/>
              </w:rPr>
            </w:pPr>
          </w:p>
        </w:tc>
        <w:tc>
          <w:tcPr>
            <w:tcW w:w="140" w:type="dxa"/>
            <w:vAlign w:val="bottom"/>
            <w:tcBorders>
              <w:bottom w:val="single" w:sz="8" w:color="E7417A"/>
            </w:tcBorders>
          </w:tcPr>
          <w:p>
            <w:pPr>
              <w:spacing w:after="0"/>
              <w:rPr>
                <w:sz w:val="2"/>
                <w:szCs w:val="2"/>
                <w:color w:val="auto"/>
              </w:rPr>
            </w:pPr>
          </w:p>
        </w:tc>
        <w:tc>
          <w:tcPr>
            <w:tcW w:w="200" w:type="dxa"/>
            <w:vAlign w:val="bottom"/>
            <w:tcBorders>
              <w:bottom w:val="single" w:sz="8" w:color="E7417A"/>
            </w:tcBorders>
          </w:tcPr>
          <w:p>
            <w:pPr>
              <w:spacing w:after="0"/>
              <w:rPr>
                <w:sz w:val="2"/>
                <w:szCs w:val="2"/>
                <w:color w:val="auto"/>
              </w:rPr>
            </w:pPr>
          </w:p>
        </w:tc>
        <w:tc>
          <w:tcPr>
            <w:tcW w:w="40" w:type="dxa"/>
            <w:vAlign w:val="bottom"/>
            <w:tcBorders>
              <w:bottom w:val="single" w:sz="8" w:color="E7417A"/>
            </w:tcBorders>
          </w:tcPr>
          <w:p>
            <w:pPr>
              <w:spacing w:after="0"/>
              <w:rPr>
                <w:sz w:val="2"/>
                <w:szCs w:val="2"/>
                <w:color w:val="auto"/>
              </w:rPr>
            </w:pPr>
          </w:p>
        </w:tc>
        <w:tc>
          <w:tcPr>
            <w:tcW w:w="300" w:type="dxa"/>
            <w:vAlign w:val="bottom"/>
            <w:tcBorders>
              <w:bottom w:val="single" w:sz="8" w:color="E7417A"/>
            </w:tcBorders>
          </w:tcPr>
          <w:p>
            <w:pPr>
              <w:spacing w:after="0"/>
              <w:rPr>
                <w:sz w:val="2"/>
                <w:szCs w:val="2"/>
                <w:color w:val="auto"/>
              </w:rPr>
            </w:pPr>
          </w:p>
        </w:tc>
        <w:tc>
          <w:tcPr>
            <w:tcW w:w="400" w:type="dxa"/>
            <w:vAlign w:val="bottom"/>
            <w:tcBorders>
              <w:bottom w:val="single" w:sz="8" w:color="E7417A"/>
            </w:tcBorders>
          </w:tcPr>
          <w:p>
            <w:pPr>
              <w:spacing w:after="0"/>
              <w:rPr>
                <w:sz w:val="2"/>
                <w:szCs w:val="2"/>
                <w:color w:val="auto"/>
              </w:rPr>
            </w:pPr>
          </w:p>
        </w:tc>
        <w:tc>
          <w:tcPr>
            <w:tcW w:w="120" w:type="dxa"/>
            <w:vAlign w:val="bottom"/>
            <w:tcBorders>
              <w:bottom w:val="single" w:sz="8" w:color="E7417A"/>
            </w:tcBorders>
          </w:tcPr>
          <w:p>
            <w:pPr>
              <w:spacing w:after="0"/>
              <w:rPr>
                <w:sz w:val="2"/>
                <w:szCs w:val="2"/>
                <w:color w:val="auto"/>
              </w:rPr>
            </w:pPr>
          </w:p>
        </w:tc>
        <w:tc>
          <w:tcPr>
            <w:tcW w:w="20" w:type="dxa"/>
            <w:vAlign w:val="bottom"/>
            <w:tcBorders>
              <w:bottom w:val="single" w:sz="8" w:color="E7417A"/>
            </w:tcBorders>
          </w:tcPr>
          <w:p>
            <w:pPr>
              <w:spacing w:after="0"/>
              <w:rPr>
                <w:sz w:val="2"/>
                <w:szCs w:val="2"/>
                <w:color w:val="auto"/>
              </w:rPr>
            </w:pPr>
          </w:p>
        </w:tc>
        <w:tc>
          <w:tcPr>
            <w:tcW w:w="220" w:type="dxa"/>
            <w:vAlign w:val="bottom"/>
            <w:tcBorders>
              <w:bottom w:val="single" w:sz="8" w:color="E7417A"/>
            </w:tcBorders>
          </w:tcPr>
          <w:p>
            <w:pPr>
              <w:spacing w:after="0"/>
              <w:rPr>
                <w:sz w:val="2"/>
                <w:szCs w:val="2"/>
                <w:color w:val="auto"/>
              </w:rPr>
            </w:pPr>
          </w:p>
        </w:tc>
        <w:tc>
          <w:tcPr>
            <w:tcW w:w="100" w:type="dxa"/>
            <w:vAlign w:val="bottom"/>
            <w:tcBorders>
              <w:bottom w:val="single" w:sz="8" w:color="E7417A"/>
            </w:tcBorders>
          </w:tcPr>
          <w:p>
            <w:pPr>
              <w:spacing w:after="0"/>
              <w:rPr>
                <w:sz w:val="2"/>
                <w:szCs w:val="2"/>
                <w:color w:val="auto"/>
              </w:rPr>
            </w:pPr>
          </w:p>
        </w:tc>
        <w:tc>
          <w:tcPr>
            <w:tcW w:w="20" w:type="dxa"/>
            <w:vAlign w:val="bottom"/>
            <w:tcBorders>
              <w:bottom w:val="single" w:sz="8" w:color="E7417A"/>
            </w:tcBorders>
          </w:tcPr>
          <w:p>
            <w:pPr>
              <w:spacing w:after="0"/>
              <w:rPr>
                <w:sz w:val="2"/>
                <w:szCs w:val="2"/>
                <w:color w:val="auto"/>
              </w:rPr>
            </w:pPr>
          </w:p>
        </w:tc>
        <w:tc>
          <w:tcPr>
            <w:tcW w:w="340" w:type="dxa"/>
            <w:vAlign w:val="bottom"/>
            <w:tcBorders>
              <w:bottom w:val="single" w:sz="8" w:color="E7417A"/>
            </w:tcBorders>
          </w:tcPr>
          <w:p>
            <w:pPr>
              <w:spacing w:after="0"/>
              <w:rPr>
                <w:sz w:val="2"/>
                <w:szCs w:val="2"/>
                <w:color w:val="auto"/>
              </w:rPr>
            </w:pPr>
          </w:p>
        </w:tc>
        <w:tc>
          <w:tcPr>
            <w:tcW w:w="100" w:type="dxa"/>
            <w:vAlign w:val="bottom"/>
            <w:tcBorders>
              <w:bottom w:val="single" w:sz="8" w:color="E7417A"/>
            </w:tcBorders>
          </w:tcPr>
          <w:p>
            <w:pPr>
              <w:spacing w:after="0"/>
              <w:rPr>
                <w:sz w:val="2"/>
                <w:szCs w:val="2"/>
                <w:color w:val="auto"/>
              </w:rPr>
            </w:pPr>
          </w:p>
        </w:tc>
        <w:tc>
          <w:tcPr>
            <w:tcW w:w="60" w:type="dxa"/>
            <w:vAlign w:val="bottom"/>
            <w:tcBorders>
              <w:bottom w:val="single" w:sz="8" w:color="E7417A"/>
            </w:tcBorders>
          </w:tcPr>
          <w:p>
            <w:pPr>
              <w:spacing w:after="0"/>
              <w:rPr>
                <w:sz w:val="2"/>
                <w:szCs w:val="2"/>
                <w:color w:val="auto"/>
              </w:rPr>
            </w:pPr>
          </w:p>
        </w:tc>
        <w:tc>
          <w:tcPr>
            <w:tcW w:w="140" w:type="dxa"/>
            <w:vAlign w:val="bottom"/>
            <w:tcBorders>
              <w:bottom w:val="single" w:sz="8" w:color="E7417A"/>
            </w:tcBorders>
          </w:tcPr>
          <w:p>
            <w:pPr>
              <w:spacing w:after="0"/>
              <w:rPr>
                <w:sz w:val="2"/>
                <w:szCs w:val="2"/>
                <w:color w:val="auto"/>
              </w:rPr>
            </w:pPr>
          </w:p>
        </w:tc>
        <w:tc>
          <w:tcPr>
            <w:tcW w:w="20" w:type="dxa"/>
            <w:vAlign w:val="bottom"/>
            <w:tcBorders>
              <w:bottom w:val="single" w:sz="8" w:color="E7417A"/>
            </w:tcBorders>
          </w:tcPr>
          <w:p>
            <w:pPr>
              <w:spacing w:after="0"/>
              <w:rPr>
                <w:sz w:val="2"/>
                <w:szCs w:val="2"/>
                <w:color w:val="auto"/>
              </w:rPr>
            </w:pPr>
          </w:p>
        </w:tc>
        <w:tc>
          <w:tcPr>
            <w:tcW w:w="180" w:type="dxa"/>
            <w:vAlign w:val="bottom"/>
            <w:tcBorders>
              <w:bottom w:val="single" w:sz="8" w:color="E7417A"/>
            </w:tcBorders>
          </w:tcPr>
          <w:p>
            <w:pPr>
              <w:spacing w:after="0"/>
              <w:rPr>
                <w:sz w:val="2"/>
                <w:szCs w:val="2"/>
                <w:color w:val="auto"/>
              </w:rPr>
            </w:pPr>
          </w:p>
        </w:tc>
        <w:tc>
          <w:tcPr>
            <w:tcW w:w="20" w:type="dxa"/>
            <w:vAlign w:val="bottom"/>
            <w:tcBorders>
              <w:bottom w:val="single" w:sz="8" w:color="E7417A"/>
            </w:tcBorders>
          </w:tcPr>
          <w:p>
            <w:pPr>
              <w:spacing w:after="0"/>
              <w:rPr>
                <w:sz w:val="2"/>
                <w:szCs w:val="2"/>
                <w:color w:val="auto"/>
              </w:rPr>
            </w:pPr>
          </w:p>
        </w:tc>
        <w:tc>
          <w:tcPr>
            <w:tcW w:w="120" w:type="dxa"/>
            <w:vAlign w:val="bottom"/>
            <w:tcBorders>
              <w:bottom w:val="single" w:sz="8" w:color="E7417A"/>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line="142" w:lineRule="exact"/>
              <w:rPr>
                <w:sz w:val="20"/>
                <w:szCs w:val="20"/>
                <w:color w:val="auto"/>
              </w:rPr>
            </w:pPr>
            <w:r>
              <w:rPr>
                <w:rFonts w:ascii="Arial" w:cs="Arial" w:eastAsia="Arial" w:hAnsi="Arial"/>
                <w:sz w:val="15"/>
                <w:szCs w:val="15"/>
                <w:color w:val="auto"/>
              </w:rPr>
              <w:t>​</w:t>
            </w:r>
          </w:p>
        </w:tc>
        <w:tc>
          <w:tcPr>
            <w:tcW w:w="180" w:type="dxa"/>
            <w:vAlign w:val="bottom"/>
          </w:tcPr>
          <w:p>
            <w:pPr>
              <w:jc w:val="right"/>
              <w:spacing w:after="0" w:line="142" w:lineRule="exact"/>
              <w:rPr>
                <w:sz w:val="20"/>
                <w:szCs w:val="20"/>
                <w:color w:val="auto"/>
              </w:rPr>
            </w:pPr>
            <w:r>
              <w:rPr>
                <w:rFonts w:ascii="Arial" w:cs="Arial" w:eastAsia="Arial" w:hAnsi="Arial"/>
                <w:sz w:val="15"/>
                <w:szCs w:val="15"/>
                <w:color w:val="0000EE"/>
                <w:w w:val="83"/>
              </w:rPr>
              <w:t>48</w:t>
            </w:r>
          </w:p>
        </w:tc>
        <w:tc>
          <w:tcPr>
            <w:tcW w:w="3600" w:type="dxa"/>
            <w:vAlign w:val="bottom"/>
            <w:gridSpan w:val="19"/>
          </w:tcPr>
          <w:p>
            <w:pPr>
              <w:ind w:left="140"/>
              <w:spacing w:after="0" w:line="142" w:lineRule="exact"/>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color w:val="0000EE"/>
              </w:rPr>
              <w:t>Stock Ownership Requirements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ind w:left="20"/>
              <w:spacing w:after="0" w:line="14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1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0000EE"/>
            </w:tcBorders>
          </w:tcPr>
          <w:p>
            <w:pPr>
              <w:jc w:val="right"/>
              <w:spacing w:after="0" w:line="162" w:lineRule="exact"/>
              <w:rPr>
                <w:sz w:val="20"/>
                <w:szCs w:val="20"/>
                <w:color w:val="auto"/>
              </w:rPr>
            </w:pPr>
            <w:r>
              <w:rPr>
                <w:rFonts w:ascii="Arial" w:cs="Arial" w:eastAsia="Arial" w:hAnsi="Arial"/>
                <w:sz w:val="15"/>
                <w:szCs w:val="15"/>
                <w:color w:val="0000EE"/>
                <w:w w:val="83"/>
              </w:rPr>
              <w:t>49</w:t>
            </w:r>
          </w:p>
        </w:tc>
        <w:tc>
          <w:tcPr>
            <w:tcW w:w="360" w:type="dxa"/>
            <w:vAlign w:val="bottom"/>
          </w:tcPr>
          <w:p>
            <w:pPr>
              <w:ind w:left="140"/>
              <w:spacing w:after="0" w:line="162" w:lineRule="exact"/>
              <w:rPr>
                <w:sz w:val="20"/>
                <w:szCs w:val="20"/>
                <w:color w:val="auto"/>
              </w:rPr>
            </w:pPr>
            <w:r>
              <w:rPr>
                <w:rFonts w:ascii="Arial" w:cs="Arial" w:eastAsia="Arial" w:hAnsi="Arial"/>
                <w:sz w:val="15"/>
                <w:szCs w:val="15"/>
                <w:color w:val="auto"/>
              </w:rPr>
              <w:t>​ ​</w:t>
            </w:r>
          </w:p>
        </w:tc>
        <w:tc>
          <w:tcPr>
            <w:tcW w:w="2220" w:type="dxa"/>
            <w:vAlign w:val="bottom"/>
            <w:tcBorders>
              <w:top w:val="single" w:sz="8" w:color="0000EE"/>
            </w:tcBorders>
            <w:gridSpan w:val="9"/>
          </w:tcPr>
          <w:p>
            <w:pPr>
              <w:spacing w:after="0" w:line="162" w:lineRule="exact"/>
              <w:rPr>
                <w:sz w:val="20"/>
                <w:szCs w:val="20"/>
                <w:color w:val="auto"/>
              </w:rPr>
            </w:pPr>
            <w:r>
              <w:rPr>
                <w:rFonts w:ascii="Arial" w:cs="Arial" w:eastAsia="Arial" w:hAnsi="Arial"/>
                <w:sz w:val="15"/>
                <w:szCs w:val="15"/>
                <w:color w:val="0000EE"/>
              </w:rPr>
              <w:t>Clawback Policy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ind w:left="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0000EE"/>
            </w:tcBorders>
          </w:tcPr>
          <w:p>
            <w:pPr>
              <w:jc w:val="right"/>
              <w:spacing w:after="0" w:line="169" w:lineRule="exact"/>
              <w:rPr>
                <w:sz w:val="20"/>
                <w:szCs w:val="20"/>
                <w:color w:val="auto"/>
              </w:rPr>
            </w:pPr>
            <w:r>
              <w:rPr>
                <w:rFonts w:ascii="Arial" w:cs="Arial" w:eastAsia="Arial" w:hAnsi="Arial"/>
                <w:sz w:val="15"/>
                <w:szCs w:val="15"/>
                <w:color w:val="0000EE"/>
                <w:w w:val="83"/>
              </w:rPr>
              <w:t>49</w:t>
            </w:r>
          </w:p>
        </w:tc>
        <w:tc>
          <w:tcPr>
            <w:tcW w:w="360" w:type="dxa"/>
            <w:vAlign w:val="bottom"/>
          </w:tcPr>
          <w:p>
            <w:pPr>
              <w:ind w:left="140"/>
              <w:spacing w:after="0" w:line="169" w:lineRule="exact"/>
              <w:rPr>
                <w:sz w:val="20"/>
                <w:szCs w:val="20"/>
                <w:color w:val="auto"/>
              </w:rPr>
            </w:pPr>
            <w:r>
              <w:rPr>
                <w:rFonts w:ascii="Arial" w:cs="Arial" w:eastAsia="Arial" w:hAnsi="Arial"/>
                <w:sz w:val="15"/>
                <w:szCs w:val="15"/>
                <w:color w:val="auto"/>
              </w:rPr>
              <w:t>​ ​</w:t>
            </w:r>
          </w:p>
        </w:tc>
        <w:tc>
          <w:tcPr>
            <w:tcW w:w="1160" w:type="dxa"/>
            <w:vAlign w:val="bottom"/>
            <w:tcBorders>
              <w:top w:val="single" w:sz="8" w:color="0000EE"/>
            </w:tcBorders>
            <w:gridSpan w:val="4"/>
          </w:tcPr>
          <w:p>
            <w:pPr>
              <w:spacing w:after="0" w:line="169" w:lineRule="exact"/>
              <w:rPr>
                <w:sz w:val="20"/>
                <w:szCs w:val="20"/>
                <w:color w:val="auto"/>
              </w:rPr>
            </w:pPr>
            <w:r>
              <w:rPr>
                <w:rFonts w:ascii="Arial" w:cs="Arial" w:eastAsia="Arial" w:hAnsi="Arial"/>
                <w:sz w:val="15"/>
                <w:szCs w:val="15"/>
                <w:color w:val="0000EE"/>
              </w:rPr>
              <w:t>Insider Trading</w:t>
            </w:r>
          </w:p>
        </w:tc>
        <w:tc>
          <w:tcPr>
            <w:tcW w:w="2080" w:type="dxa"/>
            <w:vAlign w:val="bottom"/>
            <w:gridSpan w:val="14"/>
          </w:tcPr>
          <w:p>
            <w:pPr>
              <w:spacing w:after="0" w:line="169" w:lineRule="exact"/>
              <w:rPr>
                <w:sz w:val="20"/>
                <w:szCs w:val="20"/>
                <w:color w:val="auto"/>
              </w:rPr>
            </w:pPr>
            <w:r>
              <w:rPr>
                <w:rFonts w:ascii="Arial" w:cs="Arial" w:eastAsia="Arial" w:hAnsi="Arial"/>
                <w:sz w:val="15"/>
                <w:szCs w:val="15"/>
                <w:color w:val="0000EE"/>
              </w:rPr>
              <w:t>Policy and Policy Regarding</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ind w:left="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360" w:type="dxa"/>
            <w:vAlign w:val="bottom"/>
          </w:tcPr>
          <w:p>
            <w:pPr>
              <w:spacing w:after="0"/>
              <w:rPr>
                <w:sz w:val="12"/>
                <w:szCs w:val="12"/>
                <w:color w:val="auto"/>
              </w:rPr>
            </w:pPr>
          </w:p>
        </w:tc>
        <w:tc>
          <w:tcPr>
            <w:tcW w:w="3080" w:type="dxa"/>
            <w:vAlign w:val="bottom"/>
            <w:tcBorders>
              <w:top w:val="single" w:sz="8" w:color="0000EE"/>
              <w:bottom w:val="single" w:sz="8" w:color="0000EE"/>
            </w:tcBorders>
            <w:gridSpan w:val="16"/>
          </w:tcPr>
          <w:p>
            <w:pPr>
              <w:spacing w:after="0" w:line="142" w:lineRule="exact"/>
              <w:rPr>
                <w:sz w:val="20"/>
                <w:szCs w:val="20"/>
                <w:color w:val="auto"/>
              </w:rPr>
            </w:pPr>
            <w:r>
              <w:rPr>
                <w:rFonts w:ascii="Arial" w:cs="Arial" w:eastAsia="Arial" w:hAnsi="Arial"/>
                <w:sz w:val="15"/>
                <w:szCs w:val="15"/>
                <w:color w:val="0000EE"/>
                <w:w w:val="99"/>
              </w:rPr>
              <w:t>Transactions Involving Hedging, Monetization,</w:t>
            </w:r>
          </w:p>
        </w:tc>
        <w:tc>
          <w:tcPr>
            <w:tcW w:w="160" w:type="dxa"/>
            <w:vAlign w:val="bottom"/>
            <w:tcBorders>
              <w:bottom w:val="single" w:sz="8" w:color="0000EE"/>
            </w:tcBorders>
            <w:gridSpan w:val="2"/>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40" w:type="dxa"/>
            <w:vAlign w:val="bottom"/>
            <w:gridSpan w:val="18"/>
          </w:tcPr>
          <w:p>
            <w:pPr>
              <w:spacing w:after="0" w:line="156" w:lineRule="exact"/>
              <w:rPr>
                <w:sz w:val="20"/>
                <w:szCs w:val="20"/>
                <w:color w:val="auto"/>
              </w:rPr>
            </w:pPr>
            <w:r>
              <w:rPr>
                <w:rFonts w:ascii="Arial" w:cs="Arial" w:eastAsia="Arial" w:hAnsi="Arial"/>
                <w:sz w:val="15"/>
                <w:szCs w:val="15"/>
                <w:color w:val="0000EE"/>
              </w:rPr>
              <w:t>Margin Accounts and Pledges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0000EE"/>
                <w:w w:val="83"/>
              </w:rPr>
              <w:t>49</w:t>
            </w:r>
          </w:p>
        </w:tc>
        <w:tc>
          <w:tcPr>
            <w:tcW w:w="360" w:type="dxa"/>
            <w:vAlign w:val="bottom"/>
          </w:tcPr>
          <w:p>
            <w:pPr>
              <w:ind w:left="140"/>
              <w:spacing w:after="0"/>
              <w:rPr>
                <w:sz w:val="20"/>
                <w:szCs w:val="20"/>
                <w:color w:val="auto"/>
              </w:rPr>
            </w:pPr>
            <w:r>
              <w:rPr>
                <w:rFonts w:ascii="Arial" w:cs="Arial" w:eastAsia="Arial" w:hAnsi="Arial"/>
                <w:sz w:val="15"/>
                <w:szCs w:val="15"/>
                <w:color w:val="auto"/>
              </w:rPr>
              <w:t>​ ​</w:t>
            </w:r>
          </w:p>
        </w:tc>
        <w:tc>
          <w:tcPr>
            <w:tcW w:w="2100" w:type="dxa"/>
            <w:vAlign w:val="bottom"/>
            <w:tcBorders>
              <w:top w:val="single" w:sz="8" w:color="0000EE"/>
            </w:tcBorders>
            <w:gridSpan w:val="8"/>
          </w:tcPr>
          <w:p>
            <w:pPr>
              <w:spacing w:after="0"/>
              <w:rPr>
                <w:sz w:val="20"/>
                <w:szCs w:val="20"/>
                <w:color w:val="auto"/>
              </w:rPr>
            </w:pPr>
            <w:r>
              <w:rPr>
                <w:rFonts w:ascii="Arial" w:cs="Arial" w:eastAsia="Arial" w:hAnsi="Arial"/>
                <w:sz w:val="15"/>
                <w:szCs w:val="15"/>
                <w:color w:val="0000EE"/>
              </w:rPr>
              <w:t>Timing of Stock Options and</w:t>
            </w:r>
          </w:p>
        </w:tc>
        <w:tc>
          <w:tcPr>
            <w:tcW w:w="1140" w:type="dxa"/>
            <w:vAlign w:val="bottom"/>
            <w:gridSpan w:val="10"/>
          </w:tcPr>
          <w:p>
            <w:pPr>
              <w:spacing w:after="0"/>
              <w:rPr>
                <w:sz w:val="20"/>
                <w:szCs w:val="20"/>
                <w:color w:val="auto"/>
              </w:rPr>
            </w:pPr>
            <w:r>
              <w:rPr>
                <w:rFonts w:ascii="Arial" w:cs="Arial" w:eastAsia="Arial" w:hAnsi="Arial"/>
                <w:sz w:val="15"/>
                <w:szCs w:val="15"/>
                <w:color w:val="0000EE"/>
              </w:rPr>
              <w:t>Other Equity</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2"/>
        </w:trPr>
        <w:tc>
          <w:tcPr>
            <w:tcW w:w="12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180" w:type="dxa"/>
            <w:vAlign w:val="bottom"/>
            <w:tcBorders>
              <w:top w:val="single" w:sz="8" w:color="0000EE"/>
            </w:tcBorders>
          </w:tcPr>
          <w:p>
            <w:pPr>
              <w:spacing w:after="0"/>
              <w:rPr>
                <w:sz w:val="12"/>
                <w:szCs w:val="12"/>
                <w:color w:val="auto"/>
              </w:rPr>
            </w:pPr>
          </w:p>
        </w:tc>
        <w:tc>
          <w:tcPr>
            <w:tcW w:w="3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 ​</w:t>
            </w:r>
          </w:p>
        </w:tc>
        <w:tc>
          <w:tcPr>
            <w:tcW w:w="520" w:type="dxa"/>
            <w:vAlign w:val="bottom"/>
            <w:tcBorders>
              <w:top w:val="single" w:sz="8" w:color="0000EE"/>
              <w:bottom w:val="single" w:sz="8" w:color="0000EE"/>
            </w:tcBorders>
          </w:tcPr>
          <w:p>
            <w:pPr>
              <w:spacing w:after="0" w:line="142" w:lineRule="exact"/>
              <w:rPr>
                <w:sz w:val="20"/>
                <w:szCs w:val="20"/>
                <w:color w:val="auto"/>
              </w:rPr>
            </w:pPr>
            <w:r>
              <w:rPr>
                <w:rFonts w:ascii="Arial" w:cs="Arial" w:eastAsia="Arial" w:hAnsi="Arial"/>
                <w:sz w:val="15"/>
                <w:szCs w:val="15"/>
                <w:color w:val="0000EE"/>
                <w:w w:val="99"/>
              </w:rPr>
              <w:t>Awards</w:t>
            </w:r>
          </w:p>
        </w:tc>
        <w:tc>
          <w:tcPr>
            <w:tcW w:w="2400" w:type="dxa"/>
            <w:vAlign w:val="bottom"/>
            <w:tcBorders>
              <w:top w:val="single" w:sz="8" w:color="0000EE"/>
            </w:tcBorders>
            <w:gridSpan w:val="13"/>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gridSpan w:val="3"/>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0" w:type="dxa"/>
            <w:vAlign w:val="bottom"/>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5"/>
                <w:szCs w:val="15"/>
                <w:b w:val="1"/>
                <w:bCs w:val="1"/>
                <w:color w:val="0000EE"/>
                <w:w w:val="95"/>
              </w:rPr>
              <w:t>49</w:t>
            </w:r>
          </w:p>
        </w:tc>
        <w:tc>
          <w:tcPr>
            <w:tcW w:w="360" w:type="dxa"/>
            <w:vAlign w:val="bottom"/>
            <w:vMerge w:val="continue"/>
          </w:tcPr>
          <w:p>
            <w:pPr>
              <w:spacing w:after="0"/>
              <w:rPr>
                <w:sz w:val="22"/>
                <w:szCs w:val="22"/>
                <w:color w:val="auto"/>
              </w:rPr>
            </w:pPr>
          </w:p>
        </w:tc>
        <w:tc>
          <w:tcPr>
            <w:tcW w:w="3560" w:type="dxa"/>
            <w:vAlign w:val="bottom"/>
            <w:gridSpan w:val="21"/>
          </w:tcPr>
          <w:p>
            <w:pPr>
              <w:spacing w:after="0" w:line="264" w:lineRule="exact"/>
              <w:rPr>
                <w:sz w:val="20"/>
                <w:szCs w:val="20"/>
                <w:color w:val="auto"/>
              </w:rPr>
            </w:pPr>
            <w:r>
              <w:rPr>
                <w:rFonts w:ascii="Arial" w:cs="Arial" w:eastAsia="Arial" w:hAnsi="Arial"/>
                <w:sz w:val="15"/>
                <w:szCs w:val="15"/>
                <w:b w:val="1"/>
                <w:bCs w:val="1"/>
                <w:color w:val="0000EE"/>
              </w:rPr>
              <w:t xml:space="preserve">TAX AND ACCOUNTING CONSIDERATIONS </w:t>
            </w:r>
            <w:r>
              <w:rPr>
                <w:rFonts w:ascii="Arial" w:cs="Arial" w:eastAsia="Arial" w:hAnsi="Arial"/>
                <w:sz w:val="30"/>
                <w:szCs w:val="30"/>
                <w:b w:val="1"/>
                <w:bCs w:val="1"/>
                <w:color w:val="000000"/>
                <w:vertAlign w:val="superscript"/>
              </w:rPr>
              <w:t>​</w:t>
            </w:r>
          </w:p>
        </w:tc>
        <w:tc>
          <w:tcPr>
            <w:tcW w:w="0" w:type="dxa"/>
            <w:vAlign w:val="bottom"/>
          </w:tcPr>
          <w:p>
            <w:pPr>
              <w:spacing w:after="0"/>
              <w:rPr>
                <w:sz w:val="1"/>
                <w:szCs w:val="1"/>
                <w:color w:val="auto"/>
              </w:rPr>
            </w:pPr>
          </w:p>
        </w:tc>
      </w:tr>
      <w:tr>
        <w:trPr>
          <w:trHeight w:val="20"/>
        </w:trPr>
        <w:tc>
          <w:tcPr>
            <w:tcW w:w="120" w:type="dxa"/>
            <w:vAlign w:val="bottom"/>
            <w:tcBorders>
              <w:bottom w:val="single" w:sz="8" w:color="E7417A"/>
            </w:tcBorders>
          </w:tcPr>
          <w:p>
            <w:pPr>
              <w:spacing w:after="0" w:line="20" w:lineRule="exact"/>
              <w:rPr>
                <w:sz w:val="1"/>
                <w:szCs w:val="1"/>
                <w:color w:val="auto"/>
              </w:rPr>
            </w:pPr>
          </w:p>
        </w:tc>
        <w:tc>
          <w:tcPr>
            <w:tcW w:w="180" w:type="dxa"/>
            <w:vAlign w:val="bottom"/>
            <w:tcBorders>
              <w:top w:val="single" w:sz="8" w:color="0000EE"/>
              <w:bottom w:val="single" w:sz="8" w:color="E7417A"/>
            </w:tcBorders>
          </w:tcPr>
          <w:p>
            <w:pPr>
              <w:spacing w:after="0" w:line="20" w:lineRule="exact"/>
              <w:rPr>
                <w:sz w:val="1"/>
                <w:szCs w:val="1"/>
                <w:color w:val="auto"/>
              </w:rPr>
            </w:pPr>
          </w:p>
        </w:tc>
        <w:tc>
          <w:tcPr>
            <w:tcW w:w="360" w:type="dxa"/>
            <w:vAlign w:val="bottom"/>
            <w:tcBorders>
              <w:bottom w:val="single" w:sz="8" w:color="E7417A"/>
            </w:tcBorders>
          </w:tcPr>
          <w:p>
            <w:pPr>
              <w:spacing w:after="0" w:line="20" w:lineRule="exact"/>
              <w:rPr>
                <w:sz w:val="1"/>
                <w:szCs w:val="1"/>
                <w:color w:val="auto"/>
              </w:rPr>
            </w:pPr>
          </w:p>
        </w:tc>
        <w:tc>
          <w:tcPr>
            <w:tcW w:w="520" w:type="dxa"/>
            <w:vAlign w:val="bottom"/>
            <w:tcBorders>
              <w:top w:val="single" w:sz="8" w:color="0000EE"/>
              <w:bottom w:val="single" w:sz="8" w:color="E7417A"/>
            </w:tcBorders>
          </w:tcPr>
          <w:p>
            <w:pPr>
              <w:spacing w:after="0" w:line="20" w:lineRule="exact"/>
              <w:rPr>
                <w:sz w:val="1"/>
                <w:szCs w:val="1"/>
                <w:color w:val="auto"/>
              </w:rPr>
            </w:pPr>
          </w:p>
        </w:tc>
        <w:tc>
          <w:tcPr>
            <w:tcW w:w="420" w:type="dxa"/>
            <w:vAlign w:val="bottom"/>
            <w:tcBorders>
              <w:top w:val="single" w:sz="8" w:color="0000EE"/>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20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300" w:type="dxa"/>
            <w:vAlign w:val="bottom"/>
            <w:tcBorders>
              <w:top w:val="single" w:sz="8" w:color="0000EE"/>
              <w:bottom w:val="single" w:sz="8" w:color="E7417A"/>
            </w:tcBorders>
          </w:tcPr>
          <w:p>
            <w:pPr>
              <w:spacing w:after="0" w:line="20" w:lineRule="exact"/>
              <w:rPr>
                <w:sz w:val="1"/>
                <w:szCs w:val="1"/>
                <w:color w:val="auto"/>
              </w:rPr>
            </w:pPr>
          </w:p>
        </w:tc>
        <w:tc>
          <w:tcPr>
            <w:tcW w:w="400" w:type="dxa"/>
            <w:vAlign w:val="bottom"/>
            <w:tcBorders>
              <w:top w:val="single" w:sz="8" w:color="0000EE"/>
              <w:bottom w:val="single" w:sz="8" w:color="E7417A"/>
            </w:tcBorders>
          </w:tcPr>
          <w:p>
            <w:pPr>
              <w:spacing w:after="0" w:line="20" w:lineRule="exact"/>
              <w:rPr>
                <w:sz w:val="1"/>
                <w:szCs w:val="1"/>
                <w:color w:val="auto"/>
              </w:rPr>
            </w:pPr>
          </w:p>
        </w:tc>
        <w:tc>
          <w:tcPr>
            <w:tcW w:w="12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220" w:type="dxa"/>
            <w:vAlign w:val="bottom"/>
            <w:tcBorders>
              <w:top w:val="single" w:sz="8" w:color="0000EE"/>
              <w:bottom w:val="single" w:sz="8" w:color="E7417A"/>
            </w:tcBorders>
          </w:tcPr>
          <w:p>
            <w:pPr>
              <w:spacing w:after="0" w:line="20" w:lineRule="exact"/>
              <w:rPr>
                <w:sz w:val="1"/>
                <w:szCs w:val="1"/>
                <w:color w:val="auto"/>
              </w:rPr>
            </w:pPr>
          </w:p>
        </w:tc>
        <w:tc>
          <w:tcPr>
            <w:tcW w:w="10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340" w:type="dxa"/>
            <w:vAlign w:val="bottom"/>
            <w:tcBorders>
              <w:top w:val="single" w:sz="8" w:color="0000EE"/>
              <w:bottom w:val="single" w:sz="8" w:color="E7417A"/>
            </w:tcBorders>
          </w:tcPr>
          <w:p>
            <w:pPr>
              <w:spacing w:after="0" w:line="20" w:lineRule="exact"/>
              <w:rPr>
                <w:sz w:val="1"/>
                <w:szCs w:val="1"/>
                <w:color w:val="auto"/>
              </w:rPr>
            </w:pPr>
          </w:p>
        </w:tc>
        <w:tc>
          <w:tcPr>
            <w:tcW w:w="100" w:type="dxa"/>
            <w:vAlign w:val="bottom"/>
            <w:tcBorders>
              <w:top w:val="single" w:sz="8" w:color="0000EE"/>
              <w:bottom w:val="single" w:sz="8" w:color="E7417A"/>
            </w:tcBorders>
          </w:tcPr>
          <w:p>
            <w:pPr>
              <w:spacing w:after="0" w:line="20" w:lineRule="exact"/>
              <w:rPr>
                <w:sz w:val="1"/>
                <w:szCs w:val="1"/>
                <w:color w:val="auto"/>
              </w:rPr>
            </w:pPr>
          </w:p>
        </w:tc>
        <w:tc>
          <w:tcPr>
            <w:tcW w:w="6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18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2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line="156" w:lineRule="exact"/>
              <w:rPr>
                <w:sz w:val="20"/>
                <w:szCs w:val="20"/>
                <w:color w:val="auto"/>
              </w:rPr>
            </w:pPr>
            <w:r>
              <w:rPr>
                <w:rFonts w:ascii="Arial" w:cs="Arial" w:eastAsia="Arial" w:hAnsi="Arial"/>
                <w:sz w:val="15"/>
                <w:szCs w:val="15"/>
                <w:color w:val="auto"/>
              </w:rPr>
              <w:t>​</w:t>
            </w:r>
          </w:p>
        </w:tc>
        <w:tc>
          <w:tcPr>
            <w:tcW w:w="180" w:type="dxa"/>
            <w:vAlign w:val="bottom"/>
          </w:tcPr>
          <w:p>
            <w:pPr>
              <w:jc w:val="right"/>
              <w:spacing w:after="0" w:line="156" w:lineRule="exact"/>
              <w:rPr>
                <w:sz w:val="20"/>
                <w:szCs w:val="20"/>
                <w:color w:val="auto"/>
              </w:rPr>
            </w:pPr>
            <w:r>
              <w:rPr>
                <w:rFonts w:ascii="Arial" w:cs="Arial" w:eastAsia="Arial" w:hAnsi="Arial"/>
                <w:sz w:val="15"/>
                <w:szCs w:val="15"/>
                <w:color w:val="0000EE"/>
                <w:w w:val="83"/>
              </w:rPr>
              <w:t>49</w:t>
            </w:r>
          </w:p>
        </w:tc>
        <w:tc>
          <w:tcPr>
            <w:tcW w:w="3600" w:type="dxa"/>
            <w:vAlign w:val="bottom"/>
            <w:gridSpan w:val="19"/>
          </w:tcPr>
          <w:p>
            <w:pPr>
              <w:ind w:left="140"/>
              <w:spacing w:after="0" w:line="156" w:lineRule="exact"/>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color w:val="0000EE"/>
              </w:rPr>
              <w:t>Accounting for Stock-Based Compensation</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ind w:left="2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0000EE"/>
            </w:tcBorders>
          </w:tcPr>
          <w:p>
            <w:pPr>
              <w:jc w:val="right"/>
              <w:spacing w:after="0" w:line="169" w:lineRule="exact"/>
              <w:rPr>
                <w:sz w:val="20"/>
                <w:szCs w:val="20"/>
                <w:color w:val="auto"/>
              </w:rPr>
            </w:pPr>
            <w:r>
              <w:rPr>
                <w:rFonts w:ascii="Arial" w:cs="Arial" w:eastAsia="Arial" w:hAnsi="Arial"/>
                <w:sz w:val="15"/>
                <w:szCs w:val="15"/>
                <w:color w:val="0000EE"/>
                <w:w w:val="83"/>
              </w:rPr>
              <w:t>50</w:t>
            </w:r>
          </w:p>
        </w:tc>
        <w:tc>
          <w:tcPr>
            <w:tcW w:w="360" w:type="dxa"/>
            <w:vAlign w:val="bottom"/>
          </w:tcPr>
          <w:p>
            <w:pPr>
              <w:ind w:left="140"/>
              <w:spacing w:after="0" w:line="169" w:lineRule="exact"/>
              <w:rPr>
                <w:sz w:val="20"/>
                <w:szCs w:val="20"/>
                <w:color w:val="auto"/>
              </w:rPr>
            </w:pPr>
            <w:r>
              <w:rPr>
                <w:rFonts w:ascii="Arial" w:cs="Arial" w:eastAsia="Arial" w:hAnsi="Arial"/>
                <w:sz w:val="15"/>
                <w:szCs w:val="15"/>
                <w:color w:val="auto"/>
              </w:rPr>
              <w:t>​ ​</w:t>
            </w:r>
          </w:p>
        </w:tc>
        <w:tc>
          <w:tcPr>
            <w:tcW w:w="3020" w:type="dxa"/>
            <w:vAlign w:val="bottom"/>
            <w:tcBorders>
              <w:top w:val="single" w:sz="8" w:color="0000EE"/>
            </w:tcBorders>
            <w:gridSpan w:val="15"/>
          </w:tcPr>
          <w:p>
            <w:pPr>
              <w:spacing w:after="0" w:line="169" w:lineRule="exact"/>
              <w:rPr>
                <w:sz w:val="20"/>
                <w:szCs w:val="20"/>
                <w:color w:val="auto"/>
              </w:rPr>
            </w:pPr>
            <w:r>
              <w:rPr>
                <w:rFonts w:ascii="Arial" w:cs="Arial" w:eastAsia="Arial" w:hAnsi="Arial"/>
                <w:sz w:val="15"/>
                <w:szCs w:val="15"/>
                <w:color w:val="0000EE"/>
              </w:rPr>
              <w:t>Policy on Deductibility of Executive</w:t>
            </w:r>
          </w:p>
        </w:tc>
        <w:tc>
          <w:tcPr>
            <w:tcW w:w="22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ind w:left="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Borders>
              <w:top w:val="single" w:sz="8" w:color="0000EE"/>
              <w:bottom w:val="single" w:sz="8" w:color="0000EE"/>
            </w:tcBorders>
            <w:gridSpan w:val="3"/>
          </w:tcPr>
          <w:p>
            <w:pPr>
              <w:spacing w:after="0" w:line="142" w:lineRule="exact"/>
              <w:rPr>
                <w:sz w:val="20"/>
                <w:szCs w:val="20"/>
                <w:color w:val="auto"/>
              </w:rPr>
            </w:pPr>
            <w:r>
              <w:rPr>
                <w:rFonts w:ascii="Arial" w:cs="Arial" w:eastAsia="Arial" w:hAnsi="Arial"/>
                <w:sz w:val="15"/>
                <w:szCs w:val="15"/>
                <w:color w:val="0000EE"/>
              </w:rPr>
              <w:t>Compensation</w:t>
            </w:r>
          </w:p>
        </w:tc>
        <w:tc>
          <w:tcPr>
            <w:tcW w:w="1440" w:type="dxa"/>
            <w:vAlign w:val="bottom"/>
            <w:tcBorders>
              <w:top w:val="single" w:sz="8" w:color="0000EE"/>
            </w:tcBorders>
            <w:gridSpan w:val="8"/>
          </w:tcPr>
          <w:p>
            <w:pPr>
              <w:spacing w:after="0"/>
              <w:rPr>
                <w:sz w:val="12"/>
                <w:szCs w:val="12"/>
                <w:color w:val="auto"/>
              </w:rPr>
            </w:pPr>
          </w:p>
        </w:tc>
        <w:tc>
          <w:tcPr>
            <w:tcW w:w="780" w:type="dxa"/>
            <w:vAlign w:val="bottom"/>
            <w:gridSpan w:val="7"/>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jc w:val="right"/>
              <w:spacing w:after="0"/>
              <w:rPr>
                <w:sz w:val="20"/>
                <w:szCs w:val="20"/>
                <w:color w:val="auto"/>
              </w:rPr>
            </w:pPr>
            <w:r>
              <w:rPr>
                <w:rFonts w:ascii="Arial" w:cs="Arial" w:eastAsia="Arial" w:hAnsi="Arial"/>
                <w:sz w:val="15"/>
                <w:szCs w:val="15"/>
                <w:b w:val="1"/>
                <w:bCs w:val="1"/>
                <w:color w:val="0000EE"/>
                <w:w w:val="95"/>
              </w:rPr>
              <w:t>50</w:t>
            </w:r>
          </w:p>
        </w:tc>
        <w:tc>
          <w:tcPr>
            <w:tcW w:w="360" w:type="dxa"/>
            <w:vAlign w:val="bottom"/>
          </w:tcPr>
          <w:p>
            <w:pPr>
              <w:ind w:left="140"/>
              <w:spacing w:after="0"/>
              <w:rPr>
                <w:sz w:val="20"/>
                <w:szCs w:val="20"/>
                <w:color w:val="auto"/>
              </w:rPr>
            </w:pPr>
            <w:r>
              <w:rPr>
                <w:rFonts w:ascii="Arial" w:cs="Arial" w:eastAsia="Arial" w:hAnsi="Arial"/>
                <w:sz w:val="15"/>
                <w:szCs w:val="15"/>
                <w:b w:val="1"/>
                <w:bCs w:val="1"/>
                <w:color w:val="auto"/>
              </w:rPr>
              <w:t>​ ​</w:t>
            </w:r>
          </w:p>
        </w:tc>
        <w:tc>
          <w:tcPr>
            <w:tcW w:w="3560" w:type="dxa"/>
            <w:vAlign w:val="bottom"/>
            <w:gridSpan w:val="21"/>
          </w:tcPr>
          <w:p>
            <w:pPr>
              <w:spacing w:after="0" w:line="264" w:lineRule="exact"/>
              <w:rPr>
                <w:sz w:val="20"/>
                <w:szCs w:val="20"/>
                <w:color w:val="auto"/>
              </w:rPr>
            </w:pPr>
            <w:r>
              <w:rPr>
                <w:rFonts w:ascii="Arial" w:cs="Arial" w:eastAsia="Arial" w:hAnsi="Arial"/>
                <w:sz w:val="15"/>
                <w:szCs w:val="15"/>
                <w:b w:val="1"/>
                <w:bCs w:val="1"/>
                <w:color w:val="0000EE"/>
              </w:rPr>
              <w:t xml:space="preserve">RISK MANAGEMENT AND OUR EXECUTIVE </w:t>
            </w:r>
            <w:r>
              <w:rPr>
                <w:rFonts w:ascii="Arial" w:cs="Arial" w:eastAsia="Arial" w:hAnsi="Arial"/>
                <w:sz w:val="30"/>
                <w:szCs w:val="30"/>
                <w:b w:val="1"/>
                <w:bCs w:val="1"/>
                <w:color w:val="000000"/>
                <w:vertAlign w:val="superscript"/>
              </w:rPr>
              <w:t>​</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360" w:type="dxa"/>
            <w:vAlign w:val="bottom"/>
          </w:tcPr>
          <w:p>
            <w:pPr>
              <w:spacing w:after="0"/>
              <w:rPr>
                <w:sz w:val="12"/>
                <w:szCs w:val="12"/>
                <w:color w:val="auto"/>
              </w:rPr>
            </w:pPr>
          </w:p>
        </w:tc>
        <w:tc>
          <w:tcPr>
            <w:tcW w:w="3240" w:type="dxa"/>
            <w:vAlign w:val="bottom"/>
            <w:tcBorders>
              <w:top w:val="single" w:sz="8" w:color="0000EE"/>
            </w:tcBorders>
            <w:gridSpan w:val="18"/>
          </w:tcPr>
          <w:p>
            <w:pPr>
              <w:spacing w:after="0" w:line="142" w:lineRule="exact"/>
              <w:rPr>
                <w:sz w:val="20"/>
                <w:szCs w:val="20"/>
                <w:color w:val="auto"/>
              </w:rPr>
            </w:pPr>
            <w:r>
              <w:rPr>
                <w:rFonts w:ascii="Arial" w:cs="Arial" w:eastAsia="Arial" w:hAnsi="Arial"/>
                <w:sz w:val="15"/>
                <w:szCs w:val="15"/>
                <w:b w:val="1"/>
                <w:bCs w:val="1"/>
                <w:color w:val="0000EE"/>
              </w:rPr>
              <w:t>COMPENSATION PROGRAM</w:t>
            </w:r>
          </w:p>
        </w:tc>
        <w:tc>
          <w:tcPr>
            <w:tcW w:w="1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7417A"/>
            </w:tcBorders>
          </w:tcPr>
          <w:p>
            <w:pPr>
              <w:spacing w:after="0" w:line="20" w:lineRule="exact"/>
              <w:rPr>
                <w:sz w:val="1"/>
                <w:szCs w:val="1"/>
                <w:color w:val="auto"/>
              </w:rPr>
            </w:pPr>
          </w:p>
        </w:tc>
        <w:tc>
          <w:tcPr>
            <w:tcW w:w="180" w:type="dxa"/>
            <w:vAlign w:val="bottom"/>
            <w:tcBorders>
              <w:bottom w:val="single" w:sz="8" w:color="E7417A"/>
            </w:tcBorders>
          </w:tcPr>
          <w:p>
            <w:pPr>
              <w:spacing w:after="0" w:line="20" w:lineRule="exact"/>
              <w:rPr>
                <w:sz w:val="1"/>
                <w:szCs w:val="1"/>
                <w:color w:val="auto"/>
              </w:rPr>
            </w:pPr>
          </w:p>
        </w:tc>
        <w:tc>
          <w:tcPr>
            <w:tcW w:w="360" w:type="dxa"/>
            <w:vAlign w:val="bottom"/>
            <w:tcBorders>
              <w:bottom w:val="single" w:sz="8" w:color="E7417A"/>
            </w:tcBorders>
          </w:tcPr>
          <w:p>
            <w:pPr>
              <w:spacing w:after="0" w:line="20" w:lineRule="exact"/>
              <w:rPr>
                <w:sz w:val="1"/>
                <w:szCs w:val="1"/>
                <w:color w:val="auto"/>
              </w:rPr>
            </w:pPr>
          </w:p>
        </w:tc>
        <w:tc>
          <w:tcPr>
            <w:tcW w:w="520" w:type="dxa"/>
            <w:vAlign w:val="bottom"/>
            <w:tcBorders>
              <w:top w:val="single" w:sz="8" w:color="0000EE"/>
              <w:bottom w:val="single" w:sz="8" w:color="E7417A"/>
            </w:tcBorders>
          </w:tcPr>
          <w:p>
            <w:pPr>
              <w:spacing w:after="0" w:line="20" w:lineRule="exact"/>
              <w:rPr>
                <w:sz w:val="1"/>
                <w:szCs w:val="1"/>
                <w:color w:val="auto"/>
              </w:rPr>
            </w:pPr>
          </w:p>
        </w:tc>
        <w:tc>
          <w:tcPr>
            <w:tcW w:w="420" w:type="dxa"/>
            <w:vAlign w:val="bottom"/>
            <w:tcBorders>
              <w:top w:val="single" w:sz="8" w:color="0000EE"/>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20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300" w:type="dxa"/>
            <w:vAlign w:val="bottom"/>
            <w:tcBorders>
              <w:top w:val="single" w:sz="8" w:color="0000EE"/>
              <w:bottom w:val="single" w:sz="8" w:color="E7417A"/>
            </w:tcBorders>
          </w:tcPr>
          <w:p>
            <w:pPr>
              <w:spacing w:after="0" w:line="20" w:lineRule="exact"/>
              <w:rPr>
                <w:sz w:val="1"/>
                <w:szCs w:val="1"/>
                <w:color w:val="auto"/>
              </w:rPr>
            </w:pPr>
          </w:p>
        </w:tc>
        <w:tc>
          <w:tcPr>
            <w:tcW w:w="400" w:type="dxa"/>
            <w:vAlign w:val="bottom"/>
            <w:tcBorders>
              <w:top w:val="single" w:sz="8" w:color="0000EE"/>
              <w:bottom w:val="single" w:sz="8" w:color="E7417A"/>
            </w:tcBorders>
          </w:tcPr>
          <w:p>
            <w:pPr>
              <w:spacing w:after="0" w:line="20" w:lineRule="exact"/>
              <w:rPr>
                <w:sz w:val="1"/>
                <w:szCs w:val="1"/>
                <w:color w:val="auto"/>
              </w:rPr>
            </w:pPr>
          </w:p>
        </w:tc>
        <w:tc>
          <w:tcPr>
            <w:tcW w:w="12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22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34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14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8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2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111125</wp:posOffset>
            </wp:positionV>
            <wp:extent cx="25400"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111125</wp:posOffset>
            </wp:positionV>
            <wp:extent cx="25400"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111125</wp:posOffset>
            </wp:positionV>
            <wp:extent cx="25400"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111125</wp:posOffset>
            </wp:positionV>
            <wp:extent cx="25400"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111125</wp:posOffset>
            </wp:positionV>
            <wp:extent cx="25400"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111125</wp:posOffset>
            </wp:positionV>
            <wp:extent cx="2603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111125</wp:posOffset>
            </wp:positionV>
            <wp:extent cx="25400"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111125</wp:posOffset>
            </wp:positionV>
            <wp:extent cx="25400"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287020</wp:posOffset>
            </wp:positionH>
            <wp:positionV relativeFrom="paragraph">
              <wp:posOffset>111125</wp:posOffset>
            </wp:positionV>
            <wp:extent cx="25400"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338455</wp:posOffset>
            </wp:positionH>
            <wp:positionV relativeFrom="paragraph">
              <wp:posOffset>111125</wp:posOffset>
            </wp:positionV>
            <wp:extent cx="25400"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389890</wp:posOffset>
            </wp:positionH>
            <wp:positionV relativeFrom="paragraph">
              <wp:posOffset>111125</wp:posOffset>
            </wp:positionV>
            <wp:extent cx="2603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441325</wp:posOffset>
            </wp:positionH>
            <wp:positionV relativeFrom="paragraph">
              <wp:posOffset>111125</wp:posOffset>
            </wp:positionV>
            <wp:extent cx="25400"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492760</wp:posOffset>
            </wp:positionH>
            <wp:positionV relativeFrom="paragraph">
              <wp:posOffset>111125</wp:posOffset>
            </wp:positionV>
            <wp:extent cx="25400"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111125</wp:posOffset>
            </wp:positionV>
            <wp:extent cx="25400"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111125</wp:posOffset>
            </wp:positionV>
            <wp:extent cx="25400"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647065</wp:posOffset>
            </wp:positionH>
            <wp:positionV relativeFrom="paragraph">
              <wp:posOffset>111125</wp:posOffset>
            </wp:positionV>
            <wp:extent cx="25400"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111125</wp:posOffset>
            </wp:positionV>
            <wp:extent cx="25400"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111125</wp:posOffset>
            </wp:positionV>
            <wp:extent cx="25400"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801370</wp:posOffset>
            </wp:positionH>
            <wp:positionV relativeFrom="paragraph">
              <wp:posOffset>111125</wp:posOffset>
            </wp:positionV>
            <wp:extent cx="2603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852805</wp:posOffset>
            </wp:positionH>
            <wp:positionV relativeFrom="paragraph">
              <wp:posOffset>111125</wp:posOffset>
            </wp:positionV>
            <wp:extent cx="25400"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904240</wp:posOffset>
            </wp:positionH>
            <wp:positionV relativeFrom="paragraph">
              <wp:posOffset>111125</wp:posOffset>
            </wp:positionV>
            <wp:extent cx="25400"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111125</wp:posOffset>
            </wp:positionV>
            <wp:extent cx="25400"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1007110</wp:posOffset>
            </wp:positionH>
            <wp:positionV relativeFrom="paragraph">
              <wp:posOffset>111125</wp:posOffset>
            </wp:positionV>
            <wp:extent cx="25400"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1058545</wp:posOffset>
            </wp:positionH>
            <wp:positionV relativeFrom="paragraph">
              <wp:posOffset>111125</wp:posOffset>
            </wp:positionV>
            <wp:extent cx="2603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1109980</wp:posOffset>
            </wp:positionH>
            <wp:positionV relativeFrom="paragraph">
              <wp:posOffset>111125</wp:posOffset>
            </wp:positionV>
            <wp:extent cx="25400"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1161415</wp:posOffset>
            </wp:positionH>
            <wp:positionV relativeFrom="paragraph">
              <wp:posOffset>111125</wp:posOffset>
            </wp:positionV>
            <wp:extent cx="25400"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1212850</wp:posOffset>
            </wp:positionH>
            <wp:positionV relativeFrom="paragraph">
              <wp:posOffset>111125</wp:posOffset>
            </wp:positionV>
            <wp:extent cx="25400"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111125</wp:posOffset>
            </wp:positionV>
            <wp:extent cx="25400"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1315720</wp:posOffset>
            </wp:positionH>
            <wp:positionV relativeFrom="paragraph">
              <wp:posOffset>111125</wp:posOffset>
            </wp:positionV>
            <wp:extent cx="25400"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111125</wp:posOffset>
            </wp:positionV>
            <wp:extent cx="25400"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1418590</wp:posOffset>
            </wp:positionH>
            <wp:positionV relativeFrom="paragraph">
              <wp:posOffset>111125</wp:posOffset>
            </wp:positionV>
            <wp:extent cx="25400"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1470025</wp:posOffset>
            </wp:positionH>
            <wp:positionV relativeFrom="paragraph">
              <wp:posOffset>111125</wp:posOffset>
            </wp:positionV>
            <wp:extent cx="2603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1521460</wp:posOffset>
            </wp:positionH>
            <wp:positionV relativeFrom="paragraph">
              <wp:posOffset>111125</wp:posOffset>
            </wp:positionV>
            <wp:extent cx="25400"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1572895</wp:posOffset>
            </wp:positionH>
            <wp:positionV relativeFrom="paragraph">
              <wp:posOffset>111125</wp:posOffset>
            </wp:positionV>
            <wp:extent cx="25400"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1624330</wp:posOffset>
            </wp:positionH>
            <wp:positionV relativeFrom="paragraph">
              <wp:posOffset>111125</wp:posOffset>
            </wp:positionV>
            <wp:extent cx="25400"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1675765</wp:posOffset>
            </wp:positionH>
            <wp:positionV relativeFrom="paragraph">
              <wp:posOffset>111125</wp:posOffset>
            </wp:positionV>
            <wp:extent cx="25400"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1727200</wp:posOffset>
            </wp:positionH>
            <wp:positionV relativeFrom="paragraph">
              <wp:posOffset>111125</wp:posOffset>
            </wp:positionV>
            <wp:extent cx="2603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1778635</wp:posOffset>
            </wp:positionH>
            <wp:positionV relativeFrom="paragraph">
              <wp:posOffset>111125</wp:posOffset>
            </wp:positionV>
            <wp:extent cx="25400"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111125</wp:posOffset>
            </wp:positionV>
            <wp:extent cx="25400"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111125</wp:posOffset>
            </wp:positionV>
            <wp:extent cx="25400"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111125</wp:posOffset>
            </wp:positionV>
            <wp:extent cx="25400"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111125</wp:posOffset>
            </wp:positionV>
            <wp:extent cx="25400"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111125</wp:posOffset>
            </wp:positionV>
            <wp:extent cx="25400"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111125</wp:posOffset>
            </wp:positionV>
            <wp:extent cx="25400"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111125</wp:posOffset>
            </wp:positionV>
            <wp:extent cx="2603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111125</wp:posOffset>
            </wp:positionV>
            <wp:extent cx="25400"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111125</wp:posOffset>
            </wp:positionV>
            <wp:extent cx="25400"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111125</wp:posOffset>
            </wp:positionV>
            <wp:extent cx="25400"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111125</wp:posOffset>
            </wp:positionV>
            <wp:extent cx="25400"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111125</wp:posOffset>
            </wp:positionV>
            <wp:extent cx="2603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111125</wp:posOffset>
            </wp:positionV>
            <wp:extent cx="25400"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111125</wp:posOffset>
            </wp:positionV>
            <wp:extent cx="25400"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111125</wp:posOffset>
            </wp:positionV>
            <wp:extent cx="25400"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111125</wp:posOffset>
            </wp:positionV>
            <wp:extent cx="25400"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111125</wp:posOffset>
            </wp:positionV>
            <wp:extent cx="25400"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5400"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420"/>
            <w:col w:w="4319"/>
          </w:cols>
          <w:pgMar w:left="580" w:top="97" w:right="1440" w:bottom="1440" w:gutter="0" w:footer="0" w:header="0"/>
          <w:type w:val="continuous"/>
        </w:sectPr>
      </w:pPr>
    </w:p>
    <w:p>
      <w:pPr>
        <w:spacing w:after="0" w:line="294"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Overview</w:t>
      </w:r>
    </w:p>
    <w:p>
      <w:pPr>
        <w:spacing w:after="0" w:line="152" w:lineRule="exact"/>
        <w:rPr>
          <w:sz w:val="20"/>
          <w:szCs w:val="20"/>
          <w:color w:val="auto"/>
        </w:rPr>
      </w:pPr>
    </w:p>
    <w:p>
      <w:pPr>
        <w:ind w:left="920" w:right="459"/>
        <w:spacing w:after="0" w:line="253" w:lineRule="auto"/>
        <w:rPr>
          <w:sz w:val="20"/>
          <w:szCs w:val="20"/>
          <w:color w:val="auto"/>
        </w:rPr>
      </w:pPr>
      <w:r>
        <w:rPr>
          <w:rFonts w:ascii="Arial" w:cs="Arial" w:eastAsia="Arial" w:hAnsi="Arial"/>
          <w:sz w:val="18"/>
          <w:szCs w:val="18"/>
          <w:color w:val="auto"/>
        </w:rPr>
        <w:t>This section explains our compensation philosophy and describes the material components of our executive compensation program for our NEOs, whose compensation is set forth in the 2024 Summary Compensation table and other compensation tables contained in this Proxy Statement.</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2024 Named Executive Officers</w:t>
      </w:r>
    </w:p>
    <w:p>
      <w:pPr>
        <w:spacing w:after="0" w:line="90" w:lineRule="exact"/>
        <w:rPr>
          <w:sz w:val="20"/>
          <w:szCs w:val="20"/>
          <w:color w:val="auto"/>
        </w:rPr>
      </w:pPr>
    </w:p>
    <w:tbl>
      <w:tblPr>
        <w:tblLayout w:type="fixed"/>
        <w:tblInd w:w="920" w:type="dxa"/>
        <w:tblCellMar>
          <w:top w:w="0" w:type="dxa"/>
          <w:left w:w="0" w:type="dxa"/>
          <w:bottom w:w="0" w:type="dxa"/>
          <w:right w:w="0" w:type="dxa"/>
        </w:tblCellMar>
      </w:tblPr>
      <w:tr>
        <w:trPr>
          <w:trHeight w:val="1093"/>
        </w:trPr>
        <w:tc>
          <w:tcPr>
            <w:tcW w:w="160" w:type="dxa"/>
            <w:vAlign w:val="bottom"/>
          </w:tcPr>
          <w:p>
            <w:pPr>
              <w:spacing w:after="0"/>
              <w:rPr>
                <w:sz w:val="20"/>
                <w:szCs w:val="20"/>
                <w:color w:val="auto"/>
              </w:rPr>
            </w:pPr>
            <w:r>
              <w:rPr>
                <w:rFonts w:ascii="Arial" w:cs="Arial" w:eastAsia="Arial" w:hAnsi="Arial"/>
                <w:sz w:val="17"/>
                <w:szCs w:val="17"/>
                <w:b w:val="1"/>
                <w:bCs w:val="1"/>
                <w:color w:val="FEFEFE"/>
              </w:rPr>
              <w:t>​</w:t>
            </w:r>
          </w:p>
        </w:tc>
        <w:tc>
          <w:tcPr>
            <w:tcW w:w="2660" w:type="dxa"/>
            <w:vAlign w:val="bottom"/>
          </w:tcPr>
          <w:p>
            <w:pPr>
              <w:spacing w:after="0"/>
              <w:rPr>
                <w:sz w:val="24"/>
                <w:szCs w:val="24"/>
                <w:color w:val="auto"/>
              </w:rPr>
            </w:pPr>
          </w:p>
        </w:tc>
        <w:tc>
          <w:tcPr>
            <w:tcW w:w="200" w:type="dxa"/>
            <w:vAlign w:val="bottom"/>
            <w:shd w:val="clear" w:color="auto" w:fill="FEFEFE"/>
          </w:tcPr>
          <w:p>
            <w:pPr>
              <w:spacing w:after="0"/>
              <w:rPr>
                <w:sz w:val="20"/>
                <w:szCs w:val="20"/>
                <w:color w:val="auto"/>
              </w:rPr>
            </w:pPr>
            <w:r>
              <w:rPr>
                <w:rFonts w:ascii="Arial" w:cs="Arial" w:eastAsia="Arial" w:hAnsi="Arial"/>
                <w:sz w:val="17"/>
                <w:szCs w:val="17"/>
                <w:b w:val="1"/>
                <w:bCs w:val="1"/>
                <w:color w:val="FEFEFE"/>
              </w:rPr>
              <w:t>​</w:t>
            </w:r>
          </w:p>
        </w:tc>
        <w:tc>
          <w:tcPr>
            <w:tcW w:w="400" w:type="dxa"/>
            <w:vAlign w:val="bottom"/>
          </w:tcPr>
          <w:p>
            <w:pPr>
              <w:spacing w:after="0"/>
              <w:rPr>
                <w:sz w:val="20"/>
                <w:szCs w:val="20"/>
                <w:color w:val="auto"/>
              </w:rPr>
            </w:pPr>
            <w:r>
              <w:rPr>
                <w:rFonts w:ascii="Arial" w:cs="Arial" w:eastAsia="Arial" w:hAnsi="Arial"/>
                <w:sz w:val="17"/>
                <w:szCs w:val="17"/>
                <w:b w:val="1"/>
                <w:bCs w:val="1"/>
                <w:color w:val="FEFEFE"/>
              </w:rPr>
              <w:t>​</w:t>
            </w:r>
          </w:p>
        </w:tc>
        <w:tc>
          <w:tcPr>
            <w:tcW w:w="2480" w:type="dxa"/>
            <w:vAlign w:val="bottom"/>
          </w:tcPr>
          <w:p>
            <w:pPr>
              <w:spacing w:after="0"/>
              <w:rPr>
                <w:sz w:val="24"/>
                <w:szCs w:val="24"/>
                <w:color w:val="auto"/>
              </w:rPr>
            </w:pPr>
          </w:p>
        </w:tc>
        <w:tc>
          <w:tcPr>
            <w:tcW w:w="220" w:type="dxa"/>
            <w:vAlign w:val="bottom"/>
            <w:shd w:val="clear" w:color="auto" w:fill="FEFEFE"/>
          </w:tcPr>
          <w:p>
            <w:pPr>
              <w:spacing w:after="0"/>
              <w:rPr>
                <w:sz w:val="20"/>
                <w:szCs w:val="20"/>
                <w:color w:val="auto"/>
              </w:rPr>
            </w:pPr>
            <w:r>
              <w:rPr>
                <w:rFonts w:ascii="Arial" w:cs="Arial" w:eastAsia="Arial" w:hAnsi="Arial"/>
                <w:sz w:val="17"/>
                <w:szCs w:val="17"/>
                <w:b w:val="1"/>
                <w:bCs w:val="1"/>
                <w:color w:val="FEFEFE"/>
              </w:rPr>
              <w:t>​</w:t>
            </w:r>
          </w:p>
        </w:tc>
        <w:tc>
          <w:tcPr>
            <w:tcW w:w="120" w:type="dxa"/>
            <w:vAlign w:val="bottom"/>
          </w:tcPr>
          <w:p>
            <w:pPr>
              <w:spacing w:after="0"/>
              <w:rPr>
                <w:sz w:val="20"/>
                <w:szCs w:val="20"/>
                <w:color w:val="auto"/>
              </w:rPr>
            </w:pPr>
            <w:r>
              <w:rPr>
                <w:rFonts w:ascii="Arial" w:cs="Arial" w:eastAsia="Arial" w:hAnsi="Arial"/>
                <w:sz w:val="17"/>
                <w:szCs w:val="17"/>
                <w:b w:val="1"/>
                <w:bCs w:val="1"/>
                <w:color w:val="FEFEFE"/>
              </w:rPr>
              <w:t>​</w:t>
            </w:r>
          </w:p>
        </w:tc>
        <w:tc>
          <w:tcPr>
            <w:tcW w:w="26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7"/>
                <w:szCs w:val="17"/>
                <w:b w:val="1"/>
                <w:bCs w:val="1"/>
                <w:color w:val="FEFEFE"/>
              </w:rPr>
              <w:t>​</w:t>
            </w:r>
          </w:p>
        </w:tc>
      </w:tr>
      <w:tr>
        <w:trPr>
          <w:trHeight w:val="277"/>
        </w:trPr>
        <w:tc>
          <w:tcPr>
            <w:tcW w:w="160" w:type="dxa"/>
            <w:vAlign w:val="bottom"/>
            <w:tcBorders>
              <w:bottom w:val="single" w:sz="8" w:color="62259D"/>
            </w:tcBorders>
            <w:shd w:val="clear" w:color="auto" w:fill="62259D"/>
          </w:tcPr>
          <w:p>
            <w:pPr>
              <w:spacing w:after="0"/>
              <w:rPr>
                <w:sz w:val="20"/>
                <w:szCs w:val="20"/>
                <w:color w:val="auto"/>
              </w:rPr>
            </w:pPr>
            <w:r>
              <w:rPr>
                <w:rFonts w:ascii="Arial" w:cs="Arial" w:eastAsia="Arial" w:hAnsi="Arial"/>
                <w:sz w:val="17"/>
                <w:szCs w:val="17"/>
                <w:b w:val="1"/>
                <w:bCs w:val="1"/>
                <w:color w:val="FEFEFE"/>
              </w:rPr>
              <w:t>​</w:t>
            </w:r>
          </w:p>
        </w:tc>
        <w:tc>
          <w:tcPr>
            <w:tcW w:w="2660" w:type="dxa"/>
            <w:vAlign w:val="bottom"/>
            <w:tcBorders>
              <w:bottom w:val="single" w:sz="8" w:color="62259D"/>
            </w:tcBorders>
            <w:shd w:val="clear" w:color="auto" w:fill="62259D"/>
          </w:tcPr>
          <w:p>
            <w:pPr>
              <w:jc w:val="center"/>
              <w:ind w:right="98"/>
              <w:spacing w:after="0"/>
              <w:rPr>
                <w:sz w:val="20"/>
                <w:szCs w:val="20"/>
                <w:color w:val="auto"/>
              </w:rPr>
            </w:pPr>
            <w:r>
              <w:rPr>
                <w:rFonts w:ascii="Arial" w:cs="Arial" w:eastAsia="Arial" w:hAnsi="Arial"/>
                <w:sz w:val="17"/>
                <w:szCs w:val="17"/>
                <w:b w:val="1"/>
                <w:bCs w:val="1"/>
                <w:color w:val="FEFEFE"/>
              </w:rPr>
              <w:t>Bruce W. McClelland</w:t>
            </w:r>
          </w:p>
        </w:tc>
        <w:tc>
          <w:tcPr>
            <w:tcW w:w="200" w:type="dxa"/>
            <w:vAlign w:val="bottom"/>
            <w:tcBorders>
              <w:bottom w:val="single" w:sz="8" w:color="FEFEFE"/>
            </w:tcBorders>
            <w:shd w:val="clear" w:color="auto" w:fill="FEFEFE"/>
          </w:tcPr>
          <w:p>
            <w:pPr>
              <w:spacing w:after="0"/>
              <w:rPr>
                <w:sz w:val="20"/>
                <w:szCs w:val="20"/>
                <w:color w:val="auto"/>
              </w:rPr>
            </w:pPr>
            <w:r>
              <w:rPr>
                <w:rFonts w:ascii="Arial" w:cs="Arial" w:eastAsia="Arial" w:hAnsi="Arial"/>
                <w:sz w:val="17"/>
                <w:szCs w:val="17"/>
                <w:b w:val="1"/>
                <w:bCs w:val="1"/>
                <w:color w:val="FEFEFE"/>
              </w:rPr>
              <w:t>​</w:t>
            </w:r>
          </w:p>
        </w:tc>
        <w:tc>
          <w:tcPr>
            <w:tcW w:w="400" w:type="dxa"/>
            <w:vAlign w:val="bottom"/>
            <w:tcBorders>
              <w:bottom w:val="single" w:sz="8" w:color="62259D"/>
            </w:tcBorders>
            <w:shd w:val="clear" w:color="auto" w:fill="62259D"/>
          </w:tcPr>
          <w:p>
            <w:pPr>
              <w:spacing w:after="0"/>
              <w:rPr>
                <w:sz w:val="20"/>
                <w:szCs w:val="20"/>
                <w:color w:val="auto"/>
              </w:rPr>
            </w:pPr>
            <w:r>
              <w:rPr>
                <w:rFonts w:ascii="Arial" w:cs="Arial" w:eastAsia="Arial" w:hAnsi="Arial"/>
                <w:sz w:val="17"/>
                <w:szCs w:val="17"/>
                <w:b w:val="1"/>
                <w:bCs w:val="1"/>
                <w:color w:val="FEFEFE"/>
              </w:rPr>
              <w:t>​</w:t>
            </w:r>
          </w:p>
        </w:tc>
        <w:tc>
          <w:tcPr>
            <w:tcW w:w="2480" w:type="dxa"/>
            <w:vAlign w:val="bottom"/>
            <w:tcBorders>
              <w:bottom w:val="single" w:sz="8" w:color="62259D"/>
            </w:tcBorders>
            <w:shd w:val="clear" w:color="auto" w:fill="62259D"/>
          </w:tcPr>
          <w:p>
            <w:pPr>
              <w:jc w:val="center"/>
              <w:ind w:right="317"/>
              <w:spacing w:after="0"/>
              <w:rPr>
                <w:sz w:val="20"/>
                <w:szCs w:val="20"/>
                <w:color w:val="auto"/>
              </w:rPr>
            </w:pPr>
            <w:r>
              <w:rPr>
                <w:rFonts w:ascii="Arial" w:cs="Arial" w:eastAsia="Arial" w:hAnsi="Arial"/>
                <w:sz w:val="17"/>
                <w:szCs w:val="17"/>
                <w:b w:val="1"/>
                <w:bCs w:val="1"/>
                <w:color w:val="FEFEFE"/>
              </w:rPr>
              <w:t>John Townsend</w:t>
            </w:r>
          </w:p>
        </w:tc>
        <w:tc>
          <w:tcPr>
            <w:tcW w:w="220" w:type="dxa"/>
            <w:vAlign w:val="bottom"/>
            <w:tcBorders>
              <w:bottom w:val="single" w:sz="8" w:color="FEFEFE"/>
            </w:tcBorders>
            <w:shd w:val="clear" w:color="auto" w:fill="FEFEFE"/>
          </w:tcPr>
          <w:p>
            <w:pPr>
              <w:spacing w:after="0"/>
              <w:rPr>
                <w:sz w:val="20"/>
                <w:szCs w:val="20"/>
                <w:color w:val="auto"/>
              </w:rPr>
            </w:pPr>
            <w:r>
              <w:rPr>
                <w:rFonts w:ascii="Arial" w:cs="Arial" w:eastAsia="Arial" w:hAnsi="Arial"/>
                <w:sz w:val="17"/>
                <w:szCs w:val="17"/>
                <w:b w:val="1"/>
                <w:bCs w:val="1"/>
                <w:color w:val="FEFEFE"/>
              </w:rPr>
              <w:t>​</w:t>
            </w:r>
          </w:p>
        </w:tc>
        <w:tc>
          <w:tcPr>
            <w:tcW w:w="120" w:type="dxa"/>
            <w:vAlign w:val="bottom"/>
            <w:tcBorders>
              <w:bottom w:val="single" w:sz="8" w:color="62259D"/>
            </w:tcBorders>
            <w:shd w:val="clear" w:color="auto" w:fill="62259D"/>
          </w:tcPr>
          <w:p>
            <w:pPr>
              <w:spacing w:after="0"/>
              <w:rPr>
                <w:sz w:val="20"/>
                <w:szCs w:val="20"/>
                <w:color w:val="auto"/>
              </w:rPr>
            </w:pPr>
            <w:r>
              <w:rPr>
                <w:rFonts w:ascii="Arial" w:cs="Arial" w:eastAsia="Arial" w:hAnsi="Arial"/>
                <w:sz w:val="17"/>
                <w:szCs w:val="17"/>
                <w:b w:val="1"/>
                <w:bCs w:val="1"/>
                <w:color w:val="FEFEFE"/>
              </w:rPr>
              <w:t>​</w:t>
            </w:r>
          </w:p>
        </w:tc>
        <w:tc>
          <w:tcPr>
            <w:tcW w:w="2620" w:type="dxa"/>
            <w:vAlign w:val="bottom"/>
            <w:tcBorders>
              <w:bottom w:val="single" w:sz="8" w:color="62259D"/>
            </w:tcBorders>
            <w:shd w:val="clear" w:color="auto" w:fill="62259D"/>
          </w:tcPr>
          <w:p>
            <w:pPr>
              <w:jc w:val="center"/>
              <w:ind w:right="38"/>
              <w:spacing w:after="0"/>
              <w:rPr>
                <w:sz w:val="20"/>
                <w:szCs w:val="20"/>
                <w:color w:val="auto"/>
              </w:rPr>
            </w:pPr>
            <w:r>
              <w:rPr>
                <w:rFonts w:ascii="Arial" w:cs="Arial" w:eastAsia="Arial" w:hAnsi="Arial"/>
                <w:sz w:val="17"/>
                <w:szCs w:val="17"/>
                <w:b w:val="1"/>
                <w:bCs w:val="1"/>
                <w:color w:val="FEFEFE"/>
              </w:rPr>
              <w:t>Sam Bucci</w:t>
            </w:r>
          </w:p>
        </w:tc>
        <w:tc>
          <w:tcPr>
            <w:tcW w:w="40" w:type="dxa"/>
            <w:vAlign w:val="bottom"/>
          </w:tcPr>
          <w:p>
            <w:pPr>
              <w:spacing w:after="0"/>
              <w:rPr>
                <w:sz w:val="20"/>
                <w:szCs w:val="20"/>
                <w:color w:val="auto"/>
              </w:rPr>
            </w:pPr>
            <w:r>
              <w:rPr>
                <w:rFonts w:ascii="Arial" w:cs="Arial" w:eastAsia="Arial" w:hAnsi="Arial"/>
                <w:sz w:val="17"/>
                <w:szCs w:val="17"/>
                <w:b w:val="1"/>
                <w:bCs w:val="1"/>
                <w:color w:val="FEFEFE"/>
              </w:rPr>
              <w:t>​</w:t>
            </w:r>
          </w:p>
        </w:tc>
      </w:tr>
      <w:tr>
        <w:trPr>
          <w:trHeight w:val="204"/>
        </w:trPr>
        <w:tc>
          <w:tcPr>
            <w:tcW w:w="160" w:type="dxa"/>
            <w:vAlign w:val="bottom"/>
          </w:tcPr>
          <w:p>
            <w:pPr>
              <w:spacing w:after="0"/>
              <w:rPr>
                <w:sz w:val="20"/>
                <w:szCs w:val="20"/>
                <w:color w:val="auto"/>
              </w:rPr>
            </w:pPr>
            <w:r>
              <w:rPr>
                <w:rFonts w:ascii="Arial" w:cs="Arial" w:eastAsia="Arial" w:hAnsi="Arial"/>
                <w:sz w:val="16"/>
                <w:szCs w:val="16"/>
                <w:i w:val="1"/>
                <w:iCs w:val="1"/>
                <w:color w:val="auto"/>
              </w:rPr>
              <w:t>​</w:t>
            </w:r>
          </w:p>
        </w:tc>
        <w:tc>
          <w:tcPr>
            <w:tcW w:w="2660" w:type="dxa"/>
            <w:vAlign w:val="bottom"/>
          </w:tcPr>
          <w:p>
            <w:pPr>
              <w:jc w:val="center"/>
              <w:ind w:right="78"/>
              <w:spacing w:after="0"/>
              <w:rPr>
                <w:sz w:val="20"/>
                <w:szCs w:val="20"/>
                <w:color w:val="auto"/>
              </w:rPr>
            </w:pPr>
            <w:r>
              <w:rPr>
                <w:rFonts w:ascii="Arial" w:cs="Arial" w:eastAsia="Arial" w:hAnsi="Arial"/>
                <w:sz w:val="16"/>
                <w:szCs w:val="16"/>
                <w:i w:val="1"/>
                <w:iCs w:val="1"/>
                <w:color w:val="auto"/>
              </w:rPr>
              <w:t>President and Chief Executive</w:t>
            </w:r>
          </w:p>
        </w:tc>
        <w:tc>
          <w:tcPr>
            <w:tcW w:w="200" w:type="dxa"/>
            <w:vAlign w:val="bottom"/>
            <w:shd w:val="clear" w:color="auto" w:fill="FEFEFE"/>
          </w:tcPr>
          <w:p>
            <w:pPr>
              <w:spacing w:after="0"/>
              <w:rPr>
                <w:sz w:val="20"/>
                <w:szCs w:val="20"/>
                <w:color w:val="auto"/>
              </w:rPr>
            </w:pPr>
            <w:r>
              <w:rPr>
                <w:rFonts w:ascii="Arial" w:cs="Arial" w:eastAsia="Arial" w:hAnsi="Arial"/>
                <w:sz w:val="16"/>
                <w:szCs w:val="16"/>
                <w:i w:val="1"/>
                <w:iCs w:val="1"/>
                <w:color w:val="auto"/>
              </w:rPr>
              <w:t>​</w:t>
            </w:r>
          </w:p>
        </w:tc>
        <w:tc>
          <w:tcPr>
            <w:tcW w:w="2880" w:type="dxa"/>
            <w:vAlign w:val="bottom"/>
            <w:gridSpan w:val="2"/>
          </w:tcPr>
          <w:p>
            <w:pPr>
              <w:spacing w:after="0" w:line="204" w:lineRule="exact"/>
              <w:rPr>
                <w:sz w:val="20"/>
                <w:szCs w:val="20"/>
                <w:color w:val="auto"/>
              </w:rPr>
            </w:pPr>
            <w:r>
              <w:rPr>
                <w:rFonts w:ascii="Arial" w:cs="Arial" w:eastAsia="Arial" w:hAnsi="Arial"/>
                <w:sz w:val="23"/>
                <w:szCs w:val="23"/>
                <w:i w:val="1"/>
                <w:iCs w:val="1"/>
                <w:color w:val="auto"/>
                <w:vertAlign w:val="superscript"/>
              </w:rPr>
              <w:t>​</w:t>
            </w:r>
            <w:r>
              <w:rPr>
                <w:rFonts w:ascii="Arial" w:cs="Arial" w:eastAsia="Arial" w:hAnsi="Arial"/>
                <w:sz w:val="13"/>
                <w:szCs w:val="13"/>
                <w:i w:val="1"/>
                <w:iCs w:val="1"/>
                <w:color w:val="auto"/>
              </w:rPr>
              <w:t xml:space="preserve"> Executive Vice President and Chief</w:t>
            </w:r>
          </w:p>
        </w:tc>
        <w:tc>
          <w:tcPr>
            <w:tcW w:w="220" w:type="dxa"/>
            <w:vAlign w:val="bottom"/>
            <w:shd w:val="clear" w:color="auto" w:fill="FEFEFE"/>
          </w:tcPr>
          <w:p>
            <w:pPr>
              <w:spacing w:after="0"/>
              <w:rPr>
                <w:sz w:val="20"/>
                <w:szCs w:val="20"/>
                <w:color w:val="auto"/>
              </w:rPr>
            </w:pPr>
            <w:r>
              <w:rPr>
                <w:rFonts w:ascii="Arial" w:cs="Arial" w:eastAsia="Arial" w:hAnsi="Arial"/>
                <w:sz w:val="16"/>
                <w:szCs w:val="16"/>
                <w:i w:val="1"/>
                <w:iCs w:val="1"/>
                <w:color w:val="auto"/>
              </w:rPr>
              <w:t>​</w:t>
            </w:r>
          </w:p>
        </w:tc>
        <w:tc>
          <w:tcPr>
            <w:tcW w:w="120" w:type="dxa"/>
            <w:vAlign w:val="bottom"/>
          </w:tcPr>
          <w:p>
            <w:pPr>
              <w:spacing w:after="0"/>
              <w:rPr>
                <w:sz w:val="20"/>
                <w:szCs w:val="20"/>
                <w:color w:val="auto"/>
              </w:rPr>
            </w:pPr>
            <w:r>
              <w:rPr>
                <w:rFonts w:ascii="Arial" w:cs="Arial" w:eastAsia="Arial" w:hAnsi="Arial"/>
                <w:sz w:val="16"/>
                <w:szCs w:val="16"/>
                <w:i w:val="1"/>
                <w:iCs w:val="1"/>
                <w:color w:val="auto"/>
              </w:rPr>
              <w:t>​</w:t>
            </w:r>
          </w:p>
        </w:tc>
        <w:tc>
          <w:tcPr>
            <w:tcW w:w="2620" w:type="dxa"/>
            <w:vAlign w:val="bottom"/>
          </w:tcPr>
          <w:p>
            <w:pPr>
              <w:jc w:val="center"/>
              <w:ind w:right="38"/>
              <w:spacing w:after="0"/>
              <w:rPr>
                <w:sz w:val="20"/>
                <w:szCs w:val="20"/>
                <w:color w:val="auto"/>
              </w:rPr>
            </w:pPr>
            <w:r>
              <w:rPr>
                <w:rFonts w:ascii="Arial" w:cs="Arial" w:eastAsia="Arial" w:hAnsi="Arial"/>
                <w:sz w:val="16"/>
                <w:szCs w:val="16"/>
                <w:i w:val="1"/>
                <w:iCs w:val="1"/>
                <w:color w:val="auto"/>
              </w:rPr>
              <w:t>Executive Vice President, Chief</w:t>
            </w:r>
          </w:p>
        </w:tc>
        <w:tc>
          <w:tcPr>
            <w:tcW w:w="40" w:type="dxa"/>
            <w:vAlign w:val="bottom"/>
          </w:tcPr>
          <w:p>
            <w:pPr>
              <w:spacing w:after="0"/>
              <w:rPr>
                <w:sz w:val="20"/>
                <w:szCs w:val="20"/>
                <w:color w:val="auto"/>
              </w:rPr>
            </w:pPr>
            <w:r>
              <w:rPr>
                <w:rFonts w:ascii="Arial" w:cs="Arial" w:eastAsia="Arial" w:hAnsi="Arial"/>
                <w:sz w:val="16"/>
                <w:szCs w:val="16"/>
                <w:i w:val="1"/>
                <w:iCs w:val="1"/>
                <w:color w:val="auto"/>
              </w:rPr>
              <w:t>​</w:t>
            </w:r>
          </w:p>
        </w:tc>
      </w:tr>
      <w:tr>
        <w:trPr>
          <w:trHeight w:val="228"/>
        </w:trPr>
        <w:tc>
          <w:tcPr>
            <w:tcW w:w="160" w:type="dxa"/>
            <w:vAlign w:val="bottom"/>
          </w:tcPr>
          <w:p>
            <w:pPr>
              <w:spacing w:after="0"/>
              <w:rPr>
                <w:sz w:val="19"/>
                <w:szCs w:val="19"/>
                <w:color w:val="auto"/>
              </w:rPr>
            </w:pPr>
          </w:p>
        </w:tc>
        <w:tc>
          <w:tcPr>
            <w:tcW w:w="2660" w:type="dxa"/>
            <w:vAlign w:val="bottom"/>
          </w:tcPr>
          <w:p>
            <w:pPr>
              <w:jc w:val="center"/>
              <w:ind w:right="78"/>
              <w:spacing w:after="0"/>
              <w:rPr>
                <w:sz w:val="20"/>
                <w:szCs w:val="20"/>
                <w:color w:val="auto"/>
              </w:rPr>
            </w:pPr>
            <w:r>
              <w:rPr>
                <w:rFonts w:ascii="Arial" w:cs="Arial" w:eastAsia="Arial" w:hAnsi="Arial"/>
                <w:sz w:val="16"/>
                <w:szCs w:val="16"/>
                <w:i w:val="1"/>
                <w:iCs w:val="1"/>
                <w:color w:val="auto"/>
              </w:rPr>
              <w:t>Officer</w:t>
            </w:r>
          </w:p>
        </w:tc>
        <w:tc>
          <w:tcPr>
            <w:tcW w:w="200" w:type="dxa"/>
            <w:vAlign w:val="bottom"/>
            <w:shd w:val="clear" w:color="auto" w:fill="FEFEFE"/>
          </w:tcPr>
          <w:p>
            <w:pPr>
              <w:spacing w:after="0"/>
              <w:rPr>
                <w:sz w:val="19"/>
                <w:szCs w:val="19"/>
                <w:color w:val="auto"/>
              </w:rPr>
            </w:pPr>
          </w:p>
        </w:tc>
        <w:tc>
          <w:tcPr>
            <w:tcW w:w="400" w:type="dxa"/>
            <w:vAlign w:val="bottom"/>
          </w:tcPr>
          <w:p>
            <w:pPr>
              <w:spacing w:after="0"/>
              <w:rPr>
                <w:sz w:val="19"/>
                <w:szCs w:val="19"/>
                <w:color w:val="auto"/>
              </w:rPr>
            </w:pPr>
          </w:p>
        </w:tc>
        <w:tc>
          <w:tcPr>
            <w:tcW w:w="2480" w:type="dxa"/>
            <w:vAlign w:val="bottom"/>
          </w:tcPr>
          <w:p>
            <w:pPr>
              <w:jc w:val="center"/>
              <w:ind w:right="297"/>
              <w:spacing w:after="0"/>
              <w:rPr>
                <w:sz w:val="20"/>
                <w:szCs w:val="20"/>
                <w:color w:val="auto"/>
              </w:rPr>
            </w:pPr>
            <w:r>
              <w:rPr>
                <w:rFonts w:ascii="Arial" w:cs="Arial" w:eastAsia="Arial" w:hAnsi="Arial"/>
                <w:sz w:val="16"/>
                <w:szCs w:val="16"/>
                <w:i w:val="1"/>
                <w:iCs w:val="1"/>
                <w:color w:val="auto"/>
              </w:rPr>
              <w:t>Financial Officer</w:t>
            </w:r>
          </w:p>
        </w:tc>
        <w:tc>
          <w:tcPr>
            <w:tcW w:w="220" w:type="dxa"/>
            <w:vAlign w:val="bottom"/>
            <w:shd w:val="clear" w:color="auto" w:fill="FEFEFE"/>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jc w:val="center"/>
              <w:ind w:right="58"/>
              <w:spacing w:after="0"/>
              <w:rPr>
                <w:sz w:val="20"/>
                <w:szCs w:val="20"/>
                <w:color w:val="auto"/>
              </w:rPr>
            </w:pPr>
            <w:r>
              <w:rPr>
                <w:rFonts w:ascii="Arial" w:cs="Arial" w:eastAsia="Arial" w:hAnsi="Arial"/>
                <w:sz w:val="16"/>
                <w:szCs w:val="16"/>
                <w:i w:val="1"/>
                <w:iCs w:val="1"/>
                <w:color w:val="auto"/>
              </w:rPr>
              <w:t>Operating Officer</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1194435</wp:posOffset>
            </wp:positionH>
            <wp:positionV relativeFrom="paragraph">
              <wp:posOffset>-1096645</wp:posOffset>
            </wp:positionV>
            <wp:extent cx="574040" cy="57467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74040" cy="57467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-1096645</wp:posOffset>
            </wp:positionV>
            <wp:extent cx="574040" cy="57467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74040" cy="57467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-1096645</wp:posOffset>
            </wp:positionV>
            <wp:extent cx="574040" cy="57467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74040" cy="5746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36</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73" w:lineRule="exact"/>
        <w:rPr>
          <w:sz w:val="20"/>
          <w:szCs w:val="20"/>
          <w:color w:val="auto"/>
        </w:rPr>
      </w:pPr>
    </w:p>
    <w:tbl>
      <w:tblPr>
        <w:tblLayout w:type="fixed"/>
        <w:tblInd w:w="920" w:type="dxa"/>
        <w:tblCellMar>
          <w:top w:w="0" w:type="dxa"/>
          <w:left w:w="0" w:type="dxa"/>
          <w:bottom w:w="0" w:type="dxa"/>
          <w:right w:w="0" w:type="dxa"/>
        </w:tblCellMar>
      </w:tblPr>
      <w:tr>
        <w:trPr>
          <w:trHeight w:val="1093"/>
        </w:trPr>
        <w:tc>
          <w:tcPr>
            <w:tcW w:w="120" w:type="dxa"/>
            <w:vAlign w:val="bottom"/>
          </w:tcPr>
          <w:p>
            <w:pPr>
              <w:spacing w:after="0"/>
              <w:rPr>
                <w:sz w:val="20"/>
                <w:szCs w:val="20"/>
                <w:color w:val="auto"/>
              </w:rPr>
            </w:pPr>
            <w:r>
              <w:rPr>
                <w:rFonts w:ascii="Arial" w:cs="Arial" w:eastAsia="Arial" w:hAnsi="Arial"/>
                <w:sz w:val="17"/>
                <w:szCs w:val="17"/>
                <w:b w:val="1"/>
                <w:bCs w:val="1"/>
                <w:color w:val="FEFEFE"/>
              </w:rPr>
              <w:t>​</w:t>
            </w:r>
          </w:p>
        </w:tc>
        <w:tc>
          <w:tcPr>
            <w:tcW w:w="2660" w:type="dxa"/>
            <w:vAlign w:val="bottom"/>
          </w:tcPr>
          <w:p>
            <w:pPr>
              <w:spacing w:after="0"/>
              <w:rPr>
                <w:sz w:val="24"/>
                <w:szCs w:val="24"/>
                <w:color w:val="auto"/>
              </w:rPr>
            </w:pPr>
          </w:p>
        </w:tc>
        <w:tc>
          <w:tcPr>
            <w:tcW w:w="220" w:type="dxa"/>
            <w:vAlign w:val="bottom"/>
            <w:shd w:val="clear" w:color="auto" w:fill="FEFEFE"/>
          </w:tcPr>
          <w:p>
            <w:pPr>
              <w:spacing w:after="0"/>
              <w:rPr>
                <w:sz w:val="20"/>
                <w:szCs w:val="20"/>
                <w:color w:val="auto"/>
              </w:rPr>
            </w:pPr>
            <w:r>
              <w:rPr>
                <w:rFonts w:ascii="Arial" w:cs="Arial" w:eastAsia="Arial" w:hAnsi="Arial"/>
                <w:sz w:val="17"/>
                <w:szCs w:val="17"/>
                <w:b w:val="1"/>
                <w:bCs w:val="1"/>
                <w:color w:val="FEFEFE"/>
              </w:rPr>
              <w:t>​</w:t>
            </w:r>
          </w:p>
        </w:tc>
        <w:tc>
          <w:tcPr>
            <w:tcW w:w="140" w:type="dxa"/>
            <w:vAlign w:val="bottom"/>
          </w:tcPr>
          <w:p>
            <w:pPr>
              <w:spacing w:after="0"/>
              <w:rPr>
                <w:sz w:val="20"/>
                <w:szCs w:val="20"/>
                <w:color w:val="auto"/>
              </w:rPr>
            </w:pPr>
            <w:r>
              <w:rPr>
                <w:rFonts w:ascii="Arial" w:cs="Arial" w:eastAsia="Arial" w:hAnsi="Arial"/>
                <w:sz w:val="17"/>
                <w:szCs w:val="17"/>
                <w:b w:val="1"/>
                <w:bCs w:val="1"/>
                <w:color w:val="FEFEFE"/>
              </w:rPr>
              <w:t>​</w:t>
            </w:r>
          </w:p>
        </w:tc>
        <w:tc>
          <w:tcPr>
            <w:tcW w:w="2740" w:type="dxa"/>
            <w:vAlign w:val="bottom"/>
          </w:tcPr>
          <w:p>
            <w:pPr>
              <w:spacing w:after="0"/>
              <w:rPr>
                <w:sz w:val="24"/>
                <w:szCs w:val="24"/>
                <w:color w:val="auto"/>
              </w:rPr>
            </w:pPr>
          </w:p>
        </w:tc>
        <w:tc>
          <w:tcPr>
            <w:tcW w:w="220" w:type="dxa"/>
            <w:vAlign w:val="bottom"/>
            <w:shd w:val="clear" w:color="auto" w:fill="FEFEFE"/>
          </w:tcPr>
          <w:p>
            <w:pPr>
              <w:spacing w:after="0"/>
              <w:rPr>
                <w:sz w:val="20"/>
                <w:szCs w:val="20"/>
                <w:color w:val="auto"/>
              </w:rPr>
            </w:pPr>
            <w:r>
              <w:rPr>
                <w:rFonts w:ascii="Arial" w:cs="Arial" w:eastAsia="Arial" w:hAnsi="Arial"/>
                <w:sz w:val="17"/>
                <w:szCs w:val="17"/>
                <w:b w:val="1"/>
                <w:bCs w:val="1"/>
                <w:color w:val="FEFEFE"/>
              </w:rPr>
              <w:t>​</w:t>
            </w:r>
          </w:p>
        </w:tc>
        <w:tc>
          <w:tcPr>
            <w:tcW w:w="80" w:type="dxa"/>
            <w:vAlign w:val="bottom"/>
          </w:tcPr>
          <w:p>
            <w:pPr>
              <w:spacing w:after="0"/>
              <w:rPr>
                <w:sz w:val="20"/>
                <w:szCs w:val="20"/>
                <w:color w:val="auto"/>
              </w:rPr>
            </w:pPr>
            <w:r>
              <w:rPr>
                <w:rFonts w:ascii="Arial" w:cs="Arial" w:eastAsia="Arial" w:hAnsi="Arial"/>
                <w:sz w:val="17"/>
                <w:szCs w:val="17"/>
                <w:b w:val="1"/>
                <w:bCs w:val="1"/>
                <w:color w:val="FEFEFE"/>
              </w:rPr>
              <w:t>​</w:t>
            </w:r>
          </w:p>
        </w:tc>
        <w:tc>
          <w:tcPr>
            <w:tcW w:w="268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7"/>
                <w:szCs w:val="17"/>
                <w:b w:val="1"/>
                <w:bCs w:val="1"/>
                <w:color w:val="FEFEFE"/>
              </w:rPr>
              <w:t>​</w:t>
            </w:r>
          </w:p>
        </w:tc>
      </w:tr>
      <w:tr>
        <w:trPr>
          <w:trHeight w:val="277"/>
        </w:trPr>
        <w:tc>
          <w:tcPr>
            <w:tcW w:w="120" w:type="dxa"/>
            <w:vAlign w:val="bottom"/>
            <w:tcBorders>
              <w:bottom w:val="single" w:sz="8" w:color="62259D"/>
            </w:tcBorders>
            <w:shd w:val="clear" w:color="auto" w:fill="62259D"/>
          </w:tcPr>
          <w:p>
            <w:pPr>
              <w:spacing w:after="0"/>
              <w:rPr>
                <w:sz w:val="20"/>
                <w:szCs w:val="20"/>
                <w:color w:val="auto"/>
              </w:rPr>
            </w:pPr>
            <w:r>
              <w:rPr>
                <w:rFonts w:ascii="Arial" w:cs="Arial" w:eastAsia="Arial" w:hAnsi="Arial"/>
                <w:sz w:val="17"/>
                <w:szCs w:val="17"/>
                <w:b w:val="1"/>
                <w:bCs w:val="1"/>
                <w:color w:val="FEFEFE"/>
              </w:rPr>
              <w:t>​</w:t>
            </w:r>
          </w:p>
        </w:tc>
        <w:tc>
          <w:tcPr>
            <w:tcW w:w="2660" w:type="dxa"/>
            <w:vAlign w:val="bottom"/>
            <w:tcBorders>
              <w:bottom w:val="single" w:sz="8" w:color="62259D"/>
            </w:tcBorders>
            <w:shd w:val="clear" w:color="auto" w:fill="62259D"/>
          </w:tcPr>
          <w:p>
            <w:pPr>
              <w:jc w:val="center"/>
              <w:ind w:right="38"/>
              <w:spacing w:after="0"/>
              <w:rPr>
                <w:sz w:val="20"/>
                <w:szCs w:val="20"/>
                <w:color w:val="auto"/>
              </w:rPr>
            </w:pPr>
            <w:r>
              <w:rPr>
                <w:rFonts w:ascii="Arial" w:cs="Arial" w:eastAsia="Arial" w:hAnsi="Arial"/>
                <w:sz w:val="17"/>
                <w:szCs w:val="17"/>
                <w:b w:val="1"/>
                <w:bCs w:val="1"/>
                <w:color w:val="FEFEFE"/>
              </w:rPr>
              <w:t>Patrick Macken</w:t>
            </w:r>
          </w:p>
        </w:tc>
        <w:tc>
          <w:tcPr>
            <w:tcW w:w="220" w:type="dxa"/>
            <w:vAlign w:val="bottom"/>
            <w:tcBorders>
              <w:bottom w:val="single" w:sz="8" w:color="FEFEFE"/>
            </w:tcBorders>
            <w:shd w:val="clear" w:color="auto" w:fill="FEFEFE"/>
          </w:tcPr>
          <w:p>
            <w:pPr>
              <w:spacing w:after="0"/>
              <w:rPr>
                <w:sz w:val="20"/>
                <w:szCs w:val="20"/>
                <w:color w:val="auto"/>
              </w:rPr>
            </w:pPr>
            <w:r>
              <w:rPr>
                <w:rFonts w:ascii="Arial" w:cs="Arial" w:eastAsia="Arial" w:hAnsi="Arial"/>
                <w:sz w:val="17"/>
                <w:szCs w:val="17"/>
                <w:b w:val="1"/>
                <w:bCs w:val="1"/>
                <w:color w:val="FEFEFE"/>
              </w:rPr>
              <w:t>​</w:t>
            </w:r>
          </w:p>
        </w:tc>
        <w:tc>
          <w:tcPr>
            <w:tcW w:w="140" w:type="dxa"/>
            <w:vAlign w:val="bottom"/>
            <w:tcBorders>
              <w:bottom w:val="single" w:sz="8" w:color="62259D"/>
            </w:tcBorders>
            <w:shd w:val="clear" w:color="auto" w:fill="62259D"/>
          </w:tcPr>
          <w:p>
            <w:pPr>
              <w:spacing w:after="0"/>
              <w:rPr>
                <w:sz w:val="20"/>
                <w:szCs w:val="20"/>
                <w:color w:val="auto"/>
              </w:rPr>
            </w:pPr>
            <w:r>
              <w:rPr>
                <w:rFonts w:ascii="Arial" w:cs="Arial" w:eastAsia="Arial" w:hAnsi="Arial"/>
                <w:sz w:val="17"/>
                <w:szCs w:val="17"/>
                <w:b w:val="1"/>
                <w:bCs w:val="1"/>
                <w:color w:val="FEFEFE"/>
              </w:rPr>
              <w:t>​</w:t>
            </w:r>
          </w:p>
        </w:tc>
        <w:tc>
          <w:tcPr>
            <w:tcW w:w="2740" w:type="dxa"/>
            <w:vAlign w:val="bottom"/>
            <w:tcBorders>
              <w:bottom w:val="single" w:sz="8" w:color="62259D"/>
            </w:tcBorders>
            <w:shd w:val="clear" w:color="auto" w:fill="62259D"/>
          </w:tcPr>
          <w:p>
            <w:pPr>
              <w:jc w:val="center"/>
              <w:ind w:right="58"/>
              <w:spacing w:after="0"/>
              <w:rPr>
                <w:sz w:val="20"/>
                <w:szCs w:val="20"/>
                <w:color w:val="auto"/>
              </w:rPr>
            </w:pPr>
            <w:r>
              <w:rPr>
                <w:rFonts w:ascii="Arial" w:cs="Arial" w:eastAsia="Arial" w:hAnsi="Arial"/>
                <w:sz w:val="17"/>
                <w:szCs w:val="17"/>
                <w:b w:val="1"/>
                <w:bCs w:val="1"/>
                <w:color w:val="FEFEFE"/>
              </w:rPr>
              <w:t>Dan Redington</w:t>
            </w:r>
          </w:p>
        </w:tc>
        <w:tc>
          <w:tcPr>
            <w:tcW w:w="220" w:type="dxa"/>
            <w:vAlign w:val="bottom"/>
            <w:tcBorders>
              <w:bottom w:val="single" w:sz="8" w:color="FEFEFE"/>
            </w:tcBorders>
            <w:shd w:val="clear" w:color="auto" w:fill="FEFEFE"/>
          </w:tcPr>
          <w:p>
            <w:pPr>
              <w:spacing w:after="0"/>
              <w:rPr>
                <w:sz w:val="20"/>
                <w:szCs w:val="20"/>
                <w:color w:val="auto"/>
              </w:rPr>
            </w:pPr>
            <w:r>
              <w:rPr>
                <w:rFonts w:ascii="Arial" w:cs="Arial" w:eastAsia="Arial" w:hAnsi="Arial"/>
                <w:sz w:val="17"/>
                <w:szCs w:val="17"/>
                <w:b w:val="1"/>
                <w:bCs w:val="1"/>
                <w:color w:val="FEFEFE"/>
              </w:rPr>
              <w:t>​</w:t>
            </w:r>
          </w:p>
        </w:tc>
        <w:tc>
          <w:tcPr>
            <w:tcW w:w="80" w:type="dxa"/>
            <w:vAlign w:val="bottom"/>
            <w:tcBorders>
              <w:bottom w:val="single" w:sz="8" w:color="62259D"/>
            </w:tcBorders>
            <w:shd w:val="clear" w:color="auto" w:fill="62259D"/>
          </w:tcPr>
          <w:p>
            <w:pPr>
              <w:spacing w:after="0"/>
              <w:rPr>
                <w:sz w:val="20"/>
                <w:szCs w:val="20"/>
                <w:color w:val="auto"/>
              </w:rPr>
            </w:pPr>
            <w:r>
              <w:rPr>
                <w:rFonts w:ascii="Arial" w:cs="Arial" w:eastAsia="Arial" w:hAnsi="Arial"/>
                <w:sz w:val="17"/>
                <w:szCs w:val="17"/>
                <w:b w:val="1"/>
                <w:bCs w:val="1"/>
                <w:color w:val="FEFEFE"/>
              </w:rPr>
              <w:t>​</w:t>
            </w:r>
          </w:p>
        </w:tc>
        <w:tc>
          <w:tcPr>
            <w:tcW w:w="2680" w:type="dxa"/>
            <w:vAlign w:val="bottom"/>
            <w:tcBorders>
              <w:bottom w:val="single" w:sz="8" w:color="62259D"/>
            </w:tcBorders>
            <w:shd w:val="clear" w:color="auto" w:fill="62259D"/>
          </w:tcPr>
          <w:p>
            <w:pPr>
              <w:jc w:val="center"/>
              <w:ind w:right="18"/>
              <w:spacing w:after="0"/>
              <w:rPr>
                <w:sz w:val="20"/>
                <w:szCs w:val="20"/>
                <w:color w:val="auto"/>
              </w:rPr>
            </w:pPr>
            <w:r>
              <w:rPr>
                <w:rFonts w:ascii="Arial" w:cs="Arial" w:eastAsia="Arial" w:hAnsi="Arial"/>
                <w:sz w:val="17"/>
                <w:szCs w:val="17"/>
                <w:b w:val="1"/>
                <w:bCs w:val="1"/>
                <w:color w:val="FEFEFE"/>
              </w:rPr>
              <w:t>Miguel Lopez</w:t>
            </w:r>
          </w:p>
        </w:tc>
        <w:tc>
          <w:tcPr>
            <w:tcW w:w="40" w:type="dxa"/>
            <w:vAlign w:val="bottom"/>
          </w:tcPr>
          <w:p>
            <w:pPr>
              <w:spacing w:after="0"/>
              <w:rPr>
                <w:sz w:val="20"/>
                <w:szCs w:val="20"/>
                <w:color w:val="auto"/>
              </w:rPr>
            </w:pPr>
            <w:r>
              <w:rPr>
                <w:rFonts w:ascii="Arial" w:cs="Arial" w:eastAsia="Arial" w:hAnsi="Arial"/>
                <w:sz w:val="17"/>
                <w:szCs w:val="17"/>
                <w:b w:val="1"/>
                <w:bCs w:val="1"/>
                <w:color w:val="FEFEFE"/>
              </w:rPr>
              <w:t>​</w:t>
            </w:r>
          </w:p>
        </w:tc>
      </w:tr>
      <w:tr>
        <w:trPr>
          <w:trHeight w:val="204"/>
        </w:trPr>
        <w:tc>
          <w:tcPr>
            <w:tcW w:w="120" w:type="dxa"/>
            <w:vAlign w:val="bottom"/>
          </w:tcPr>
          <w:p>
            <w:pPr>
              <w:spacing w:after="0"/>
              <w:rPr>
                <w:sz w:val="20"/>
                <w:szCs w:val="20"/>
                <w:color w:val="auto"/>
              </w:rPr>
            </w:pPr>
            <w:r>
              <w:rPr>
                <w:rFonts w:ascii="Arial" w:cs="Arial" w:eastAsia="Arial" w:hAnsi="Arial"/>
                <w:sz w:val="16"/>
                <w:szCs w:val="16"/>
                <w:i w:val="1"/>
                <w:iCs w:val="1"/>
                <w:color w:val="auto"/>
              </w:rPr>
              <w:t>​</w:t>
            </w:r>
          </w:p>
        </w:tc>
        <w:tc>
          <w:tcPr>
            <w:tcW w:w="2660" w:type="dxa"/>
            <w:vAlign w:val="bottom"/>
          </w:tcPr>
          <w:p>
            <w:pPr>
              <w:jc w:val="center"/>
              <w:ind w:right="78"/>
              <w:spacing w:after="0"/>
              <w:rPr>
                <w:sz w:val="20"/>
                <w:szCs w:val="20"/>
                <w:color w:val="auto"/>
              </w:rPr>
            </w:pPr>
            <w:r>
              <w:rPr>
                <w:rFonts w:ascii="Arial" w:cs="Arial" w:eastAsia="Arial" w:hAnsi="Arial"/>
                <w:sz w:val="16"/>
                <w:szCs w:val="16"/>
                <w:i w:val="1"/>
                <w:iCs w:val="1"/>
                <w:color w:val="auto"/>
              </w:rPr>
              <w:t>Executive Vice President, Chief</w:t>
            </w:r>
          </w:p>
        </w:tc>
        <w:tc>
          <w:tcPr>
            <w:tcW w:w="220" w:type="dxa"/>
            <w:vAlign w:val="bottom"/>
            <w:shd w:val="clear" w:color="auto" w:fill="FEFEFE"/>
          </w:tcPr>
          <w:p>
            <w:pPr>
              <w:spacing w:after="0"/>
              <w:rPr>
                <w:sz w:val="20"/>
                <w:szCs w:val="20"/>
                <w:color w:val="auto"/>
              </w:rPr>
            </w:pPr>
            <w:r>
              <w:rPr>
                <w:rFonts w:ascii="Arial" w:cs="Arial" w:eastAsia="Arial" w:hAnsi="Arial"/>
                <w:sz w:val="16"/>
                <w:szCs w:val="16"/>
                <w:i w:val="1"/>
                <w:iCs w:val="1"/>
                <w:color w:val="auto"/>
              </w:rPr>
              <w:t>​</w:t>
            </w:r>
          </w:p>
        </w:tc>
        <w:tc>
          <w:tcPr>
            <w:tcW w:w="140" w:type="dxa"/>
            <w:vAlign w:val="bottom"/>
          </w:tcPr>
          <w:p>
            <w:pPr>
              <w:spacing w:after="0"/>
              <w:rPr>
                <w:sz w:val="20"/>
                <w:szCs w:val="20"/>
                <w:color w:val="auto"/>
              </w:rPr>
            </w:pPr>
            <w:r>
              <w:rPr>
                <w:rFonts w:ascii="Arial" w:cs="Arial" w:eastAsia="Arial" w:hAnsi="Arial"/>
                <w:sz w:val="16"/>
                <w:szCs w:val="16"/>
                <w:i w:val="1"/>
                <w:iCs w:val="1"/>
                <w:color w:val="auto"/>
              </w:rPr>
              <w:t>​</w:t>
            </w:r>
          </w:p>
        </w:tc>
        <w:tc>
          <w:tcPr>
            <w:tcW w:w="2740" w:type="dxa"/>
            <w:vAlign w:val="bottom"/>
          </w:tcPr>
          <w:p>
            <w:pPr>
              <w:jc w:val="center"/>
              <w:ind w:right="58"/>
              <w:spacing w:after="0"/>
              <w:rPr>
                <w:sz w:val="20"/>
                <w:szCs w:val="20"/>
                <w:color w:val="auto"/>
              </w:rPr>
            </w:pPr>
            <w:r>
              <w:rPr>
                <w:rFonts w:ascii="Arial" w:cs="Arial" w:eastAsia="Arial" w:hAnsi="Arial"/>
                <w:sz w:val="16"/>
                <w:szCs w:val="16"/>
                <w:i w:val="1"/>
                <w:iCs w:val="1"/>
                <w:color w:val="auto"/>
              </w:rPr>
              <w:t>Executive Vice President, Global</w:t>
            </w:r>
          </w:p>
        </w:tc>
        <w:tc>
          <w:tcPr>
            <w:tcW w:w="220" w:type="dxa"/>
            <w:vAlign w:val="bottom"/>
            <w:shd w:val="clear" w:color="auto" w:fill="FEFEFE"/>
          </w:tcPr>
          <w:p>
            <w:pPr>
              <w:spacing w:after="0"/>
              <w:rPr>
                <w:sz w:val="20"/>
                <w:szCs w:val="20"/>
                <w:color w:val="auto"/>
              </w:rPr>
            </w:pPr>
            <w:r>
              <w:rPr>
                <w:rFonts w:ascii="Arial" w:cs="Arial" w:eastAsia="Arial" w:hAnsi="Arial"/>
                <w:sz w:val="16"/>
                <w:szCs w:val="16"/>
                <w:i w:val="1"/>
                <w:iCs w:val="1"/>
                <w:color w:val="auto"/>
              </w:rPr>
              <w:t>​</w:t>
            </w:r>
          </w:p>
        </w:tc>
        <w:tc>
          <w:tcPr>
            <w:tcW w:w="80" w:type="dxa"/>
            <w:vAlign w:val="bottom"/>
          </w:tcPr>
          <w:p>
            <w:pPr>
              <w:spacing w:after="0"/>
              <w:rPr>
                <w:sz w:val="20"/>
                <w:szCs w:val="20"/>
                <w:color w:val="auto"/>
              </w:rPr>
            </w:pPr>
            <w:r>
              <w:rPr>
                <w:rFonts w:ascii="Arial" w:cs="Arial" w:eastAsia="Arial" w:hAnsi="Arial"/>
                <w:sz w:val="16"/>
                <w:szCs w:val="16"/>
                <w:i w:val="1"/>
                <w:iCs w:val="1"/>
                <w:color w:val="auto"/>
              </w:rPr>
              <w:t>​</w:t>
            </w:r>
          </w:p>
        </w:tc>
        <w:tc>
          <w:tcPr>
            <w:tcW w:w="2680" w:type="dxa"/>
            <w:vAlign w:val="bottom"/>
          </w:tcPr>
          <w:p>
            <w:pPr>
              <w:jc w:val="center"/>
              <w:ind w:right="18"/>
              <w:spacing w:after="0"/>
              <w:rPr>
                <w:sz w:val="20"/>
                <w:szCs w:val="20"/>
                <w:color w:val="auto"/>
              </w:rPr>
            </w:pPr>
            <w:r>
              <w:rPr>
                <w:rFonts w:ascii="Arial" w:cs="Arial" w:eastAsia="Arial" w:hAnsi="Arial"/>
                <w:sz w:val="16"/>
                <w:szCs w:val="16"/>
                <w:i w:val="1"/>
                <w:iCs w:val="1"/>
                <w:color w:val="auto"/>
              </w:rPr>
              <w:t>Former Executive Vice President,</w:t>
            </w:r>
          </w:p>
        </w:tc>
        <w:tc>
          <w:tcPr>
            <w:tcW w:w="40" w:type="dxa"/>
            <w:vAlign w:val="bottom"/>
          </w:tcPr>
          <w:p>
            <w:pPr>
              <w:spacing w:after="0"/>
              <w:rPr>
                <w:sz w:val="20"/>
                <w:szCs w:val="20"/>
                <w:color w:val="auto"/>
              </w:rPr>
            </w:pPr>
            <w:r>
              <w:rPr>
                <w:rFonts w:ascii="Arial" w:cs="Arial" w:eastAsia="Arial" w:hAnsi="Arial"/>
                <w:sz w:val="16"/>
                <w:szCs w:val="16"/>
                <w:i w:val="1"/>
                <w:iCs w:val="1"/>
                <w:color w:val="auto"/>
              </w:rPr>
              <w:t>​</w:t>
            </w:r>
          </w:p>
        </w:tc>
      </w:tr>
      <w:tr>
        <w:trPr>
          <w:trHeight w:val="189"/>
        </w:trPr>
        <w:tc>
          <w:tcPr>
            <w:tcW w:w="120" w:type="dxa"/>
            <w:vAlign w:val="bottom"/>
          </w:tcPr>
          <w:p>
            <w:pPr>
              <w:spacing w:after="0"/>
              <w:rPr>
                <w:sz w:val="16"/>
                <w:szCs w:val="16"/>
                <w:color w:val="auto"/>
              </w:rPr>
            </w:pPr>
          </w:p>
        </w:tc>
        <w:tc>
          <w:tcPr>
            <w:tcW w:w="2660" w:type="dxa"/>
            <w:vAlign w:val="bottom"/>
          </w:tcPr>
          <w:p>
            <w:pPr>
              <w:jc w:val="center"/>
              <w:ind w:right="18"/>
              <w:spacing w:after="0"/>
              <w:rPr>
                <w:sz w:val="20"/>
                <w:szCs w:val="20"/>
                <w:color w:val="auto"/>
              </w:rPr>
            </w:pPr>
            <w:r>
              <w:rPr>
                <w:rFonts w:ascii="Arial" w:cs="Arial" w:eastAsia="Arial" w:hAnsi="Arial"/>
                <w:sz w:val="16"/>
                <w:szCs w:val="16"/>
                <w:i w:val="1"/>
                <w:iCs w:val="1"/>
                <w:color w:val="auto"/>
              </w:rPr>
              <w:t>Legal Officer and Corporate</w:t>
            </w:r>
          </w:p>
        </w:tc>
        <w:tc>
          <w:tcPr>
            <w:tcW w:w="220" w:type="dxa"/>
            <w:vAlign w:val="bottom"/>
            <w:shd w:val="clear" w:color="auto" w:fill="FEFEFE"/>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tcPr>
          <w:p>
            <w:pPr>
              <w:jc w:val="center"/>
              <w:ind w:right="78"/>
              <w:spacing w:after="0"/>
              <w:rPr>
                <w:sz w:val="20"/>
                <w:szCs w:val="20"/>
                <w:color w:val="auto"/>
              </w:rPr>
            </w:pPr>
            <w:r>
              <w:rPr>
                <w:rFonts w:ascii="Arial" w:cs="Arial" w:eastAsia="Arial" w:hAnsi="Arial"/>
                <w:sz w:val="16"/>
                <w:szCs w:val="16"/>
                <w:i w:val="1"/>
                <w:iCs w:val="1"/>
                <w:color w:val="auto"/>
              </w:rPr>
              <w:t>Sales</w:t>
            </w:r>
          </w:p>
        </w:tc>
        <w:tc>
          <w:tcPr>
            <w:tcW w:w="220" w:type="dxa"/>
            <w:vAlign w:val="bottom"/>
            <w:shd w:val="clear" w:color="auto" w:fill="FEFEFE"/>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tcPr>
          <w:p>
            <w:pPr>
              <w:jc w:val="center"/>
              <w:ind w:right="18"/>
              <w:spacing w:after="0"/>
              <w:rPr>
                <w:sz w:val="20"/>
                <w:szCs w:val="20"/>
                <w:color w:val="auto"/>
              </w:rPr>
            </w:pPr>
            <w:r>
              <w:rPr>
                <w:rFonts w:ascii="Arial" w:cs="Arial" w:eastAsia="Arial" w:hAnsi="Arial"/>
                <w:sz w:val="16"/>
                <w:szCs w:val="16"/>
                <w:i w:val="1"/>
                <w:iCs w:val="1"/>
                <w:color w:val="auto"/>
              </w:rPr>
              <w:t>Chief Financial Officer (Mr. Lopez</w:t>
            </w:r>
          </w:p>
        </w:tc>
        <w:tc>
          <w:tcPr>
            <w:tcW w:w="40" w:type="dxa"/>
            <w:vAlign w:val="bottom"/>
          </w:tcPr>
          <w:p>
            <w:pPr>
              <w:spacing w:after="0"/>
              <w:rPr>
                <w:sz w:val="16"/>
                <w:szCs w:val="16"/>
                <w:color w:val="auto"/>
              </w:rPr>
            </w:pPr>
          </w:p>
        </w:tc>
      </w:tr>
      <w:tr>
        <w:trPr>
          <w:trHeight w:val="176"/>
        </w:trPr>
        <w:tc>
          <w:tcPr>
            <w:tcW w:w="120" w:type="dxa"/>
            <w:vAlign w:val="bottom"/>
          </w:tcPr>
          <w:p>
            <w:pPr>
              <w:spacing w:after="0"/>
              <w:rPr>
                <w:sz w:val="15"/>
                <w:szCs w:val="15"/>
                <w:color w:val="auto"/>
              </w:rPr>
            </w:pPr>
          </w:p>
        </w:tc>
        <w:tc>
          <w:tcPr>
            <w:tcW w:w="2660" w:type="dxa"/>
            <w:vAlign w:val="bottom"/>
          </w:tcPr>
          <w:p>
            <w:pPr>
              <w:jc w:val="center"/>
              <w:ind w:right="18"/>
              <w:spacing w:after="0" w:line="175" w:lineRule="exact"/>
              <w:rPr>
                <w:sz w:val="20"/>
                <w:szCs w:val="20"/>
                <w:color w:val="auto"/>
              </w:rPr>
            </w:pPr>
            <w:r>
              <w:rPr>
                <w:rFonts w:ascii="Arial" w:cs="Arial" w:eastAsia="Arial" w:hAnsi="Arial"/>
                <w:sz w:val="16"/>
                <w:szCs w:val="16"/>
                <w:i w:val="1"/>
                <w:iCs w:val="1"/>
                <w:color w:val="auto"/>
              </w:rPr>
              <w:t>Secretary</w:t>
            </w:r>
          </w:p>
        </w:tc>
        <w:tc>
          <w:tcPr>
            <w:tcW w:w="220" w:type="dxa"/>
            <w:vAlign w:val="bottom"/>
            <w:shd w:val="clear" w:color="auto" w:fill="FEFEFE"/>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shd w:val="clear" w:color="auto" w:fill="FEFEFE"/>
          </w:tcPr>
          <w:p>
            <w:pPr>
              <w:spacing w:after="0"/>
              <w:rPr>
                <w:sz w:val="15"/>
                <w:szCs w:val="15"/>
                <w:color w:val="auto"/>
              </w:rPr>
            </w:pPr>
          </w:p>
        </w:tc>
        <w:tc>
          <w:tcPr>
            <w:tcW w:w="80" w:type="dxa"/>
            <w:vAlign w:val="bottom"/>
          </w:tcPr>
          <w:p>
            <w:pPr>
              <w:spacing w:after="0"/>
              <w:rPr>
                <w:sz w:val="15"/>
                <w:szCs w:val="15"/>
                <w:color w:val="auto"/>
              </w:rPr>
            </w:pPr>
          </w:p>
        </w:tc>
        <w:tc>
          <w:tcPr>
            <w:tcW w:w="2680" w:type="dxa"/>
            <w:vAlign w:val="bottom"/>
          </w:tcPr>
          <w:p>
            <w:pPr>
              <w:jc w:val="center"/>
              <w:spacing w:after="0" w:line="175" w:lineRule="exact"/>
              <w:rPr>
                <w:sz w:val="20"/>
                <w:szCs w:val="20"/>
                <w:color w:val="auto"/>
              </w:rPr>
            </w:pPr>
            <w:r>
              <w:rPr>
                <w:rFonts w:ascii="Arial" w:cs="Arial" w:eastAsia="Arial" w:hAnsi="Arial"/>
                <w:sz w:val="16"/>
                <w:szCs w:val="16"/>
                <w:i w:val="1"/>
                <w:iCs w:val="1"/>
                <w:color w:val="auto"/>
              </w:rPr>
              <w:t>retired from Ribbon in November</w:t>
            </w:r>
          </w:p>
        </w:tc>
        <w:tc>
          <w:tcPr>
            <w:tcW w:w="40" w:type="dxa"/>
            <w:vAlign w:val="bottom"/>
          </w:tcPr>
          <w:p>
            <w:pPr>
              <w:spacing w:after="0"/>
              <w:rPr>
                <w:sz w:val="15"/>
                <w:szCs w:val="15"/>
                <w:color w:val="auto"/>
              </w:rPr>
            </w:pPr>
          </w:p>
        </w:tc>
      </w:tr>
      <w:tr>
        <w:trPr>
          <w:trHeight w:val="215"/>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tcPr>
          <w:p>
            <w:pPr>
              <w:jc w:val="center"/>
              <w:ind w:right="18"/>
              <w:spacing w:after="0"/>
              <w:rPr>
                <w:sz w:val="20"/>
                <w:szCs w:val="20"/>
                <w:color w:val="auto"/>
              </w:rPr>
            </w:pPr>
            <w:r>
              <w:rPr>
                <w:rFonts w:ascii="Arial" w:cs="Arial" w:eastAsia="Arial" w:hAnsi="Arial"/>
                <w:sz w:val="16"/>
                <w:szCs w:val="16"/>
                <w:i w:val="1"/>
                <w:iCs w:val="1"/>
                <w:color w:val="auto"/>
              </w:rPr>
              <w:t>2024)</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1185545</wp:posOffset>
            </wp:positionH>
            <wp:positionV relativeFrom="paragraph">
              <wp:posOffset>-1319530</wp:posOffset>
            </wp:positionV>
            <wp:extent cx="574040" cy="5740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74040" cy="574040"/>
                    </a:xfrm>
                    <a:prstGeom prst="rect">
                      <a:avLst/>
                    </a:prstGeom>
                    <a:noFill/>
                  </pic:spPr>
                </pic:pic>
              </a:graphicData>
            </a:graphic>
          </wp:anchor>
        </w:drawing>
        <w:drawing>
          <wp:anchor simplePos="0" relativeHeight="251657728" behindDoc="1" locked="0" layoutInCell="0" allowOverlap="1">
            <wp:simplePos x="0" y="0"/>
            <wp:positionH relativeFrom="column">
              <wp:posOffset>3114675</wp:posOffset>
            </wp:positionH>
            <wp:positionV relativeFrom="paragraph">
              <wp:posOffset>-1319530</wp:posOffset>
            </wp:positionV>
            <wp:extent cx="574040" cy="5740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74040" cy="574040"/>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-1319530</wp:posOffset>
            </wp:positionV>
            <wp:extent cx="574675" cy="5740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74675" cy="574040"/>
                    </a:xfrm>
                    <a:prstGeom prst="rect">
                      <a:avLst/>
                    </a:prstGeom>
                    <a:noFill/>
                  </pic:spPr>
                </pic:pic>
              </a:graphicData>
            </a:graphic>
          </wp:anchor>
        </w:drawing>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Executive Summary of 2024 Executive Compensation Decisions</w:t>
      </w:r>
    </w:p>
    <w:p>
      <w:pPr>
        <w:spacing w:after="0" w:line="139" w:lineRule="exact"/>
        <w:rPr>
          <w:sz w:val="20"/>
          <w:szCs w:val="20"/>
          <w:color w:val="auto"/>
        </w:rPr>
      </w:pPr>
    </w:p>
    <w:p>
      <w:pPr>
        <w:ind w:left="920" w:right="179"/>
        <w:spacing w:after="0" w:line="262" w:lineRule="auto"/>
        <w:rPr>
          <w:sz w:val="20"/>
          <w:szCs w:val="20"/>
          <w:color w:val="auto"/>
        </w:rPr>
      </w:pPr>
      <w:r>
        <w:rPr>
          <w:rFonts w:ascii="Arial" w:cs="Arial" w:eastAsia="Arial" w:hAnsi="Arial"/>
          <w:sz w:val="18"/>
          <w:szCs w:val="18"/>
          <w:color w:val="auto"/>
        </w:rPr>
        <w:t>We believe that our executive compensation program supports our business strategies and talent management objectives and is consistent with sound governance practices that are intended to best serve our stockholders’ long-term interests. In making its compensation decisions for 2024, the Compensation Committee considered, among other things:</w:t>
      </w:r>
    </w:p>
    <w:p>
      <w:pPr>
        <w:spacing w:after="0" w:line="95" w:lineRule="exact"/>
        <w:rPr>
          <w:sz w:val="20"/>
          <w:szCs w:val="20"/>
          <w:color w:val="auto"/>
        </w:rPr>
      </w:pPr>
    </w:p>
    <w:p>
      <w:pPr>
        <w:ind w:left="1280" w:hanging="356"/>
        <w:spacing w:after="0"/>
        <w:tabs>
          <w:tab w:leader="none" w:pos="1280" w:val="left"/>
        </w:tabs>
        <w:numPr>
          <w:ilvl w:val="0"/>
          <w:numId w:val="95"/>
        </w:numPr>
        <w:rPr>
          <w:rFonts w:ascii="Arial" w:cs="Arial" w:eastAsia="Arial" w:hAnsi="Arial"/>
          <w:sz w:val="18"/>
          <w:szCs w:val="18"/>
          <w:color w:val="62259D"/>
        </w:rPr>
      </w:pPr>
      <w:r>
        <w:rPr>
          <w:rFonts w:ascii="Arial" w:cs="Arial" w:eastAsia="Arial" w:hAnsi="Arial"/>
          <w:sz w:val="18"/>
          <w:szCs w:val="18"/>
          <w:color w:val="auto"/>
        </w:rPr>
        <w:t>our financial and operational results for the year,</w:t>
      </w:r>
    </w:p>
    <w:p>
      <w:pPr>
        <w:spacing w:after="0" w:line="103" w:lineRule="exact"/>
        <w:rPr>
          <w:rFonts w:ascii="Arial" w:cs="Arial" w:eastAsia="Arial" w:hAnsi="Arial"/>
          <w:sz w:val="18"/>
          <w:szCs w:val="18"/>
          <w:color w:val="62259D"/>
        </w:rPr>
      </w:pPr>
    </w:p>
    <w:p>
      <w:pPr>
        <w:ind w:left="1280" w:hanging="356"/>
        <w:spacing w:after="0"/>
        <w:tabs>
          <w:tab w:leader="none" w:pos="1280" w:val="left"/>
        </w:tabs>
        <w:numPr>
          <w:ilvl w:val="0"/>
          <w:numId w:val="95"/>
        </w:numPr>
        <w:rPr>
          <w:rFonts w:ascii="Arial" w:cs="Arial" w:eastAsia="Arial" w:hAnsi="Arial"/>
          <w:sz w:val="18"/>
          <w:szCs w:val="18"/>
          <w:color w:val="62259D"/>
        </w:rPr>
      </w:pPr>
      <w:r>
        <w:rPr>
          <w:rFonts w:ascii="Arial" w:cs="Arial" w:eastAsia="Arial" w:hAnsi="Arial"/>
          <w:sz w:val="18"/>
          <w:szCs w:val="18"/>
          <w:color w:val="auto"/>
        </w:rPr>
        <w:t>the result of the say-on-pay vote at our 2024 annual meeting of stockholders, and</w:t>
      </w:r>
    </w:p>
    <w:p>
      <w:pPr>
        <w:spacing w:after="0" w:line="90" w:lineRule="exact"/>
        <w:rPr>
          <w:rFonts w:ascii="Arial" w:cs="Arial" w:eastAsia="Arial" w:hAnsi="Arial"/>
          <w:sz w:val="18"/>
          <w:szCs w:val="18"/>
          <w:color w:val="62259D"/>
        </w:rPr>
      </w:pPr>
    </w:p>
    <w:p>
      <w:pPr>
        <w:ind w:left="1280" w:hanging="356"/>
        <w:spacing w:after="0"/>
        <w:tabs>
          <w:tab w:leader="none" w:pos="1280" w:val="left"/>
        </w:tabs>
        <w:numPr>
          <w:ilvl w:val="0"/>
          <w:numId w:val="95"/>
        </w:numPr>
        <w:rPr>
          <w:rFonts w:ascii="Arial" w:cs="Arial" w:eastAsia="Arial" w:hAnsi="Arial"/>
          <w:sz w:val="18"/>
          <w:szCs w:val="18"/>
          <w:color w:val="62259D"/>
        </w:rPr>
      </w:pPr>
      <w:r>
        <w:rPr>
          <w:rFonts w:ascii="Arial" w:cs="Arial" w:eastAsia="Arial" w:hAnsi="Arial"/>
          <w:sz w:val="18"/>
          <w:szCs w:val="18"/>
          <w:color w:val="auto"/>
        </w:rPr>
        <w:t>the achievement of the compensation objectives set by the Compensation Committee.</w:t>
      </w:r>
    </w:p>
    <w:p>
      <w:pPr>
        <w:spacing w:after="0" w:line="131" w:lineRule="exact"/>
        <w:rPr>
          <w:sz w:val="20"/>
          <w:szCs w:val="20"/>
          <w:color w:val="auto"/>
        </w:rPr>
      </w:pPr>
    </w:p>
    <w:p>
      <w:pPr>
        <w:ind w:left="920" w:right="639"/>
        <w:spacing w:after="0" w:line="287" w:lineRule="auto"/>
        <w:rPr>
          <w:sz w:val="20"/>
          <w:szCs w:val="20"/>
          <w:color w:val="auto"/>
        </w:rPr>
      </w:pPr>
      <w:r>
        <w:rPr>
          <w:rFonts w:ascii="Arial" w:cs="Arial" w:eastAsia="Arial" w:hAnsi="Arial"/>
          <w:sz w:val="18"/>
          <w:szCs w:val="18"/>
          <w:color w:val="auto"/>
        </w:rPr>
        <w:t>The components of the NEOs’ compensation and the key decisions underlying such components are described below.</w:t>
      </w:r>
    </w:p>
    <w:p>
      <w:pPr>
        <w:spacing w:after="0" w:line="164" w:lineRule="exact"/>
        <w:rPr>
          <w:sz w:val="20"/>
          <w:szCs w:val="20"/>
          <w:color w:val="auto"/>
        </w:rPr>
      </w:pPr>
    </w:p>
    <w:p>
      <w:pPr>
        <w:jc w:val="center"/>
        <w:ind w:right="-760"/>
        <w:spacing w:after="0"/>
        <w:rPr>
          <w:sz w:val="20"/>
          <w:szCs w:val="20"/>
          <w:color w:val="auto"/>
        </w:rPr>
      </w:pPr>
      <w:r>
        <w:rPr>
          <w:rFonts w:ascii="Arial" w:cs="Arial" w:eastAsia="Arial" w:hAnsi="Arial"/>
          <w:sz w:val="20"/>
          <w:szCs w:val="20"/>
          <w:color w:val="E7417A"/>
        </w:rPr>
        <w:t>TARGETED COMPENSATION COMPONENTS OF THE CEO AND CURRENT NEOs</w:t>
      </w:r>
    </w:p>
    <w:p>
      <w:pPr>
        <w:spacing w:after="0" w:line="31" w:lineRule="exact"/>
        <w:rPr>
          <w:sz w:val="20"/>
          <w:szCs w:val="20"/>
          <w:color w:val="auto"/>
        </w:rPr>
      </w:pPr>
    </w:p>
    <w:p>
      <w:pPr>
        <w:jc w:val="center"/>
        <w:ind w:right="-820"/>
        <w:spacing w:after="0"/>
        <w:rPr>
          <w:sz w:val="20"/>
          <w:szCs w:val="20"/>
          <w:color w:val="auto"/>
        </w:rPr>
      </w:pPr>
      <w:r>
        <w:rPr>
          <w:rFonts w:ascii="Arial" w:cs="Arial" w:eastAsia="Arial" w:hAnsi="Arial"/>
          <w:sz w:val="20"/>
          <w:szCs w:val="20"/>
          <w:color w:val="E7417A"/>
        </w:rPr>
        <w:t>(AS A PERCENTAGE OF 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104775</wp:posOffset>
            </wp:positionV>
            <wp:extent cx="3257550" cy="18605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257550" cy="1860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20" w:right="319"/>
        <w:spacing w:after="0" w:line="268" w:lineRule="auto"/>
        <w:rPr>
          <w:sz w:val="20"/>
          <w:szCs w:val="20"/>
          <w:color w:val="auto"/>
        </w:rPr>
      </w:pPr>
      <w:r>
        <w:rPr>
          <w:rFonts w:ascii="Arial" w:cs="Arial" w:eastAsia="Arial" w:hAnsi="Arial"/>
          <w:sz w:val="18"/>
          <w:szCs w:val="18"/>
          <w:color w:val="auto"/>
        </w:rPr>
        <w:t>Our NEOs are responsible for achieving both short- and long-term performance goals critical to our long-term success. Accordingly, compensation is weighted more heavily towards rewarding variable compensation as an individual rises within the organization.</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Executive Compensation Highlights</w:t>
      </w:r>
    </w:p>
    <w:p>
      <w:pPr>
        <w:spacing w:after="0" w:line="135" w:lineRule="exact"/>
        <w:rPr>
          <w:sz w:val="20"/>
          <w:szCs w:val="20"/>
          <w:color w:val="auto"/>
        </w:rPr>
      </w:pPr>
    </w:p>
    <w:p>
      <w:pPr>
        <w:ind w:left="920" w:right="159"/>
        <w:spacing w:after="0" w:line="259" w:lineRule="auto"/>
        <w:rPr>
          <w:sz w:val="20"/>
          <w:szCs w:val="20"/>
          <w:color w:val="auto"/>
        </w:rPr>
      </w:pPr>
      <w:r>
        <w:rPr>
          <w:rFonts w:ascii="Arial" w:cs="Arial" w:eastAsia="Arial" w:hAnsi="Arial"/>
          <w:sz w:val="18"/>
          <w:szCs w:val="18"/>
          <w:color w:val="auto"/>
        </w:rPr>
        <w:t>The Compensation Committee reviews its pay practices to help ensure that they are aligned with the goals and objectives of the business established by the Board, and that such practices reflect what the Compensation Committee believes are good pay practices and support the Company’s strong governance and pay for performance compensation philosophy. No material changes were made to the pay practice structure in 2024.</w:t>
      </w:r>
    </w:p>
    <w:p>
      <w:pPr>
        <w:spacing w:after="0" w:line="166" w:lineRule="exact"/>
        <w:rPr>
          <w:sz w:val="20"/>
          <w:szCs w:val="20"/>
          <w:color w:val="auto"/>
        </w:rPr>
      </w:pPr>
    </w:p>
    <w:p>
      <w:pPr>
        <w:jc w:val="right"/>
        <w:ind w:right="159"/>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Our Guiding Compensation Philosophy</w:t>
      </w:r>
    </w:p>
    <w:p>
      <w:pPr>
        <w:spacing w:after="0" w:line="135" w:lineRule="exact"/>
        <w:rPr>
          <w:sz w:val="20"/>
          <w:szCs w:val="20"/>
          <w:color w:val="auto"/>
        </w:rPr>
      </w:pPr>
    </w:p>
    <w:p>
      <w:pPr>
        <w:ind w:left="920" w:right="139"/>
        <w:spacing w:after="0" w:line="247" w:lineRule="auto"/>
        <w:rPr>
          <w:sz w:val="20"/>
          <w:szCs w:val="20"/>
          <w:color w:val="auto"/>
        </w:rPr>
      </w:pPr>
      <w:r>
        <w:rPr>
          <w:rFonts w:ascii="Arial" w:cs="Arial" w:eastAsia="Arial" w:hAnsi="Arial"/>
          <w:sz w:val="18"/>
          <w:szCs w:val="18"/>
          <w:color w:val="auto"/>
        </w:rPr>
        <w:t>Our compensation philosophy and practices are a critical part of our business strategy. We have a rigorous performance and compensation management system, and we believe our compensation processes and programs are aligned to provide strong incentives for success while appropriately balancing risk. In setting policies and practices regarding compensation, our guiding philosophy is that our compensation programs should: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90170</wp:posOffset>
            </wp:positionV>
            <wp:extent cx="5528945" cy="15087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52894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seek to accomplish these objectives by:</w:t>
      </w:r>
    </w:p>
    <w:p>
      <w:pPr>
        <w:spacing w:after="0" w:line="131" w:lineRule="exact"/>
        <w:rPr>
          <w:sz w:val="20"/>
          <w:szCs w:val="20"/>
          <w:color w:val="auto"/>
        </w:rPr>
      </w:pPr>
    </w:p>
    <w:p>
      <w:pPr>
        <w:ind w:left="1280" w:hanging="356"/>
        <w:spacing w:after="0"/>
        <w:tabs>
          <w:tab w:leader="none" w:pos="1280" w:val="left"/>
        </w:tabs>
        <w:numPr>
          <w:ilvl w:val="0"/>
          <w:numId w:val="96"/>
        </w:numPr>
        <w:rPr>
          <w:rFonts w:ascii="Arial" w:cs="Arial" w:eastAsia="Arial" w:hAnsi="Arial"/>
          <w:sz w:val="18"/>
          <w:szCs w:val="18"/>
          <w:color w:val="62259D"/>
        </w:rPr>
      </w:pPr>
      <w:r>
        <w:rPr>
          <w:rFonts w:ascii="Arial" w:cs="Arial" w:eastAsia="Arial" w:hAnsi="Arial"/>
          <w:sz w:val="18"/>
          <w:szCs w:val="18"/>
          <w:color w:val="auto"/>
        </w:rPr>
        <w:t>providing independent Compensation Committee oversight;</w:t>
      </w:r>
    </w:p>
    <w:p>
      <w:pPr>
        <w:spacing w:after="0" w:line="76" w:lineRule="exact"/>
        <w:rPr>
          <w:rFonts w:ascii="Arial" w:cs="Arial" w:eastAsia="Arial" w:hAnsi="Arial"/>
          <w:sz w:val="18"/>
          <w:szCs w:val="18"/>
          <w:color w:val="62259D"/>
        </w:rPr>
      </w:pPr>
    </w:p>
    <w:p>
      <w:pPr>
        <w:ind w:left="1280" w:right="319" w:hanging="356"/>
        <w:spacing w:after="0" w:line="271" w:lineRule="auto"/>
        <w:tabs>
          <w:tab w:leader="none" w:pos="1280" w:val="left"/>
        </w:tabs>
        <w:numPr>
          <w:ilvl w:val="0"/>
          <w:numId w:val="96"/>
        </w:numPr>
        <w:rPr>
          <w:rFonts w:ascii="Arial" w:cs="Arial" w:eastAsia="Arial" w:hAnsi="Arial"/>
          <w:sz w:val="18"/>
          <w:szCs w:val="18"/>
          <w:color w:val="62259D"/>
        </w:rPr>
      </w:pPr>
      <w:r>
        <w:rPr>
          <w:rFonts w:ascii="Arial" w:cs="Arial" w:eastAsia="Arial" w:hAnsi="Arial"/>
          <w:sz w:val="18"/>
          <w:szCs w:val="18"/>
          <w:color w:val="auto"/>
        </w:rPr>
        <w:t>encouraging and rewarding outstanding initiative, achievement, teamwork, appropriate business-risk taking and a shared success environment; and</w:t>
      </w:r>
    </w:p>
    <w:p>
      <w:pPr>
        <w:spacing w:after="0" w:line="18" w:lineRule="exact"/>
        <w:rPr>
          <w:rFonts w:ascii="Arial" w:cs="Arial" w:eastAsia="Arial" w:hAnsi="Arial"/>
          <w:sz w:val="18"/>
          <w:szCs w:val="18"/>
          <w:color w:val="62259D"/>
        </w:rPr>
      </w:pPr>
    </w:p>
    <w:p>
      <w:pPr>
        <w:ind w:left="1280" w:right="599" w:hanging="356"/>
        <w:spacing w:after="0" w:line="271" w:lineRule="auto"/>
        <w:tabs>
          <w:tab w:leader="none" w:pos="1280" w:val="left"/>
        </w:tabs>
        <w:numPr>
          <w:ilvl w:val="0"/>
          <w:numId w:val="96"/>
        </w:numPr>
        <w:rPr>
          <w:rFonts w:ascii="Arial" w:cs="Arial" w:eastAsia="Arial" w:hAnsi="Arial"/>
          <w:sz w:val="18"/>
          <w:szCs w:val="18"/>
          <w:color w:val="62259D"/>
        </w:rPr>
      </w:pPr>
      <w:r>
        <w:rPr>
          <w:rFonts w:ascii="Arial" w:cs="Arial" w:eastAsia="Arial" w:hAnsi="Arial"/>
          <w:sz w:val="18"/>
          <w:szCs w:val="18"/>
          <w:color w:val="auto"/>
        </w:rPr>
        <w:t>reinforcing critical measures of performance derived from our business strategy and key success factors.</w:t>
      </w:r>
    </w:p>
    <w:p>
      <w:pPr>
        <w:spacing w:after="0" w:line="73" w:lineRule="exact"/>
        <w:rPr>
          <w:sz w:val="20"/>
          <w:szCs w:val="20"/>
          <w:color w:val="auto"/>
        </w:rPr>
      </w:pPr>
    </w:p>
    <w:p>
      <w:pPr>
        <w:ind w:left="920" w:right="99"/>
        <w:spacing w:after="0" w:line="271" w:lineRule="auto"/>
        <w:rPr>
          <w:sz w:val="20"/>
          <w:szCs w:val="20"/>
          <w:color w:val="auto"/>
        </w:rPr>
      </w:pPr>
      <w:r>
        <w:rPr>
          <w:rFonts w:ascii="Arial" w:cs="Arial" w:eastAsia="Arial" w:hAnsi="Arial"/>
          <w:sz w:val="18"/>
          <w:szCs w:val="18"/>
          <w:color w:val="auto"/>
        </w:rPr>
        <w:t>These objectives, and our general compensation philosophy, are reviewed on an annual basis and updated as appropriate.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38</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Some of the highlights of our compensation programs and practices are as follows: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257"/>
        </w:trPr>
        <w:tc>
          <w:tcPr>
            <w:tcW w:w="260" w:type="dxa"/>
            <w:vAlign w:val="bottom"/>
            <w:shd w:val="clear" w:color="auto" w:fill="62259D"/>
          </w:tcPr>
          <w:p>
            <w:pPr>
              <w:ind w:left="60"/>
              <w:spacing w:after="0"/>
              <w:rPr>
                <w:sz w:val="20"/>
                <w:szCs w:val="20"/>
                <w:color w:val="auto"/>
              </w:rPr>
            </w:pPr>
            <w:r>
              <w:rPr>
                <w:rFonts w:ascii="Arial" w:cs="Arial" w:eastAsia="Arial" w:hAnsi="Arial"/>
                <w:sz w:val="16"/>
                <w:szCs w:val="16"/>
                <w:b w:val="1"/>
                <w:bCs w:val="1"/>
                <w:color w:val="FEFEFE"/>
              </w:rPr>
              <w:t>​</w:t>
            </w:r>
          </w:p>
        </w:tc>
        <w:tc>
          <w:tcPr>
            <w:tcW w:w="7280" w:type="dxa"/>
            <w:vAlign w:val="bottom"/>
            <w:shd w:val="clear" w:color="auto" w:fill="62259D"/>
          </w:tcPr>
          <w:p>
            <w:pPr>
              <w:ind w:left="2260"/>
              <w:spacing w:after="0"/>
              <w:rPr>
                <w:sz w:val="20"/>
                <w:szCs w:val="20"/>
                <w:color w:val="auto"/>
              </w:rPr>
            </w:pPr>
            <w:r>
              <w:rPr>
                <w:rFonts w:ascii="Arial" w:cs="Arial" w:eastAsia="Arial" w:hAnsi="Arial"/>
                <w:sz w:val="16"/>
                <w:szCs w:val="16"/>
                <w:b w:val="1"/>
                <w:bCs w:val="1"/>
                <w:color w:val="FEFEFE"/>
              </w:rPr>
              <w:t>Compensation Best Practices that We Follow</w:t>
            </w:r>
          </w:p>
        </w:tc>
        <w:tc>
          <w:tcPr>
            <w:tcW w:w="1320" w:type="dxa"/>
            <w:vAlign w:val="bottom"/>
            <w:shd w:val="clear" w:color="auto" w:fill="62259D"/>
          </w:tcPr>
          <w:p>
            <w:pPr>
              <w:ind w:left="1260"/>
              <w:spacing w:after="0"/>
              <w:rPr>
                <w:sz w:val="20"/>
                <w:szCs w:val="20"/>
                <w:color w:val="auto"/>
              </w:rPr>
            </w:pPr>
            <w:r>
              <w:rPr>
                <w:rFonts w:ascii="Arial" w:cs="Arial" w:eastAsia="Arial" w:hAnsi="Arial"/>
                <w:sz w:val="16"/>
                <w:szCs w:val="16"/>
                <w:b w:val="1"/>
                <w:bCs w:val="1"/>
                <w:color w:val="FEFEFE"/>
              </w:rPr>
              <w:t>​</w:t>
            </w:r>
          </w:p>
        </w:tc>
      </w:tr>
      <w:tr>
        <w:trPr>
          <w:trHeight w:val="235"/>
        </w:trPr>
        <w:tc>
          <w:tcPr>
            <w:tcW w:w="260" w:type="dxa"/>
            <w:vAlign w:val="bottom"/>
          </w:tcPr>
          <w:p>
            <w:pPr>
              <w:spacing w:after="0"/>
              <w:rPr>
                <w:sz w:val="20"/>
                <w:szCs w:val="20"/>
                <w:color w:val="auto"/>
              </w:rPr>
            </w:pPr>
            <w:r>
              <w:rPr>
                <w:rFonts w:ascii="Arial" w:cs="Arial" w:eastAsia="Arial" w:hAnsi="Arial"/>
                <w:sz w:val="16"/>
                <w:szCs w:val="16"/>
                <w:color w:val="auto"/>
              </w:rPr>
              <w:t>​</w:t>
            </w:r>
          </w:p>
        </w:tc>
        <w:tc>
          <w:tcPr>
            <w:tcW w:w="7280" w:type="dxa"/>
            <w:vAlign w:val="bottom"/>
          </w:tcPr>
          <w:p>
            <w:pPr>
              <w:ind w:left="180"/>
              <w:spacing w:after="0"/>
              <w:rPr>
                <w:sz w:val="20"/>
                <w:szCs w:val="20"/>
                <w:color w:val="auto"/>
              </w:rPr>
            </w:pPr>
            <w:r>
              <w:rPr>
                <w:rFonts w:ascii="Arial" w:cs="Arial" w:eastAsia="Arial" w:hAnsi="Arial"/>
                <w:sz w:val="16"/>
                <w:szCs w:val="16"/>
                <w:b w:val="1"/>
                <w:bCs w:val="1"/>
                <w:color w:val="auto"/>
              </w:rPr>
              <w:t>PAY FOR PERFORMANCE</w:t>
            </w:r>
          </w:p>
        </w:tc>
        <w:tc>
          <w:tcPr>
            <w:tcW w:w="1320" w:type="dxa"/>
            <w:vAlign w:val="bottom"/>
          </w:tcPr>
          <w:p>
            <w:pPr>
              <w:ind w:left="12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-148590</wp:posOffset>
            </wp:positionV>
            <wp:extent cx="5623560" cy="35661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623560" cy="3566160"/>
                    </a:xfrm>
                    <a:prstGeom prst="rect">
                      <a:avLst/>
                    </a:prstGeom>
                    <a:noFill/>
                  </pic:spPr>
                </pic:pic>
              </a:graphicData>
            </a:graphic>
          </wp:anchor>
        </w:drawing>
      </w:r>
    </w:p>
    <w:p>
      <w:pPr>
        <w:spacing w:after="0" w:line="14" w:lineRule="exact"/>
        <w:rPr>
          <w:sz w:val="20"/>
          <w:szCs w:val="20"/>
          <w:color w:val="auto"/>
        </w:rPr>
      </w:pPr>
    </w:p>
    <w:p>
      <w:pPr>
        <w:ind w:left="1520" w:hanging="164"/>
        <w:spacing w:after="0"/>
        <w:tabs>
          <w:tab w:leader="none" w:pos="1520" w:val="left"/>
        </w:tabs>
        <w:numPr>
          <w:ilvl w:val="0"/>
          <w:numId w:val="97"/>
        </w:numPr>
        <w:rPr>
          <w:rFonts w:ascii="Arial" w:cs="Arial" w:eastAsia="Arial" w:hAnsi="Arial"/>
          <w:sz w:val="16"/>
          <w:szCs w:val="16"/>
          <w:color w:val="62259D"/>
        </w:rPr>
      </w:pPr>
      <w:r>
        <w:rPr>
          <w:rFonts w:ascii="Arial" w:cs="Arial" w:eastAsia="Arial" w:hAnsi="Arial"/>
          <w:sz w:val="16"/>
          <w:szCs w:val="16"/>
          <w:color w:val="auto"/>
        </w:rPr>
        <w:t>A significant portion of the NEOs’ target compensation is performance-based, share-linked or both</w:t>
      </w:r>
    </w:p>
    <w:p>
      <w:pPr>
        <w:spacing w:after="0" w:line="72" w:lineRule="exact"/>
        <w:rPr>
          <w:rFonts w:ascii="Arial" w:cs="Arial" w:eastAsia="Arial" w:hAnsi="Arial"/>
          <w:sz w:val="16"/>
          <w:szCs w:val="16"/>
          <w:color w:val="62259D"/>
        </w:rPr>
      </w:pPr>
    </w:p>
    <w:p>
      <w:pPr>
        <w:ind w:left="1520" w:hanging="164"/>
        <w:spacing w:after="0"/>
        <w:tabs>
          <w:tab w:leader="none" w:pos="1520" w:val="left"/>
        </w:tabs>
        <w:numPr>
          <w:ilvl w:val="0"/>
          <w:numId w:val="97"/>
        </w:numPr>
        <w:rPr>
          <w:rFonts w:ascii="Arial" w:cs="Arial" w:eastAsia="Arial" w:hAnsi="Arial"/>
          <w:sz w:val="16"/>
          <w:szCs w:val="16"/>
          <w:color w:val="62259D"/>
        </w:rPr>
      </w:pPr>
      <w:r>
        <w:rPr>
          <w:rFonts w:ascii="Arial" w:cs="Arial" w:eastAsia="Arial" w:hAnsi="Arial"/>
          <w:sz w:val="16"/>
          <w:szCs w:val="16"/>
          <w:color w:val="auto"/>
        </w:rPr>
        <w:t>Over 50% of annual long-term equity awards granted in 2024 are performance-based</w:t>
      </w:r>
    </w:p>
    <w:p>
      <w:pPr>
        <w:spacing w:after="0" w:line="99" w:lineRule="exact"/>
        <w:rPr>
          <w:rFonts w:ascii="Arial" w:cs="Arial" w:eastAsia="Arial" w:hAnsi="Arial"/>
          <w:sz w:val="16"/>
          <w:szCs w:val="16"/>
          <w:color w:val="62259D"/>
        </w:rPr>
      </w:pPr>
    </w:p>
    <w:p>
      <w:pPr>
        <w:ind w:left="1520" w:right="479" w:hanging="164"/>
        <w:spacing w:after="0" w:line="286" w:lineRule="auto"/>
        <w:tabs>
          <w:tab w:leader="none" w:pos="1520" w:val="left"/>
        </w:tabs>
        <w:numPr>
          <w:ilvl w:val="0"/>
          <w:numId w:val="97"/>
        </w:numPr>
        <w:rPr>
          <w:rFonts w:ascii="Arial" w:cs="Arial" w:eastAsia="Arial" w:hAnsi="Arial"/>
          <w:sz w:val="16"/>
          <w:szCs w:val="16"/>
          <w:color w:val="62259D"/>
        </w:rPr>
      </w:pPr>
      <w:r>
        <w:rPr>
          <w:rFonts w:ascii="Arial" w:cs="Arial" w:eastAsia="Arial" w:hAnsi="Arial"/>
          <w:sz w:val="16"/>
          <w:szCs w:val="16"/>
          <w:color w:val="auto"/>
        </w:rPr>
        <w:t>40% of annual performance-based equity awards made in 2024 are tied to relative total stockholder return over a multi-year period</w:t>
      </w:r>
    </w:p>
    <w:p>
      <w:pPr>
        <w:spacing w:after="0" w:line="7"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CONSERVATIVE SEVERANCE ARRANGEMENTS</w:t>
      </w:r>
    </w:p>
    <w:p>
      <w:pPr>
        <w:spacing w:after="0" w:line="86" w:lineRule="exact"/>
        <w:rPr>
          <w:sz w:val="20"/>
          <w:szCs w:val="20"/>
          <w:color w:val="auto"/>
        </w:rPr>
      </w:pPr>
    </w:p>
    <w:p>
      <w:pPr>
        <w:ind w:left="1520" w:right="899" w:hanging="164"/>
        <w:spacing w:after="0" w:line="286" w:lineRule="auto"/>
        <w:tabs>
          <w:tab w:leader="none" w:pos="1520" w:val="left"/>
        </w:tabs>
        <w:numPr>
          <w:ilvl w:val="0"/>
          <w:numId w:val="98"/>
        </w:numPr>
        <w:rPr>
          <w:rFonts w:ascii="Arial" w:cs="Arial" w:eastAsia="Arial" w:hAnsi="Arial"/>
          <w:sz w:val="16"/>
          <w:szCs w:val="16"/>
          <w:color w:val="62259D"/>
        </w:rPr>
      </w:pPr>
      <w:r>
        <w:rPr>
          <w:rFonts w:ascii="Arial" w:cs="Arial" w:eastAsia="Arial" w:hAnsi="Arial"/>
          <w:sz w:val="16"/>
          <w:szCs w:val="16"/>
          <w:color w:val="auto"/>
        </w:rPr>
        <w:t>6- or 12-months base salary payment for termination without cause for NEOs (24-months for CEO in connection with termination without cause following a change of control)</w:t>
      </w:r>
    </w:p>
    <w:p>
      <w:pPr>
        <w:spacing w:after="0" w:line="20" w:lineRule="exact"/>
        <w:rPr>
          <w:rFonts w:ascii="Arial" w:cs="Arial" w:eastAsia="Arial" w:hAnsi="Arial"/>
          <w:sz w:val="16"/>
          <w:szCs w:val="16"/>
          <w:color w:val="62259D"/>
        </w:rPr>
      </w:pPr>
    </w:p>
    <w:p>
      <w:pPr>
        <w:ind w:left="1520" w:hanging="164"/>
        <w:spacing w:after="0"/>
        <w:tabs>
          <w:tab w:leader="none" w:pos="1520" w:val="left"/>
        </w:tabs>
        <w:numPr>
          <w:ilvl w:val="0"/>
          <w:numId w:val="98"/>
        </w:numPr>
        <w:rPr>
          <w:rFonts w:ascii="Arial" w:cs="Arial" w:eastAsia="Arial" w:hAnsi="Arial"/>
          <w:sz w:val="16"/>
          <w:szCs w:val="16"/>
          <w:color w:val="62259D"/>
        </w:rPr>
      </w:pPr>
      <w:r>
        <w:rPr>
          <w:rFonts w:ascii="Arial" w:cs="Arial" w:eastAsia="Arial" w:hAnsi="Arial"/>
          <w:sz w:val="16"/>
          <w:szCs w:val="16"/>
          <w:color w:val="auto"/>
        </w:rPr>
        <w:t>“Double Trigger” for acceleration of equity awards upon a change of control</w:t>
      </w:r>
    </w:p>
    <w:p>
      <w:pPr>
        <w:spacing w:after="0" w:line="46" w:lineRule="exact"/>
        <w:rPr>
          <w:sz w:val="20"/>
          <w:szCs w:val="20"/>
          <w:color w:val="auto"/>
        </w:rPr>
      </w:pPr>
    </w:p>
    <w:p>
      <w:pPr>
        <w:ind w:left="1360" w:right="399"/>
        <w:spacing w:after="0" w:line="286" w:lineRule="auto"/>
        <w:rPr>
          <w:sz w:val="20"/>
          <w:szCs w:val="20"/>
          <w:color w:val="auto"/>
        </w:rPr>
      </w:pPr>
      <w:r>
        <w:rPr>
          <w:rFonts w:ascii="Arial" w:cs="Arial" w:eastAsia="Arial" w:hAnsi="Arial"/>
          <w:sz w:val="16"/>
          <w:szCs w:val="16"/>
          <w:b w:val="1"/>
          <w:bCs w:val="1"/>
          <w:color w:val="auto"/>
        </w:rPr>
        <w:t xml:space="preserve">COMPENSATION BENCHMARKING </w:t>
      </w:r>
      <w:r>
        <w:rPr>
          <w:rFonts w:ascii="Arial" w:cs="Arial" w:eastAsia="Arial" w:hAnsi="Arial"/>
          <w:sz w:val="16"/>
          <w:szCs w:val="16"/>
          <w:color w:val="auto"/>
        </w:rPr>
        <w:t>and review of market compensation data, including the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practices, of peer companies in evaluating the compensation of our NEOs</w:t>
      </w:r>
    </w:p>
    <w:p>
      <w:pPr>
        <w:spacing w:after="0" w:line="7"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MEANINGFUL STOCK OWNERSHIP REQUIREMENTS</w:t>
      </w:r>
    </w:p>
    <w:p>
      <w:pPr>
        <w:spacing w:after="0" w:line="73" w:lineRule="exact"/>
        <w:rPr>
          <w:sz w:val="20"/>
          <w:szCs w:val="20"/>
          <w:color w:val="auto"/>
        </w:rPr>
      </w:pPr>
    </w:p>
    <w:p>
      <w:pPr>
        <w:ind w:left="1520" w:hanging="164"/>
        <w:spacing w:after="0"/>
        <w:tabs>
          <w:tab w:leader="none" w:pos="1520" w:val="left"/>
        </w:tabs>
        <w:numPr>
          <w:ilvl w:val="0"/>
          <w:numId w:val="99"/>
        </w:numPr>
        <w:rPr>
          <w:rFonts w:ascii="Arial" w:cs="Arial" w:eastAsia="Arial" w:hAnsi="Arial"/>
          <w:sz w:val="16"/>
          <w:szCs w:val="16"/>
          <w:color w:val="62259D"/>
        </w:rPr>
      </w:pPr>
      <w:r>
        <w:rPr>
          <w:rFonts w:ascii="Arial" w:cs="Arial" w:eastAsia="Arial" w:hAnsi="Arial"/>
          <w:sz w:val="16"/>
          <w:szCs w:val="16"/>
          <w:color w:val="auto"/>
        </w:rPr>
        <w:t>6x base salary for the President and CEO</w:t>
      </w:r>
    </w:p>
    <w:p>
      <w:pPr>
        <w:spacing w:after="0" w:line="72" w:lineRule="exact"/>
        <w:rPr>
          <w:rFonts w:ascii="Arial" w:cs="Arial" w:eastAsia="Arial" w:hAnsi="Arial"/>
          <w:sz w:val="16"/>
          <w:szCs w:val="16"/>
          <w:color w:val="62259D"/>
        </w:rPr>
      </w:pPr>
    </w:p>
    <w:p>
      <w:pPr>
        <w:ind w:left="1520" w:hanging="164"/>
        <w:spacing w:after="0"/>
        <w:tabs>
          <w:tab w:leader="none" w:pos="1520" w:val="left"/>
        </w:tabs>
        <w:numPr>
          <w:ilvl w:val="0"/>
          <w:numId w:val="99"/>
        </w:numPr>
        <w:rPr>
          <w:rFonts w:ascii="Arial" w:cs="Arial" w:eastAsia="Arial" w:hAnsi="Arial"/>
          <w:sz w:val="16"/>
          <w:szCs w:val="16"/>
          <w:color w:val="62259D"/>
        </w:rPr>
      </w:pPr>
      <w:r>
        <w:rPr>
          <w:rFonts w:ascii="Arial" w:cs="Arial" w:eastAsia="Arial" w:hAnsi="Arial"/>
          <w:sz w:val="16"/>
          <w:szCs w:val="16"/>
          <w:color w:val="auto"/>
        </w:rPr>
        <w:t>2x base salary for the remaining NEOs</w:t>
      </w:r>
    </w:p>
    <w:p>
      <w:pPr>
        <w:spacing w:after="0" w:line="59" w:lineRule="exact"/>
        <w:rPr>
          <w:sz w:val="20"/>
          <w:szCs w:val="20"/>
          <w:color w:val="auto"/>
        </w:rPr>
      </w:pPr>
    </w:p>
    <w:p>
      <w:pPr>
        <w:ind w:left="1360" w:right="4079"/>
        <w:spacing w:after="0" w:line="308" w:lineRule="auto"/>
        <w:rPr>
          <w:sz w:val="20"/>
          <w:szCs w:val="20"/>
          <w:color w:val="auto"/>
        </w:rPr>
      </w:pPr>
      <w:r>
        <w:rPr>
          <w:rFonts w:ascii="Arial" w:cs="Arial" w:eastAsia="Arial" w:hAnsi="Arial"/>
          <w:sz w:val="16"/>
          <w:szCs w:val="16"/>
          <w:b w:val="1"/>
          <w:bCs w:val="1"/>
          <w:color w:val="auto"/>
        </w:rPr>
        <w:t xml:space="preserve">MINIMAL PERQUISITES </w:t>
      </w:r>
      <w:r>
        <w:rPr>
          <w:rFonts w:ascii="Arial" w:cs="Arial" w:eastAsia="Arial" w:hAnsi="Arial"/>
          <w:sz w:val="16"/>
          <w:szCs w:val="16"/>
          <w:color w:val="auto"/>
        </w:rPr>
        <w:t>are provided to our NEOs</w:t>
      </w:r>
      <w:r>
        <w:rPr>
          <w:rFonts w:ascii="Arial" w:cs="Arial" w:eastAsia="Arial" w:hAnsi="Arial"/>
          <w:sz w:val="16"/>
          <w:szCs w:val="16"/>
          <w:b w:val="1"/>
          <w:bCs w:val="1"/>
          <w:color w:val="auto"/>
        </w:rPr>
        <w:t xml:space="preserve"> ROBUST AND LONG-STANDING CLAWBACK POLICY</w:t>
      </w:r>
    </w:p>
    <w:p>
      <w:pPr>
        <w:ind w:left="1360" w:right="259"/>
        <w:spacing w:after="0" w:line="286" w:lineRule="auto"/>
        <w:rPr>
          <w:sz w:val="20"/>
          <w:szCs w:val="20"/>
          <w:color w:val="auto"/>
        </w:rPr>
      </w:pPr>
      <w:r>
        <w:rPr>
          <w:rFonts w:ascii="Arial" w:cs="Arial" w:eastAsia="Arial" w:hAnsi="Arial"/>
          <w:sz w:val="16"/>
          <w:szCs w:val="16"/>
          <w:b w:val="1"/>
          <w:bCs w:val="1"/>
          <w:color w:val="auto"/>
        </w:rPr>
        <w:t xml:space="preserve">MITIGATE UNDUE RISK </w:t>
      </w:r>
      <w:r>
        <w:rPr>
          <w:rFonts w:ascii="Arial" w:cs="Arial" w:eastAsia="Arial" w:hAnsi="Arial"/>
          <w:sz w:val="16"/>
          <w:szCs w:val="16"/>
          <w:color w:val="auto"/>
        </w:rPr>
        <w:t>by utilizing defined maximum payouts for performance-based compensation in order</w:t>
      </w:r>
      <w:r>
        <w:rPr>
          <w:rFonts w:ascii="Arial" w:cs="Arial" w:eastAsia="Arial" w:hAnsi="Arial"/>
          <w:sz w:val="16"/>
          <w:szCs w:val="16"/>
          <w:b w:val="1"/>
          <w:bCs w:val="1"/>
          <w:color w:val="auto"/>
        </w:rPr>
        <w:t xml:space="preserve"> </w:t>
      </w:r>
      <w:r>
        <w:rPr>
          <w:rFonts w:ascii="Arial" w:cs="Arial" w:eastAsia="Arial" w:hAnsi="Arial"/>
          <w:sz w:val="16"/>
          <w:szCs w:val="16"/>
          <w:color w:val="auto"/>
        </w:rPr>
        <w:t>to prevent out-sized payouts</w:t>
      </w:r>
    </w:p>
    <w:p>
      <w:pPr>
        <w:spacing w:after="0" w:line="7"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 xml:space="preserve">HOLD AN ANNUAL ADVISORY VOTE </w:t>
      </w:r>
      <w:r>
        <w:rPr>
          <w:rFonts w:ascii="Arial" w:cs="Arial" w:eastAsia="Arial" w:hAnsi="Arial"/>
          <w:sz w:val="16"/>
          <w:szCs w:val="16"/>
          <w:color w:val="auto"/>
        </w:rPr>
        <w:t>on the compensation paid to our NEOs</w:t>
      </w:r>
    </w:p>
    <w:p>
      <w:pPr>
        <w:spacing w:after="0" w:line="39" w:lineRule="exact"/>
        <w:rPr>
          <w:sz w:val="20"/>
          <w:szCs w:val="20"/>
          <w:color w:val="auto"/>
        </w:rPr>
      </w:pPr>
    </w:p>
    <w:p>
      <w:pPr>
        <w:ind w:left="1360" w:right="519"/>
        <w:spacing w:after="0" w:line="277" w:lineRule="auto"/>
        <w:rPr>
          <w:sz w:val="20"/>
          <w:szCs w:val="20"/>
          <w:color w:val="auto"/>
        </w:rPr>
      </w:pPr>
      <w:r>
        <w:rPr>
          <w:rFonts w:ascii="Arial" w:cs="Arial" w:eastAsia="Arial" w:hAnsi="Arial"/>
          <w:sz w:val="16"/>
          <w:szCs w:val="16"/>
          <w:b w:val="1"/>
          <w:bCs w:val="1"/>
          <w:color w:val="auto"/>
        </w:rPr>
        <w:t>INDEPENDENT COMPENSATION CONSULTING FIRM</w:t>
      </w:r>
      <w:r>
        <w:rPr>
          <w:rFonts w:ascii="Arial" w:cs="Arial" w:eastAsia="Arial" w:hAnsi="Arial"/>
          <w:sz w:val="16"/>
          <w:szCs w:val="16"/>
          <w:color w:val="auto"/>
        </w:rPr>
        <w:t>, engaged by the Compensation Committee, that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no other services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403860</wp:posOffset>
            </wp:positionV>
            <wp:extent cx="562356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558165</wp:posOffset>
            </wp:positionV>
            <wp:extent cx="5623560" cy="16256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623560" cy="1625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980"/>
        <w:spacing w:after="0"/>
        <w:tabs>
          <w:tab w:leader="none" w:pos="3320" w:val="left"/>
        </w:tabs>
        <w:rPr>
          <w:sz w:val="20"/>
          <w:szCs w:val="20"/>
          <w:color w:val="auto"/>
        </w:rPr>
      </w:pPr>
      <w:r>
        <w:rPr>
          <w:rFonts w:ascii="Arial" w:cs="Arial" w:eastAsia="Arial" w:hAnsi="Arial"/>
          <w:sz w:val="16"/>
          <w:szCs w:val="16"/>
          <w:b w:val="1"/>
          <w:bCs w:val="1"/>
          <w:color w:val="FEFEFE"/>
        </w:rPr>
        <w:t>​</w:t>
      </w:r>
      <w:r>
        <w:rPr>
          <w:sz w:val="20"/>
          <w:szCs w:val="20"/>
          <w:color w:val="auto"/>
        </w:rPr>
        <w:tab/>
      </w:r>
      <w:r>
        <w:rPr>
          <w:rFonts w:ascii="Arial" w:cs="Arial" w:eastAsia="Arial" w:hAnsi="Arial"/>
          <w:sz w:val="16"/>
          <w:szCs w:val="16"/>
          <w:b w:val="1"/>
          <w:bCs w:val="1"/>
          <w:color w:val="FEFEFE"/>
        </w:rPr>
        <w:t>Compensation Practices that We Do Not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20955</wp:posOffset>
            </wp:positionV>
            <wp:extent cx="5623560" cy="144018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623560" cy="1440180"/>
                    </a:xfrm>
                    <a:prstGeom prst="rect">
                      <a:avLst/>
                    </a:prstGeom>
                    <a:noFill/>
                  </pic:spPr>
                </pic:pic>
              </a:graphicData>
            </a:graphic>
          </wp:anchor>
        </w:drawing>
      </w:r>
    </w:p>
    <w:p>
      <w:pPr>
        <w:spacing w:after="0" w:line="26" w:lineRule="exact"/>
        <w:rPr>
          <w:sz w:val="20"/>
          <w:szCs w:val="20"/>
          <w:color w:val="auto"/>
        </w:rPr>
      </w:pPr>
    </w:p>
    <w:p>
      <w:pPr>
        <w:ind w:left="1040" w:hanging="116"/>
        <w:spacing w:after="0"/>
        <w:tabs>
          <w:tab w:leader="none" w:pos="1040" w:val="left"/>
        </w:tabs>
        <w:numPr>
          <w:ilvl w:val="0"/>
          <w:numId w:val="100"/>
        </w:numPr>
        <w:rPr>
          <w:rFonts w:ascii="Arial" w:cs="Arial" w:eastAsia="Arial" w:hAnsi="Arial"/>
          <w:sz w:val="16"/>
          <w:szCs w:val="16"/>
          <w:color w:val="auto"/>
        </w:rPr>
      </w:pPr>
      <w:r>
        <w:rPr>
          <w:rFonts w:ascii="Arial" w:cs="Arial" w:eastAsia="Arial" w:hAnsi="Arial"/>
          <w:sz w:val="1"/>
          <w:szCs w:val="1"/>
          <w:color w:val="auto"/>
        </w:rPr>
        <w:drawing>
          <wp:inline distT="0" distB="0" distL="0" distR="0">
            <wp:extent cx="102870" cy="102870"/>
            <wp:effectExtent l="0" t="0" r="0" b="0"/>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6"/>
          <w:szCs w:val="16"/>
          <w:b w:val="1"/>
          <w:bCs w:val="1"/>
          <w:color w:val="auto"/>
        </w:rPr>
        <w:t xml:space="preserve">  NO GUARANTEED BONUSES </w:t>
      </w:r>
      <w:r>
        <w:rPr>
          <w:rFonts w:ascii="Arial" w:cs="Arial" w:eastAsia="Arial" w:hAnsi="Arial"/>
          <w:sz w:val="16"/>
          <w:szCs w:val="16"/>
          <w:color w:val="auto"/>
        </w:rPr>
        <w:t>for our executive officers</w:t>
      </w:r>
    </w:p>
    <w:p>
      <w:pPr>
        <w:spacing w:after="0" w:line="26" w:lineRule="exact"/>
        <w:rPr>
          <w:rFonts w:ascii="Arial" w:cs="Arial" w:eastAsia="Arial" w:hAnsi="Arial"/>
          <w:sz w:val="16"/>
          <w:szCs w:val="16"/>
          <w:color w:val="auto"/>
        </w:rPr>
      </w:pPr>
    </w:p>
    <w:p>
      <w:pPr>
        <w:ind w:left="1360" w:right="160" w:hanging="326"/>
        <w:spacing w:after="0"/>
        <w:rPr>
          <w:rFonts w:ascii="Arial" w:cs="Arial" w:eastAsia="Arial" w:hAnsi="Arial"/>
          <w:sz w:val="16"/>
          <w:szCs w:val="16"/>
          <w:color w:val="auto"/>
        </w:rPr>
      </w:pPr>
      <w:r>
        <w:rPr>
          <w:rFonts w:ascii="Arial" w:cs="Arial" w:eastAsia="Arial" w:hAnsi="Arial"/>
          <w:sz w:val="1"/>
          <w:szCs w:val="1"/>
          <w:color w:val="auto"/>
        </w:rPr>
        <w:drawing>
          <wp:inline distT="0" distB="0" distL="0" distR="0">
            <wp:extent cx="102870" cy="102870"/>
            <wp:effectExtent l="0" t="0" r="0" b="0"/>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6"/>
          <w:szCs w:val="16"/>
          <w:b w:val="1"/>
          <w:bCs w:val="1"/>
          <w:color w:val="auto"/>
        </w:rPr>
        <w:t xml:space="preserve"> NO INDIVIDUAL PERFORMANCE OR NON-FINANCIAL METRICS </w:t>
      </w:r>
      <w:r>
        <w:rPr>
          <w:rFonts w:ascii="Arial" w:cs="Arial" w:eastAsia="Arial" w:hAnsi="Arial"/>
          <w:sz w:val="16"/>
          <w:szCs w:val="16"/>
          <w:color w:val="auto"/>
        </w:rPr>
        <w:t>for determining annual bonus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NEOs</w:t>
      </w:r>
    </w:p>
    <w:p>
      <w:pPr>
        <w:spacing w:after="0" w:line="42" w:lineRule="exact"/>
        <w:rPr>
          <w:sz w:val="20"/>
          <w:szCs w:val="20"/>
          <w:color w:val="auto"/>
        </w:rPr>
      </w:pPr>
    </w:p>
    <w:p>
      <w:pPr>
        <w:ind w:left="1360" w:right="840"/>
        <w:spacing w:after="0" w:line="308" w:lineRule="auto"/>
        <w:rPr>
          <w:sz w:val="20"/>
          <w:szCs w:val="20"/>
          <w:color w:val="auto"/>
        </w:rPr>
      </w:pPr>
      <w:r>
        <w:rPr>
          <w:rFonts w:ascii="Arial" w:cs="Arial" w:eastAsia="Arial" w:hAnsi="Arial"/>
          <w:sz w:val="16"/>
          <w:szCs w:val="16"/>
          <w:b w:val="1"/>
          <w:bCs w:val="1"/>
          <w:color w:val="auto"/>
        </w:rPr>
        <w:t xml:space="preserve">NO DISCOUNTED STOCK AWARDS, RELOADS OR REPRICING </w:t>
      </w:r>
      <w:r>
        <w:rPr>
          <w:rFonts w:ascii="Arial" w:cs="Arial" w:eastAsia="Arial" w:hAnsi="Arial"/>
          <w:sz w:val="16"/>
          <w:szCs w:val="16"/>
          <w:color w:val="auto"/>
        </w:rPr>
        <w:t>without stockholder approval</w:t>
      </w:r>
      <w:r>
        <w:rPr>
          <w:rFonts w:ascii="Arial" w:cs="Arial" w:eastAsia="Arial" w:hAnsi="Arial"/>
          <w:sz w:val="16"/>
          <w:szCs w:val="16"/>
          <w:b w:val="1"/>
          <w:bCs w:val="1"/>
          <w:color w:val="auto"/>
        </w:rPr>
        <w:t xml:space="preserve"> NO HEDGING OR PLEDGING </w:t>
      </w:r>
      <w:r>
        <w:rPr>
          <w:rFonts w:ascii="Arial" w:cs="Arial" w:eastAsia="Arial" w:hAnsi="Arial"/>
          <w:sz w:val="16"/>
          <w:szCs w:val="16"/>
          <w:color w:val="auto"/>
        </w:rPr>
        <w:t>of shares permitted for our executive officers and directors</w:t>
      </w:r>
    </w:p>
    <w:p>
      <w:pPr>
        <w:ind w:left="1360"/>
        <w:spacing w:after="0" w:line="286" w:lineRule="auto"/>
        <w:rPr>
          <w:sz w:val="20"/>
          <w:szCs w:val="20"/>
          <w:color w:val="auto"/>
        </w:rPr>
      </w:pPr>
      <w:r>
        <w:rPr>
          <w:rFonts w:ascii="Arial" w:cs="Arial" w:eastAsia="Arial" w:hAnsi="Arial"/>
          <w:sz w:val="16"/>
          <w:szCs w:val="16"/>
          <w:b w:val="1"/>
          <w:bCs w:val="1"/>
          <w:color w:val="auto"/>
        </w:rPr>
        <w:t xml:space="preserve">NO TAX GROSS-UP PAYMENTS </w:t>
      </w:r>
      <w:r>
        <w:rPr>
          <w:rFonts w:ascii="Arial" w:cs="Arial" w:eastAsia="Arial" w:hAnsi="Arial"/>
          <w:sz w:val="16"/>
          <w:szCs w:val="16"/>
          <w:color w:val="auto"/>
        </w:rPr>
        <w:t>with respect to any payments made in connection with severance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any change of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ind w:right="99"/>
        <w:spacing w:after="0"/>
        <w:rPr>
          <w:sz w:val="20"/>
          <w:szCs w:val="20"/>
          <w:color w:val="auto"/>
        </w:rPr>
      </w:pPr>
      <w:r>
        <w:rPr>
          <w:rFonts w:ascii="Arial" w:cs="Arial" w:eastAsia="Arial" w:hAnsi="Arial"/>
          <w:sz w:val="16"/>
          <w:szCs w:val="16"/>
          <w:b w:val="1"/>
          <w:bCs w:val="1"/>
          <w:color w:val="FEFEFE"/>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406" w:lineRule="exact"/>
        <w:rPr>
          <w:sz w:val="20"/>
          <w:szCs w:val="20"/>
          <w:color w:val="auto"/>
        </w:rPr>
      </w:pPr>
    </w:p>
    <w:p>
      <w:pPr>
        <w:sectPr>
          <w:pgSz w:w="11900" w:h="16838" w:orient="portrait"/>
          <w:cols w:equalWidth="0" w:num="2">
            <w:col w:w="9600" w:space="80"/>
            <w:col w:w="199"/>
          </w:cols>
          <w:pgMar w:left="580" w:top="97" w:right="1440" w:bottom="1440" w:gutter="0" w:footer="0" w:header="0"/>
          <w:type w:val="continuous"/>
        </w:sectPr>
      </w:pPr>
    </w:p>
    <w:p>
      <w:pPr>
        <w:ind w:left="1360"/>
        <w:spacing w:after="0"/>
        <w:rPr>
          <w:sz w:val="20"/>
          <w:szCs w:val="20"/>
          <w:color w:val="auto"/>
        </w:rPr>
      </w:pPr>
      <w:r>
        <w:rPr>
          <w:rFonts w:ascii="Arial" w:cs="Arial" w:eastAsia="Arial" w:hAnsi="Arial"/>
          <w:sz w:val="16"/>
          <w:szCs w:val="16"/>
          <w:b w:val="1"/>
          <w:bCs w:val="1"/>
          <w:color w:val="auto"/>
        </w:rPr>
        <w:t xml:space="preserve">NO BROAD SHARE RECYCLING </w:t>
      </w:r>
      <w:r>
        <w:rPr>
          <w:rFonts w:ascii="Arial" w:cs="Arial" w:eastAsia="Arial" w:hAnsi="Arial"/>
          <w:sz w:val="16"/>
          <w:szCs w:val="16"/>
          <w:color w:val="auto"/>
        </w:rPr>
        <w:t>under our stock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312420</wp:posOffset>
            </wp:positionV>
            <wp:extent cx="56235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Consideration of Stockholder Say-on-Pay Vote</w:t>
      </w:r>
    </w:p>
    <w:p>
      <w:pPr>
        <w:spacing w:after="0" w:line="135" w:lineRule="exact"/>
        <w:rPr>
          <w:sz w:val="20"/>
          <w:szCs w:val="20"/>
          <w:color w:val="auto"/>
        </w:rPr>
      </w:pPr>
    </w:p>
    <w:p>
      <w:pPr>
        <w:ind w:left="920" w:right="319"/>
        <w:spacing w:after="0" w:line="261" w:lineRule="auto"/>
        <w:rPr>
          <w:sz w:val="20"/>
          <w:szCs w:val="20"/>
          <w:color w:val="auto"/>
        </w:rPr>
      </w:pPr>
      <w:r>
        <w:rPr>
          <w:rFonts w:ascii="Arial" w:cs="Arial" w:eastAsia="Arial" w:hAnsi="Arial"/>
          <w:sz w:val="18"/>
          <w:szCs w:val="18"/>
          <w:color w:val="auto"/>
        </w:rPr>
        <w:t>The Compensation Committee has historically considered the outcome of the Company’s annual say-on-pay vote when making decisions regarding the Company’s executive compensation program, including engaging in stockholder outreach.</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780" w:type="dxa"/>
            <w:vAlign w:val="bottom"/>
          </w:tcPr>
          <w:p>
            <w:pPr>
              <w:ind w:left="380"/>
              <w:spacing w:after="0"/>
              <w:rPr>
                <w:sz w:val="20"/>
                <w:szCs w:val="20"/>
                <w:color w:val="auto"/>
              </w:rPr>
            </w:pPr>
            <w:r>
              <w:rPr>
                <w:rFonts w:ascii="Arial" w:cs="Arial" w:eastAsia="Arial" w:hAnsi="Arial"/>
                <w:sz w:val="13"/>
                <w:szCs w:val="13"/>
                <w:b w:val="1"/>
                <w:bCs w:val="1"/>
                <w:color w:val="4C4C4C"/>
              </w:rPr>
              <w:t>​</w:t>
            </w:r>
          </w:p>
        </w:tc>
        <w:tc>
          <w:tcPr>
            <w:tcW w:w="60" w:type="dxa"/>
            <w:vAlign w:val="bottom"/>
          </w:tcPr>
          <w:p>
            <w:pPr>
              <w:spacing w:after="0"/>
              <w:rPr>
                <w:sz w:val="13"/>
                <w:szCs w:val="13"/>
                <w:color w:val="auto"/>
              </w:rPr>
            </w:pP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ind w:left="540"/>
              <w:spacing w:after="0"/>
              <w:rPr>
                <w:sz w:val="20"/>
                <w:szCs w:val="20"/>
                <w:color w:val="auto"/>
              </w:rPr>
            </w:pPr>
            <w:r>
              <w:rPr>
                <w:rFonts w:ascii="Arial" w:cs="Arial" w:eastAsia="Arial" w:hAnsi="Arial"/>
                <w:sz w:val="13"/>
                <w:szCs w:val="13"/>
                <w:b w:val="1"/>
                <w:bCs w:val="1"/>
                <w:color w:val="4C4C4C"/>
              </w:rPr>
              <w:t>​</w:t>
            </w:r>
          </w:p>
        </w:tc>
        <w:tc>
          <w:tcPr>
            <w:tcW w:w="220" w:type="dxa"/>
            <w:vAlign w:val="bottom"/>
          </w:tcPr>
          <w:p>
            <w:pPr>
              <w:ind w:left="6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46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60"/>
              <w:spacing w:after="0"/>
              <w:rPr>
                <w:sz w:val="20"/>
                <w:szCs w:val="20"/>
                <w:color w:val="auto"/>
              </w:rPr>
            </w:pPr>
            <w:r>
              <w:rPr>
                <w:rFonts w:ascii="Arial" w:cs="Arial" w:eastAsia="Arial" w:hAnsi="Arial"/>
                <w:sz w:val="13"/>
                <w:szCs w:val="13"/>
                <w:b w:val="1"/>
                <w:bCs w:val="1"/>
                <w:color w:val="4C4C4C"/>
              </w:rPr>
              <w:t>​ ​</w:t>
            </w:r>
          </w:p>
        </w:tc>
        <w:tc>
          <w:tcPr>
            <w:tcW w:w="20" w:type="dxa"/>
            <w:vAlign w:val="bottom"/>
          </w:tcPr>
          <w:p>
            <w:pPr>
              <w:spacing w:after="0"/>
              <w:rPr>
                <w:sz w:val="13"/>
                <w:szCs w:val="13"/>
                <w:color w:val="auto"/>
              </w:rPr>
            </w:pPr>
          </w:p>
        </w:tc>
        <w:tc>
          <w:tcPr>
            <w:tcW w:w="880" w:type="dxa"/>
            <w:vAlign w:val="bottom"/>
          </w:tcPr>
          <w:p>
            <w:pPr>
              <w:ind w:left="440"/>
              <w:spacing w:after="0"/>
              <w:rPr>
                <w:sz w:val="20"/>
                <w:szCs w:val="20"/>
                <w:color w:val="auto"/>
              </w:rPr>
            </w:pPr>
            <w:r>
              <w:rPr>
                <w:rFonts w:ascii="Arial" w:cs="Arial" w:eastAsia="Arial" w:hAnsi="Arial"/>
                <w:sz w:val="13"/>
                <w:szCs w:val="13"/>
                <w:b w:val="1"/>
                <w:bCs w:val="1"/>
                <w:color w:val="4C4C4C"/>
              </w:rPr>
              <w:t>​</w:t>
            </w:r>
          </w:p>
        </w:tc>
        <w:tc>
          <w:tcPr>
            <w:tcW w:w="300" w:type="dxa"/>
            <w:vAlign w:val="bottom"/>
            <w:gridSpan w:val="2"/>
          </w:tcPr>
          <w:p>
            <w:pPr>
              <w:ind w:left="60"/>
              <w:spacing w:after="0"/>
              <w:rPr>
                <w:sz w:val="20"/>
                <w:szCs w:val="20"/>
                <w:color w:val="auto"/>
              </w:rPr>
            </w:pPr>
            <w:r>
              <w:rPr>
                <w:rFonts w:ascii="Arial" w:cs="Arial" w:eastAsia="Arial" w:hAnsi="Arial"/>
                <w:sz w:val="13"/>
                <w:szCs w:val="13"/>
                <w:b w:val="1"/>
                <w:bCs w:val="1"/>
                <w:color w:val="4C4C4C"/>
              </w:rPr>
              <w:t>​ ​</w:t>
            </w:r>
          </w:p>
        </w:tc>
        <w:tc>
          <w:tcPr>
            <w:tcW w:w="880" w:type="dxa"/>
            <w:vAlign w:val="bottom"/>
          </w:tcPr>
          <w:p>
            <w:pPr>
              <w:ind w:left="400"/>
              <w:spacing w:after="0"/>
              <w:rPr>
                <w:sz w:val="20"/>
                <w:szCs w:val="20"/>
                <w:color w:val="auto"/>
              </w:rPr>
            </w:pPr>
            <w:r>
              <w:rPr>
                <w:rFonts w:ascii="Arial" w:cs="Arial" w:eastAsia="Arial" w:hAnsi="Arial"/>
                <w:sz w:val="13"/>
                <w:szCs w:val="13"/>
                <w:b w:val="1"/>
                <w:bCs w:val="1"/>
                <w:color w:val="4C4C4C"/>
              </w:rPr>
              <w:t>​</w:t>
            </w:r>
          </w:p>
        </w:tc>
        <w:tc>
          <w:tcPr>
            <w:tcW w:w="220" w:type="dxa"/>
            <w:vAlign w:val="bottom"/>
          </w:tcPr>
          <w:p>
            <w:pPr>
              <w:ind w:left="60"/>
              <w:spacing w:after="0"/>
              <w:rPr>
                <w:sz w:val="20"/>
                <w:szCs w:val="20"/>
                <w:color w:val="auto"/>
              </w:rPr>
            </w:pPr>
            <w:r>
              <w:rPr>
                <w:rFonts w:ascii="Arial" w:cs="Arial" w:eastAsia="Arial" w:hAnsi="Arial"/>
                <w:sz w:val="13"/>
                <w:szCs w:val="13"/>
                <w:b w:val="1"/>
                <w:bCs w:val="1"/>
                <w:color w:val="4C4C4C"/>
              </w:rPr>
              <w:t>​ ​</w:t>
            </w:r>
          </w:p>
        </w:tc>
        <w:tc>
          <w:tcPr>
            <w:tcW w:w="880" w:type="dxa"/>
            <w:vAlign w:val="bottom"/>
          </w:tcPr>
          <w:p>
            <w:pPr>
              <w:ind w:left="440"/>
              <w:spacing w:after="0"/>
              <w:rPr>
                <w:sz w:val="20"/>
                <w:szCs w:val="20"/>
                <w:color w:val="auto"/>
              </w:rPr>
            </w:pPr>
            <w:r>
              <w:rPr>
                <w:rFonts w:ascii="Arial" w:cs="Arial" w:eastAsia="Arial" w:hAnsi="Arial"/>
                <w:sz w:val="13"/>
                <w:szCs w:val="13"/>
                <w:b w:val="1"/>
                <w:bCs w:val="1"/>
                <w:color w:val="4C4C4C"/>
              </w:rPr>
              <w:t>​</w:t>
            </w:r>
          </w:p>
        </w:tc>
        <w:tc>
          <w:tcPr>
            <w:tcW w:w="220" w:type="dxa"/>
            <w:vAlign w:val="bottom"/>
          </w:tcPr>
          <w:p>
            <w:pPr>
              <w:ind w:left="6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Borders>
              <w:top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780" w:type="dxa"/>
            <w:vAlign w:val="bottom"/>
            <w:tcBorders>
              <w:top w:val="single" w:sz="8" w:color="F4F4F4"/>
            </w:tcBorders>
          </w:tcPr>
          <w:p>
            <w:pPr>
              <w:ind w:left="60"/>
              <w:spacing w:after="0"/>
              <w:rPr>
                <w:sz w:val="20"/>
                <w:szCs w:val="20"/>
                <w:color w:val="auto"/>
              </w:rPr>
            </w:pPr>
            <w:r>
              <w:rPr>
                <w:rFonts w:ascii="Arial" w:cs="Arial" w:eastAsia="Arial" w:hAnsi="Arial"/>
                <w:sz w:val="13"/>
                <w:szCs w:val="13"/>
                <w:b w:val="1"/>
                <w:bCs w:val="1"/>
                <w:color w:val="4C4C4C"/>
              </w:rPr>
              <w:t>Summary</w:t>
            </w:r>
          </w:p>
        </w:tc>
        <w:tc>
          <w:tcPr>
            <w:tcW w:w="60" w:type="dxa"/>
            <w:vAlign w:val="bottom"/>
            <w:tcBorders>
              <w:top w:val="single" w:sz="8" w:color="F4F4F4"/>
            </w:tcBorders>
          </w:tcPr>
          <w:p>
            <w:pPr>
              <w:spacing w:after="0"/>
              <w:rPr>
                <w:sz w:val="13"/>
                <w:szCs w:val="13"/>
                <w:color w:val="auto"/>
              </w:rPr>
            </w:pP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top w:val="single" w:sz="8" w:color="F4F4F4"/>
            </w:tcBorders>
          </w:tcPr>
          <w:p>
            <w:pPr>
              <w:jc w:val="center"/>
              <w:spacing w:after="0"/>
              <w:rPr>
                <w:sz w:val="20"/>
                <w:szCs w:val="20"/>
                <w:color w:val="auto"/>
              </w:rPr>
            </w:pPr>
            <w:r>
              <w:rPr>
                <w:rFonts w:ascii="Arial" w:cs="Arial" w:eastAsia="Arial" w:hAnsi="Arial"/>
                <w:sz w:val="13"/>
                <w:szCs w:val="13"/>
                <w:b w:val="1"/>
                <w:bCs w:val="1"/>
                <w:color w:val="4C4C4C"/>
              </w:rPr>
              <w:t>Corporate</w:t>
            </w:r>
          </w:p>
        </w:tc>
        <w:tc>
          <w:tcPr>
            <w:tcW w:w="220" w:type="dxa"/>
            <w:vAlign w:val="bottom"/>
          </w:tcPr>
          <w:p>
            <w:pPr>
              <w:ind w:left="6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top w:val="single" w:sz="8" w:color="F4F4F4"/>
            </w:tcBorders>
          </w:tcPr>
          <w:p>
            <w:pPr>
              <w:ind w:left="260"/>
              <w:spacing w:after="0"/>
              <w:rPr>
                <w:sz w:val="20"/>
                <w:szCs w:val="20"/>
                <w:color w:val="auto"/>
              </w:rPr>
            </w:pPr>
            <w:r>
              <w:rPr>
                <w:rFonts w:ascii="Arial" w:cs="Arial" w:eastAsia="Arial" w:hAnsi="Arial"/>
                <w:sz w:val="13"/>
                <w:szCs w:val="13"/>
                <w:b w:val="1"/>
                <w:bCs w:val="1"/>
                <w:color w:val="4C4C4C"/>
              </w:rPr>
              <w:t>Audit</w:t>
            </w:r>
          </w:p>
        </w:tc>
        <w:tc>
          <w:tcPr>
            <w:tcW w:w="200" w:type="dxa"/>
            <w:vAlign w:val="bottom"/>
          </w:tcPr>
          <w:p>
            <w:pPr>
              <w:ind w:left="60"/>
              <w:spacing w:after="0"/>
              <w:rPr>
                <w:sz w:val="20"/>
                <w:szCs w:val="20"/>
                <w:color w:val="auto"/>
              </w:rPr>
            </w:pPr>
            <w:r>
              <w:rPr>
                <w:rFonts w:ascii="Arial" w:cs="Arial" w:eastAsia="Arial" w:hAnsi="Arial"/>
                <w:sz w:val="13"/>
                <w:szCs w:val="13"/>
                <w:b w:val="1"/>
                <w:bCs w:val="1"/>
                <w:color w:val="4C4C4C"/>
              </w:rPr>
              <w:t>​ ​</w:t>
            </w:r>
          </w:p>
        </w:tc>
        <w:tc>
          <w:tcPr>
            <w:tcW w:w="20" w:type="dxa"/>
            <w:vAlign w:val="bottom"/>
          </w:tcPr>
          <w:p>
            <w:pPr>
              <w:spacing w:after="0"/>
              <w:rPr>
                <w:sz w:val="13"/>
                <w:szCs w:val="13"/>
                <w:color w:val="auto"/>
              </w:rPr>
            </w:pPr>
          </w:p>
        </w:tc>
        <w:tc>
          <w:tcPr>
            <w:tcW w:w="880" w:type="dxa"/>
            <w:vAlign w:val="bottom"/>
            <w:tcBorders>
              <w:top w:val="single" w:sz="8" w:color="F4F4F4"/>
            </w:tcBorders>
          </w:tcPr>
          <w:p>
            <w:pPr>
              <w:ind w:left="100"/>
              <w:spacing w:after="0"/>
              <w:rPr>
                <w:sz w:val="20"/>
                <w:szCs w:val="20"/>
                <w:color w:val="auto"/>
              </w:rPr>
            </w:pPr>
            <w:r>
              <w:rPr>
                <w:rFonts w:ascii="Arial" w:cs="Arial" w:eastAsia="Arial" w:hAnsi="Arial"/>
                <w:sz w:val="13"/>
                <w:szCs w:val="13"/>
                <w:b w:val="1"/>
                <w:bCs w:val="1"/>
                <w:color w:val="4C4C4C"/>
              </w:rPr>
              <w:t>Executive</w:t>
            </w:r>
          </w:p>
        </w:tc>
        <w:tc>
          <w:tcPr>
            <w:tcW w:w="220" w:type="dxa"/>
            <w:vAlign w:val="bottom"/>
          </w:tcPr>
          <w:p>
            <w:pPr>
              <w:ind w:left="60"/>
              <w:spacing w:after="0"/>
              <w:rPr>
                <w:sz w:val="20"/>
                <w:szCs w:val="20"/>
                <w:color w:val="auto"/>
              </w:rPr>
            </w:pPr>
            <w:r>
              <w:rPr>
                <w:rFonts w:ascii="Arial" w:cs="Arial" w:eastAsia="Arial" w:hAnsi="Arial"/>
                <w:sz w:val="13"/>
                <w:szCs w:val="13"/>
                <w:b w:val="1"/>
                <w:bCs w:val="1"/>
                <w:color w:val="4C4C4C"/>
              </w:rPr>
              <w:t>​ ​</w:t>
            </w:r>
          </w:p>
        </w:tc>
        <w:tc>
          <w:tcPr>
            <w:tcW w:w="80" w:type="dxa"/>
            <w:vAlign w:val="bottom"/>
            <w:tcBorders>
              <w:top w:val="single" w:sz="8" w:color="E7417A"/>
            </w:tcBorders>
          </w:tcPr>
          <w:p>
            <w:pPr>
              <w:spacing w:after="0"/>
              <w:rPr>
                <w:sz w:val="13"/>
                <w:szCs w:val="13"/>
                <w:color w:val="auto"/>
              </w:rPr>
            </w:pPr>
          </w:p>
        </w:tc>
        <w:tc>
          <w:tcPr>
            <w:tcW w:w="880" w:type="dxa"/>
            <w:vAlign w:val="bottom"/>
            <w:tcBorders>
              <w:top w:val="single" w:sz="8" w:color="E7417A"/>
            </w:tcBorders>
          </w:tcPr>
          <w:p>
            <w:pPr>
              <w:ind w:left="60"/>
              <w:spacing w:after="0"/>
              <w:rPr>
                <w:sz w:val="20"/>
                <w:szCs w:val="20"/>
                <w:color w:val="auto"/>
              </w:rPr>
            </w:pPr>
            <w:r>
              <w:rPr>
                <w:rFonts w:ascii="Arial" w:cs="Arial" w:eastAsia="Arial" w:hAnsi="Arial"/>
                <w:sz w:val="13"/>
                <w:szCs w:val="13"/>
                <w:b w:val="1"/>
                <w:bCs w:val="1"/>
                <w:color w:val="9166BA"/>
              </w:rPr>
              <w:t>Executive</w:t>
            </w:r>
          </w:p>
        </w:tc>
        <w:tc>
          <w:tcPr>
            <w:tcW w:w="220" w:type="dxa"/>
            <w:vAlign w:val="bottom"/>
          </w:tcPr>
          <w:p>
            <w:pPr>
              <w:ind w:left="60"/>
              <w:spacing w:after="0"/>
              <w:rPr>
                <w:sz w:val="20"/>
                <w:szCs w:val="20"/>
                <w:color w:val="auto"/>
              </w:rPr>
            </w:pPr>
            <w:r>
              <w:rPr>
                <w:rFonts w:ascii="Arial" w:cs="Arial" w:eastAsia="Arial" w:hAnsi="Arial"/>
                <w:sz w:val="13"/>
                <w:szCs w:val="13"/>
                <w:b w:val="1"/>
                <w:bCs w:val="1"/>
                <w:color w:val="4C4C4C"/>
              </w:rPr>
              <w:t>​ ​</w:t>
            </w:r>
          </w:p>
        </w:tc>
        <w:tc>
          <w:tcPr>
            <w:tcW w:w="880" w:type="dxa"/>
            <w:vAlign w:val="bottom"/>
            <w:tcBorders>
              <w:top w:val="single" w:sz="8" w:color="F4F4F4"/>
            </w:tcBorders>
          </w:tcPr>
          <w:p>
            <w:pPr>
              <w:ind w:left="240"/>
              <w:spacing w:after="0"/>
              <w:rPr>
                <w:sz w:val="20"/>
                <w:szCs w:val="20"/>
                <w:color w:val="auto"/>
              </w:rPr>
            </w:pPr>
            <w:r>
              <w:rPr>
                <w:rFonts w:ascii="Arial" w:cs="Arial" w:eastAsia="Arial" w:hAnsi="Arial"/>
                <w:sz w:val="13"/>
                <w:szCs w:val="13"/>
                <w:b w:val="1"/>
                <w:bCs w:val="1"/>
                <w:color w:val="4C4C4C"/>
              </w:rPr>
              <w:t>Stock</w:t>
            </w:r>
          </w:p>
        </w:tc>
        <w:tc>
          <w:tcPr>
            <w:tcW w:w="220" w:type="dxa"/>
            <w:vAlign w:val="bottom"/>
          </w:tcPr>
          <w:p>
            <w:pPr>
              <w:ind w:left="6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top w:val="single" w:sz="8" w:color="F4F4F4"/>
            </w:tcBorders>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top w:val="single" w:sz="8" w:color="F4F4F4"/>
            </w:tcBorders>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22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2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22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2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544"/>
        </w:trPr>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20"/>
                <w:szCs w:val="20"/>
                <w:color w:val="E7417A"/>
              </w:rPr>
              <w:t>​</w:t>
            </w:r>
          </w:p>
        </w:tc>
        <w:tc>
          <w:tcPr>
            <w:tcW w:w="1040" w:type="dxa"/>
            <w:vAlign w:val="bottom"/>
          </w:tcPr>
          <w:p>
            <w:pPr>
              <w:ind w:left="580"/>
              <w:spacing w:after="0"/>
              <w:rPr>
                <w:sz w:val="20"/>
                <w:szCs w:val="20"/>
                <w:color w:val="auto"/>
              </w:rPr>
            </w:pPr>
            <w:r>
              <w:rPr>
                <w:rFonts w:ascii="Arial" w:cs="Arial" w:eastAsia="Arial" w:hAnsi="Arial"/>
                <w:sz w:val="20"/>
                <w:szCs w:val="20"/>
                <w:color w:val="E7417A"/>
              </w:rPr>
              <w:t>​​</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20"/>
                <w:szCs w:val="20"/>
                <w:color w:val="E7417A"/>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 </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-133985</wp:posOffset>
            </wp:positionV>
            <wp:extent cx="514350" cy="52260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4350" cy="522605"/>
                    </a:xfrm>
                    <a:prstGeom prst="rect">
                      <a:avLst/>
                    </a:prstGeom>
                    <a:noFill/>
                  </pic:spPr>
                </pic:pic>
              </a:graphicData>
            </a:graphic>
          </wp:anchor>
        </w:drawing>
      </w:r>
    </w:p>
    <w:p>
      <w:pPr>
        <w:ind w:left="2760"/>
        <w:spacing w:after="0"/>
        <w:rPr>
          <w:sz w:val="20"/>
          <w:szCs w:val="20"/>
          <w:color w:val="auto"/>
        </w:rPr>
      </w:pPr>
      <w:r>
        <w:rPr>
          <w:rFonts w:ascii="Arial" w:cs="Arial" w:eastAsia="Arial" w:hAnsi="Arial"/>
          <w:sz w:val="20"/>
          <w:szCs w:val="20"/>
          <w:color w:val="E7417A"/>
        </w:rPr>
        <w:t>STOCKHOLDER</w:t>
      </w:r>
    </w:p>
    <w:p>
      <w:pPr>
        <w:spacing w:after="0" w:line="13" w:lineRule="exact"/>
        <w:rPr>
          <w:sz w:val="20"/>
          <w:szCs w:val="20"/>
          <w:color w:val="auto"/>
        </w:rPr>
      </w:pPr>
    </w:p>
    <w:p>
      <w:pPr>
        <w:ind w:left="2760"/>
        <w:spacing w:after="0"/>
        <w:rPr>
          <w:sz w:val="20"/>
          <w:szCs w:val="20"/>
          <w:color w:val="auto"/>
        </w:rPr>
      </w:pPr>
      <w:r>
        <w:rPr>
          <w:rFonts w:ascii="Arial" w:cs="Arial" w:eastAsia="Arial" w:hAnsi="Arial"/>
          <w:sz w:val="20"/>
          <w:szCs w:val="20"/>
          <w:color w:val="E7417A"/>
        </w:rPr>
        <w:t>ENGAGEMENT</w:t>
      </w:r>
    </w:p>
    <w:p>
      <w:pPr>
        <w:spacing w:after="0" w:line="308" w:lineRule="exact"/>
        <w:rPr>
          <w:sz w:val="20"/>
          <w:szCs w:val="20"/>
          <w:color w:val="auto"/>
        </w:rPr>
      </w:pPr>
    </w:p>
    <w:p>
      <w:pPr>
        <w:ind w:left="1280" w:right="4679" w:hanging="356"/>
        <w:spacing w:after="0" w:line="247" w:lineRule="auto"/>
        <w:tabs>
          <w:tab w:leader="none" w:pos="1280" w:val="left"/>
        </w:tabs>
        <w:numPr>
          <w:ilvl w:val="0"/>
          <w:numId w:val="101"/>
        </w:numPr>
        <w:rPr>
          <w:rFonts w:ascii="Arial" w:cs="Arial" w:eastAsia="Arial" w:hAnsi="Arial"/>
          <w:sz w:val="18"/>
          <w:szCs w:val="18"/>
          <w:color w:val="62259D"/>
        </w:rPr>
      </w:pPr>
      <w:r>
        <w:rPr>
          <w:rFonts w:ascii="Arial" w:cs="Arial" w:eastAsia="Arial" w:hAnsi="Arial"/>
          <w:sz w:val="18"/>
          <w:szCs w:val="18"/>
          <w:color w:val="auto"/>
        </w:rPr>
        <w:t>In 2024, we engaged with our two largest stockholders, through Messrs. Shani and Smith, two of our non-employee directors, to discuss matters relating to the compensation of our executive officers, generally.</w:t>
      </w:r>
    </w:p>
    <w:p>
      <w:pPr>
        <w:spacing w:after="0" w:line="41" w:lineRule="exact"/>
        <w:rPr>
          <w:rFonts w:ascii="Arial" w:cs="Arial" w:eastAsia="Arial" w:hAnsi="Arial"/>
          <w:sz w:val="18"/>
          <w:szCs w:val="18"/>
          <w:color w:val="62259D"/>
        </w:rPr>
      </w:pPr>
    </w:p>
    <w:p>
      <w:pPr>
        <w:ind w:left="1280" w:right="4699" w:hanging="356"/>
        <w:spacing w:after="0" w:line="253" w:lineRule="auto"/>
        <w:tabs>
          <w:tab w:leader="none" w:pos="1280" w:val="left"/>
        </w:tabs>
        <w:numPr>
          <w:ilvl w:val="0"/>
          <w:numId w:val="101"/>
        </w:numPr>
        <w:rPr>
          <w:rFonts w:ascii="Arial" w:cs="Arial" w:eastAsia="Arial" w:hAnsi="Arial"/>
          <w:sz w:val="18"/>
          <w:szCs w:val="18"/>
          <w:color w:val="62259D"/>
        </w:rPr>
      </w:pPr>
      <w:r>
        <w:rPr>
          <w:rFonts w:ascii="Arial" w:cs="Arial" w:eastAsia="Arial" w:hAnsi="Arial"/>
          <w:sz w:val="18"/>
          <w:szCs w:val="18"/>
          <w:color w:val="auto"/>
        </w:rPr>
        <w:t>Additionally, in 2024, we met with investors regularly to discuss matters of interests to such stockholders.</w:t>
      </w:r>
    </w:p>
    <w:p>
      <w:pPr>
        <w:spacing w:after="0" w:line="115" w:lineRule="exact"/>
        <w:rPr>
          <w:sz w:val="20"/>
          <w:szCs w:val="20"/>
          <w:color w:val="auto"/>
        </w:rPr>
      </w:pPr>
    </w:p>
    <w:p>
      <w:pPr>
        <w:ind w:left="920" w:right="379"/>
        <w:spacing w:after="0" w:line="237" w:lineRule="auto"/>
        <w:rPr>
          <w:sz w:val="20"/>
          <w:szCs w:val="20"/>
          <w:color w:val="auto"/>
        </w:rPr>
      </w:pPr>
      <w:r>
        <w:rPr>
          <w:rFonts w:ascii="Arial" w:cs="Arial" w:eastAsia="Arial" w:hAnsi="Arial"/>
          <w:sz w:val="18"/>
          <w:szCs w:val="18"/>
          <w:color w:val="auto"/>
        </w:rPr>
        <w:t>The Compensation Committee also engaged its independent compensation consultant to review our executive compensation program in a manner that we believe reflects the goals of our current business,</w:t>
      </w:r>
    </w:p>
    <w:p>
      <w:pPr>
        <w:ind w:left="920"/>
        <w:spacing w:after="0" w:line="235" w:lineRule="auto"/>
        <w:rPr>
          <w:sz w:val="20"/>
          <w:szCs w:val="20"/>
          <w:color w:val="auto"/>
        </w:rPr>
      </w:pPr>
      <w:r>
        <w:rPr>
          <w:rFonts w:ascii="Arial" w:cs="Arial" w:eastAsia="Arial" w:hAnsi="Arial"/>
          <w:sz w:val="18"/>
          <w:szCs w:val="18"/>
          <w:color w:val="auto"/>
        </w:rPr>
        <w:t xml:space="preserve">and certain material aspects of the current compensation program are described in this </w:t>
      </w:r>
      <w:r>
        <w:rPr>
          <w:rFonts w:ascii="Arial" w:cs="Arial" w:eastAsia="Arial" w:hAnsi="Arial"/>
          <w:sz w:val="18"/>
          <w:szCs w:val="18"/>
          <w:i w:val="1"/>
          <w:iCs w:val="1"/>
          <w:color w:val="auto"/>
        </w:rPr>
        <w:t>Compensation</w:t>
      </w:r>
    </w:p>
    <w:p>
      <w:pPr>
        <w:spacing w:after="0" w:line="1" w:lineRule="exact"/>
        <w:rPr>
          <w:sz w:val="20"/>
          <w:szCs w:val="20"/>
          <w:color w:val="auto"/>
        </w:rPr>
      </w:pPr>
    </w:p>
    <w:p>
      <w:pPr>
        <w:ind w:left="920" w:right="119"/>
        <w:spacing w:after="0" w:line="226" w:lineRule="auto"/>
        <w:rPr>
          <w:sz w:val="20"/>
          <w:szCs w:val="20"/>
          <w:color w:val="auto"/>
        </w:rPr>
      </w:pPr>
      <w:r>
        <w:rPr>
          <w:rFonts w:ascii="Arial" w:cs="Arial" w:eastAsia="Arial" w:hAnsi="Arial"/>
          <w:sz w:val="18"/>
          <w:szCs w:val="18"/>
          <w:i w:val="1"/>
          <w:iCs w:val="1"/>
          <w:color w:val="auto"/>
        </w:rPr>
        <w:t xml:space="preserve">Discussion and Analysis </w:t>
      </w:r>
      <w:r>
        <w:rPr>
          <w:rFonts w:ascii="Arial" w:cs="Arial" w:eastAsia="Arial" w:hAnsi="Arial"/>
          <w:sz w:val="18"/>
          <w:szCs w:val="18"/>
          <w:color w:val="auto"/>
        </w:rPr>
        <w:t>section. While we believe our current program provides the appropriate incentives</w:t>
      </w:r>
      <w:r>
        <w:rPr>
          <w:rFonts w:ascii="Arial" w:cs="Arial" w:eastAsia="Arial" w:hAnsi="Arial"/>
          <w:sz w:val="18"/>
          <w:szCs w:val="18"/>
          <w:i w:val="1"/>
          <w:iCs w:val="1"/>
          <w:color w:val="auto"/>
        </w:rPr>
        <w:t xml:space="preserve"> </w:t>
      </w:r>
      <w:r>
        <w:rPr>
          <w:rFonts w:ascii="Arial" w:cs="Arial" w:eastAsia="Arial" w:hAnsi="Arial"/>
          <w:sz w:val="18"/>
          <w:szCs w:val="18"/>
          <w:color w:val="auto"/>
        </w:rPr>
        <w:t>and pay-for-performance culture for our NEOs, the Compensation Committee intends to continue to review</w:t>
      </w:r>
    </w:p>
    <w:p>
      <w:pPr>
        <w:spacing w:after="0" w:line="2" w:lineRule="exact"/>
        <w:rPr>
          <w:sz w:val="20"/>
          <w:szCs w:val="20"/>
          <w:color w:val="auto"/>
        </w:rPr>
      </w:pPr>
    </w:p>
    <w:p>
      <w:pPr>
        <w:ind w:left="920" w:right="959"/>
        <w:spacing w:after="0" w:line="250" w:lineRule="auto"/>
        <w:rPr>
          <w:sz w:val="20"/>
          <w:szCs w:val="20"/>
          <w:color w:val="auto"/>
        </w:rPr>
      </w:pPr>
      <w:r>
        <w:rPr>
          <w:rFonts w:ascii="Arial" w:cs="Arial" w:eastAsia="Arial" w:hAnsi="Arial"/>
          <w:sz w:val="18"/>
          <w:szCs w:val="18"/>
          <w:color w:val="auto"/>
        </w:rPr>
        <w:t>our compensation practices in the future based on the results of say-on-pay votes and to engage stockholders for input into the Company’s pay practices, where appropriate.</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Overview of the Company’s Compensation Program</w:t>
      </w:r>
    </w:p>
    <w:p>
      <w:pPr>
        <w:spacing w:after="0" w:line="139" w:lineRule="exact"/>
        <w:rPr>
          <w:sz w:val="20"/>
          <w:szCs w:val="20"/>
          <w:color w:val="auto"/>
        </w:rPr>
      </w:pPr>
    </w:p>
    <w:p>
      <w:pPr>
        <w:ind w:left="920" w:right="99"/>
        <w:spacing w:after="0" w:line="248" w:lineRule="auto"/>
        <w:rPr>
          <w:sz w:val="20"/>
          <w:szCs w:val="20"/>
          <w:color w:val="auto"/>
        </w:rPr>
      </w:pPr>
      <w:r>
        <w:rPr>
          <w:rFonts w:ascii="Arial" w:cs="Arial" w:eastAsia="Arial" w:hAnsi="Arial"/>
          <w:sz w:val="18"/>
          <w:szCs w:val="18"/>
          <w:color w:val="auto"/>
        </w:rPr>
        <w:t>The Company’s executive compensation program is administered by the Compensation Committee. In addition to attracting and retaining high caliber executives, the components of the executive compensation program are designed to reward the successful execution of corporate strategies, foster and drive continuous improvement, and encourage a high-performance culture, both on an annual basis and over the long-term.</w:t>
      </w:r>
    </w:p>
    <w:p>
      <w:pPr>
        <w:spacing w:after="0" w:line="37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Who Oversees the Company’s Compensation Program?</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20"/>
          <w:szCs w:val="20"/>
          <w:color w:val="E7417A"/>
        </w:rPr>
        <w:t>THE COMPENSATION COMMITTEE</w:t>
      </w:r>
    </w:p>
    <w:p>
      <w:pPr>
        <w:spacing w:after="0" w:line="137" w:lineRule="exact"/>
        <w:rPr>
          <w:sz w:val="20"/>
          <w:szCs w:val="20"/>
          <w:color w:val="auto"/>
        </w:rPr>
      </w:pPr>
    </w:p>
    <w:p>
      <w:pPr>
        <w:ind w:left="920" w:right="139"/>
        <w:spacing w:after="0" w:line="243" w:lineRule="auto"/>
        <w:rPr>
          <w:sz w:val="20"/>
          <w:szCs w:val="20"/>
          <w:color w:val="auto"/>
        </w:rPr>
      </w:pPr>
      <w:r>
        <w:rPr>
          <w:rFonts w:ascii="Arial" w:cs="Arial" w:eastAsia="Arial" w:hAnsi="Arial"/>
          <w:sz w:val="18"/>
          <w:szCs w:val="18"/>
          <w:color w:val="auto"/>
        </w:rPr>
        <w:t>The Compensation Committee is primarily responsible for overseeing the Company’s executive compensation program. Our Board sets the overall corporate performance objectives for each year, while the Compensation Committee determines and approves the compensation level for the CEO; reviews the recommendations of the CEO and approves compensation levels of other executive officers; evaluates the performance of these executives; and evaluates and approves all grants of equity-based compensation to the CEO and the other executive officers. All decisions regarding the CEO’s compensation are made by the Compensation Committee in executive session without the CEO present. After the end of the fiscal year, the Compensation Committee reviews the actual corporate performance to determine the appropriate cash incentive amount, if any, to be paid to each eligible executive officer.</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20"/>
          <w:szCs w:val="20"/>
          <w:color w:val="E7417A"/>
        </w:rPr>
        <w:t>ROLE OF THE COMPENSATION CONSULTANT</w:t>
      </w:r>
    </w:p>
    <w:p>
      <w:pPr>
        <w:spacing w:after="0" w:line="124" w:lineRule="exact"/>
        <w:rPr>
          <w:sz w:val="20"/>
          <w:szCs w:val="20"/>
          <w:color w:val="auto"/>
        </w:rPr>
      </w:pPr>
    </w:p>
    <w:p>
      <w:pPr>
        <w:ind w:left="920" w:right="139"/>
        <w:spacing w:after="0" w:line="245" w:lineRule="auto"/>
        <w:rPr>
          <w:sz w:val="20"/>
          <w:szCs w:val="20"/>
          <w:color w:val="auto"/>
        </w:rPr>
      </w:pPr>
      <w:r>
        <w:rPr>
          <w:rFonts w:ascii="Arial" w:cs="Arial" w:eastAsia="Arial" w:hAnsi="Arial"/>
          <w:sz w:val="18"/>
          <w:szCs w:val="18"/>
          <w:color w:val="auto"/>
        </w:rPr>
        <w:t>The duties of the compensation consultant we engage are generally to evaluate board and executive compensation, perform an analysis on realized pay alignment with financial and stock performance, keep the committee apprised of general compensation trends, provide competitive market practice data and benchmarking (including peer group determination), participate in the design and implementation of certain elements of the executive compensation program, assist in the review of compensation related disclosures, assist in share usage analysis and determinations with respect to our equity incentive plans (including with respect to our share reserve), assist our CEO in developing compensation recommendations to present to the Compensation Committee for the other executive officers and assist in reviewing our proxy statement and other relevant public filings.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40</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167640</wp:posOffset>
            </wp:positionV>
            <wp:extent cx="683196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right="699"/>
        <w:spacing w:after="0" w:line="271" w:lineRule="auto"/>
        <w:rPr>
          <w:sz w:val="20"/>
          <w:szCs w:val="20"/>
          <w:color w:val="auto"/>
        </w:rPr>
      </w:pPr>
      <w:r>
        <w:rPr>
          <w:rFonts w:ascii="Arial" w:cs="Arial" w:eastAsia="Arial" w:hAnsi="Arial"/>
          <w:sz w:val="18"/>
          <w:szCs w:val="18"/>
          <w:color w:val="auto"/>
        </w:rPr>
        <w:t>The Compensation Committee may accept, reject or modify any recommendations by compensation consultants or other outside advisors.</w:t>
      </w:r>
    </w:p>
    <w:p>
      <w:pPr>
        <w:spacing w:after="0" w:line="59" w:lineRule="exact"/>
        <w:rPr>
          <w:sz w:val="20"/>
          <w:szCs w:val="20"/>
          <w:color w:val="auto"/>
        </w:rPr>
      </w:pPr>
    </w:p>
    <w:p>
      <w:pPr>
        <w:ind w:left="920" w:right="579"/>
        <w:spacing w:after="0" w:line="237" w:lineRule="auto"/>
        <w:rPr>
          <w:sz w:val="20"/>
          <w:szCs w:val="20"/>
          <w:color w:val="auto"/>
        </w:rPr>
      </w:pPr>
      <w:r>
        <w:rPr>
          <w:rFonts w:ascii="Arial" w:cs="Arial" w:eastAsia="Arial" w:hAnsi="Arial"/>
          <w:sz w:val="18"/>
          <w:szCs w:val="18"/>
          <w:color w:val="auto"/>
        </w:rPr>
        <w:t>Since December 2017, FW Cook has served as the compensation consultant of the Compensation Committee and has advised the Compensation Committee regarding its compensation decisions. The</w:t>
      </w:r>
    </w:p>
    <w:p>
      <w:pPr>
        <w:spacing w:after="0" w:line="1" w:lineRule="exact"/>
        <w:rPr>
          <w:sz w:val="20"/>
          <w:szCs w:val="20"/>
          <w:color w:val="auto"/>
        </w:rPr>
      </w:pPr>
    </w:p>
    <w:p>
      <w:pPr>
        <w:ind w:left="920" w:right="119"/>
        <w:spacing w:after="0" w:line="250" w:lineRule="auto"/>
        <w:rPr>
          <w:sz w:val="20"/>
          <w:szCs w:val="20"/>
          <w:color w:val="auto"/>
        </w:rPr>
      </w:pPr>
      <w:r>
        <w:rPr>
          <w:rFonts w:ascii="Arial" w:cs="Arial" w:eastAsia="Arial" w:hAnsi="Arial"/>
          <w:sz w:val="18"/>
          <w:szCs w:val="18"/>
          <w:color w:val="auto"/>
        </w:rPr>
        <w:t>Compensation Committee assessed FW Cook’s independence relative to standards prescribed by the SEC and determined that no conflicts existed.</w:t>
      </w:r>
    </w:p>
    <w:p>
      <w:pPr>
        <w:spacing w:after="0" w:line="169" w:lineRule="exact"/>
        <w:rPr>
          <w:sz w:val="20"/>
          <w:szCs w:val="20"/>
          <w:color w:val="auto"/>
        </w:rPr>
      </w:pPr>
    </w:p>
    <w:p>
      <w:pPr>
        <w:ind w:left="920" w:right="739"/>
        <w:spacing w:after="0" w:line="271" w:lineRule="auto"/>
        <w:rPr>
          <w:sz w:val="20"/>
          <w:szCs w:val="20"/>
          <w:color w:val="auto"/>
        </w:rPr>
      </w:pPr>
      <w:r>
        <w:rPr>
          <w:rFonts w:ascii="Arial" w:cs="Arial" w:eastAsia="Arial" w:hAnsi="Arial"/>
          <w:sz w:val="20"/>
          <w:szCs w:val="20"/>
          <w:color w:val="E7417A"/>
        </w:rPr>
        <w:t>ROLES OF THE CHIEF EXECUTIVE OFFICER AND THE SENIOR VICE PRESIDENT OF HUMAN RESOURCES</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CEO, in consultation with the Senior Vice President of Human Resources, develops compensation</w:t>
      </w:r>
    </w:p>
    <w:p>
      <w:pPr>
        <w:spacing w:after="0" w:line="14" w:lineRule="exact"/>
        <w:rPr>
          <w:sz w:val="20"/>
          <w:szCs w:val="20"/>
          <w:color w:val="auto"/>
        </w:rPr>
      </w:pPr>
    </w:p>
    <w:p>
      <w:pPr>
        <w:ind w:left="920" w:right="119"/>
        <w:spacing w:after="0" w:line="226" w:lineRule="auto"/>
        <w:rPr>
          <w:sz w:val="20"/>
          <w:szCs w:val="20"/>
          <w:color w:val="auto"/>
        </w:rPr>
      </w:pPr>
      <w:r>
        <w:rPr>
          <w:rFonts w:ascii="Arial" w:cs="Arial" w:eastAsia="Arial" w:hAnsi="Arial"/>
          <w:sz w:val="18"/>
          <w:szCs w:val="18"/>
          <w:color w:val="auto"/>
        </w:rPr>
        <w:t>recommendations for the Compensation Committee to consider for the Company’s other executive officers. The CEO considers various factors when making individual compensation recommendations, including the</w:t>
      </w:r>
    </w:p>
    <w:p>
      <w:pPr>
        <w:spacing w:after="0" w:line="2" w:lineRule="exact"/>
        <w:rPr>
          <w:sz w:val="20"/>
          <w:szCs w:val="20"/>
          <w:color w:val="auto"/>
        </w:rPr>
      </w:pPr>
    </w:p>
    <w:p>
      <w:pPr>
        <w:ind w:left="920" w:right="139"/>
        <w:spacing w:after="0" w:line="250" w:lineRule="auto"/>
        <w:rPr>
          <w:sz w:val="20"/>
          <w:szCs w:val="20"/>
          <w:color w:val="auto"/>
        </w:rPr>
      </w:pPr>
      <w:r>
        <w:rPr>
          <w:rFonts w:ascii="Arial" w:cs="Arial" w:eastAsia="Arial" w:hAnsi="Arial"/>
          <w:sz w:val="18"/>
          <w:szCs w:val="18"/>
          <w:color w:val="auto"/>
        </w:rPr>
        <w:t>relative importance of the executive’s position within the organization, the individual tenure and experience of the executive, and the executive’s individual performance and contributions to the Company’s results.</w:t>
      </w:r>
    </w:p>
    <w:p>
      <w:pPr>
        <w:spacing w:after="0" w:line="77" w:lineRule="exact"/>
        <w:rPr>
          <w:sz w:val="20"/>
          <w:szCs w:val="20"/>
          <w:color w:val="auto"/>
        </w:rPr>
      </w:pPr>
    </w:p>
    <w:p>
      <w:pPr>
        <w:ind w:left="920" w:right="339"/>
        <w:spacing w:after="0" w:line="256" w:lineRule="auto"/>
        <w:rPr>
          <w:sz w:val="20"/>
          <w:szCs w:val="20"/>
          <w:color w:val="auto"/>
        </w:rPr>
      </w:pPr>
      <w:r>
        <w:rPr>
          <w:rFonts w:ascii="Arial" w:cs="Arial" w:eastAsia="Arial" w:hAnsi="Arial"/>
          <w:sz w:val="18"/>
          <w:szCs w:val="18"/>
          <w:color w:val="auto"/>
        </w:rPr>
        <w:t>The Compensation Committee considers, but is not bound by, compensation recommendations made by the CEO. The Compensation Committee determines the CEO’s compensation in its sole discretion.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Competitive Benchmarking</w:t>
      </w:r>
    </w:p>
    <w:p>
      <w:pPr>
        <w:spacing w:after="0" w:line="121" w:lineRule="exact"/>
        <w:rPr>
          <w:sz w:val="20"/>
          <w:szCs w:val="20"/>
          <w:color w:val="auto"/>
        </w:rPr>
      </w:pPr>
    </w:p>
    <w:p>
      <w:pPr>
        <w:ind w:left="920" w:right="119"/>
        <w:spacing w:after="0" w:line="237" w:lineRule="auto"/>
        <w:rPr>
          <w:sz w:val="20"/>
          <w:szCs w:val="20"/>
          <w:color w:val="auto"/>
        </w:rPr>
      </w:pPr>
      <w:r>
        <w:rPr>
          <w:rFonts w:ascii="Arial" w:cs="Arial" w:eastAsia="Arial" w:hAnsi="Arial"/>
          <w:sz w:val="18"/>
          <w:szCs w:val="18"/>
          <w:color w:val="auto"/>
        </w:rPr>
        <w:t>As part of the ongoing assessment of our executive compensation program, the Compensation Committee, with the assistance of its compensation consultant, reviews market compensation data, including the</w:t>
      </w:r>
    </w:p>
    <w:p>
      <w:pPr>
        <w:ind w:left="920"/>
        <w:spacing w:after="0" w:line="235" w:lineRule="auto"/>
        <w:rPr>
          <w:sz w:val="20"/>
          <w:szCs w:val="20"/>
          <w:color w:val="auto"/>
        </w:rPr>
      </w:pPr>
      <w:r>
        <w:rPr>
          <w:rFonts w:ascii="Arial" w:cs="Arial" w:eastAsia="Arial" w:hAnsi="Arial"/>
          <w:sz w:val="18"/>
          <w:szCs w:val="18"/>
          <w:color w:val="auto"/>
        </w:rPr>
        <w:t>compensation practices of selected similar peer companies. Accordingly, the Compensation Committee</w:t>
      </w:r>
    </w:p>
    <w:p>
      <w:pPr>
        <w:spacing w:after="0" w:line="1" w:lineRule="exact"/>
        <w:rPr>
          <w:sz w:val="20"/>
          <w:szCs w:val="20"/>
          <w:color w:val="auto"/>
        </w:rPr>
      </w:pPr>
    </w:p>
    <w:p>
      <w:pPr>
        <w:ind w:left="920" w:right="279"/>
        <w:spacing w:after="0" w:line="237" w:lineRule="auto"/>
        <w:rPr>
          <w:sz w:val="20"/>
          <w:szCs w:val="20"/>
          <w:color w:val="auto"/>
        </w:rPr>
      </w:pPr>
      <w:r>
        <w:rPr>
          <w:rFonts w:ascii="Arial" w:cs="Arial" w:eastAsia="Arial" w:hAnsi="Arial"/>
          <w:sz w:val="18"/>
          <w:szCs w:val="18"/>
          <w:color w:val="auto"/>
        </w:rPr>
        <w:t>updates the peer group from time to time to ensure that the Company’s executive compensation program remains competitive and in line with market compensation data.</w:t>
      </w:r>
    </w:p>
    <w:p>
      <w:pPr>
        <w:spacing w:after="0" w:line="126" w:lineRule="exact"/>
        <w:rPr>
          <w:sz w:val="20"/>
          <w:szCs w:val="20"/>
          <w:color w:val="auto"/>
        </w:rPr>
      </w:pPr>
    </w:p>
    <w:tbl>
      <w:tblPr>
        <w:tblLayout w:type="fixed"/>
        <w:tblInd w:w="930" w:type="dxa"/>
        <w:tblCellMar>
          <w:top w:w="0" w:type="dxa"/>
          <w:left w:w="0" w:type="dxa"/>
          <w:bottom w:w="0" w:type="dxa"/>
          <w:right w:w="0" w:type="dxa"/>
        </w:tblCellMar>
      </w:tblPr>
      <w:tr>
        <w:trPr>
          <w:trHeight w:val="310"/>
        </w:trPr>
        <w:tc>
          <w:tcPr>
            <w:tcW w:w="8560" w:type="dxa"/>
            <w:vAlign w:val="bottom"/>
            <w:tcBorders>
              <w:top w:val="single" w:sz="8" w:color="62259D"/>
              <w:left w:val="single" w:sz="8" w:color="62259D"/>
            </w:tcBorders>
          </w:tcPr>
          <w:p>
            <w:pPr>
              <w:ind w:left="20"/>
              <w:spacing w:after="0" w:line="310"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The peer group generally consists of publicly-traded information technology companies that are in the</w:t>
            </w:r>
          </w:p>
        </w:tc>
        <w:tc>
          <w:tcPr>
            <w:tcW w:w="300" w:type="dxa"/>
            <w:vAlign w:val="bottom"/>
            <w:tcBorders>
              <w:top w:val="single" w:sz="8" w:color="62259D"/>
              <w:right w:val="single" w:sz="8" w:color="62259D"/>
            </w:tcBorders>
          </w:tcPr>
          <w:p>
            <w:pPr>
              <w:ind w:left="80"/>
              <w:spacing w:after="0"/>
              <w:rPr>
                <w:sz w:val="20"/>
                <w:szCs w:val="20"/>
                <w:color w:val="auto"/>
              </w:rPr>
            </w:pPr>
            <w:r>
              <w:rPr>
                <w:rFonts w:ascii="Arial" w:cs="Arial" w:eastAsia="Arial" w:hAnsi="Arial"/>
                <w:sz w:val="16"/>
                <w:szCs w:val="16"/>
                <w:color w:val="auto"/>
              </w:rPr>
              <w:t>​</w:t>
            </w:r>
          </w:p>
        </w:tc>
      </w:tr>
      <w:tr>
        <w:trPr>
          <w:trHeight w:val="176"/>
        </w:trPr>
        <w:tc>
          <w:tcPr>
            <w:tcW w:w="8560" w:type="dxa"/>
            <w:vAlign w:val="bottom"/>
            <w:tcBorders>
              <w:left w:val="single" w:sz="8" w:color="62259D"/>
            </w:tcBorders>
          </w:tcPr>
          <w:p>
            <w:pPr>
              <w:ind w:left="220"/>
              <w:spacing w:after="0" w:line="175" w:lineRule="exact"/>
              <w:rPr>
                <w:sz w:val="20"/>
                <w:szCs w:val="20"/>
                <w:color w:val="auto"/>
              </w:rPr>
            </w:pPr>
            <w:r>
              <w:rPr>
                <w:rFonts w:ascii="Arial" w:cs="Arial" w:eastAsia="Arial" w:hAnsi="Arial"/>
                <w:sz w:val="16"/>
                <w:szCs w:val="16"/>
                <w:color w:val="auto"/>
              </w:rPr>
              <w:t>communications equipment and related sub-industries with market capitalization and revenue in a similar range</w:t>
            </w:r>
          </w:p>
        </w:tc>
        <w:tc>
          <w:tcPr>
            <w:tcW w:w="300" w:type="dxa"/>
            <w:vAlign w:val="bottom"/>
            <w:tcBorders>
              <w:right w:val="single" w:sz="8" w:color="62259D"/>
            </w:tcBorders>
          </w:tcPr>
          <w:p>
            <w:pPr>
              <w:spacing w:after="0"/>
              <w:rPr>
                <w:sz w:val="15"/>
                <w:szCs w:val="15"/>
                <w:color w:val="auto"/>
              </w:rPr>
            </w:pPr>
          </w:p>
        </w:tc>
      </w:tr>
      <w:tr>
        <w:trPr>
          <w:trHeight w:val="215"/>
        </w:trPr>
        <w:tc>
          <w:tcPr>
            <w:tcW w:w="8560" w:type="dxa"/>
            <w:vAlign w:val="bottom"/>
            <w:tcBorders>
              <w:left w:val="single" w:sz="8" w:color="62259D"/>
            </w:tcBorders>
          </w:tcPr>
          <w:p>
            <w:pPr>
              <w:ind w:left="220"/>
              <w:spacing w:after="0"/>
              <w:rPr>
                <w:sz w:val="20"/>
                <w:szCs w:val="20"/>
                <w:color w:val="auto"/>
              </w:rPr>
            </w:pPr>
            <w:r>
              <w:rPr>
                <w:rFonts w:ascii="Arial" w:cs="Arial" w:eastAsia="Arial" w:hAnsi="Arial"/>
                <w:sz w:val="16"/>
                <w:szCs w:val="16"/>
                <w:color w:val="auto"/>
              </w:rPr>
              <w:t>to that of the Company.</w:t>
            </w:r>
          </w:p>
        </w:tc>
        <w:tc>
          <w:tcPr>
            <w:tcW w:w="300" w:type="dxa"/>
            <w:vAlign w:val="bottom"/>
            <w:tcBorders>
              <w:right w:val="single" w:sz="8" w:color="62259D"/>
            </w:tcBorders>
          </w:tcPr>
          <w:p>
            <w:pPr>
              <w:spacing w:after="0"/>
              <w:rPr>
                <w:sz w:val="18"/>
                <w:szCs w:val="18"/>
                <w:color w:val="auto"/>
              </w:rPr>
            </w:pPr>
          </w:p>
        </w:tc>
      </w:tr>
      <w:tr>
        <w:trPr>
          <w:trHeight w:val="150"/>
        </w:trPr>
        <w:tc>
          <w:tcPr>
            <w:tcW w:w="8560" w:type="dxa"/>
            <w:vAlign w:val="bottom"/>
            <w:tcBorders>
              <w:left w:val="single" w:sz="8" w:color="62259D"/>
              <w:bottom w:val="single" w:sz="8" w:color="62259D"/>
            </w:tcBorders>
          </w:tcPr>
          <w:p>
            <w:pPr>
              <w:spacing w:after="0"/>
              <w:rPr>
                <w:sz w:val="13"/>
                <w:szCs w:val="13"/>
                <w:color w:val="auto"/>
              </w:rPr>
            </w:pPr>
          </w:p>
        </w:tc>
        <w:tc>
          <w:tcPr>
            <w:tcW w:w="300" w:type="dxa"/>
            <w:vAlign w:val="bottom"/>
            <w:tcBorders>
              <w:bottom w:val="single" w:sz="8" w:color="62259D"/>
              <w:right w:val="single" w:sz="8" w:color="62259D"/>
            </w:tcBorders>
          </w:tcPr>
          <w:p>
            <w:pPr>
              <w:spacing w:after="0"/>
              <w:rPr>
                <w:sz w:val="13"/>
                <w:szCs w:val="13"/>
                <w:color w:val="auto"/>
              </w:rPr>
            </w:pPr>
          </w:p>
        </w:tc>
      </w:tr>
    </w:tbl>
    <w:p>
      <w:pPr>
        <w:spacing w:after="0" w:line="157" w:lineRule="exact"/>
        <w:rPr>
          <w:sz w:val="20"/>
          <w:szCs w:val="20"/>
          <w:color w:val="auto"/>
        </w:rPr>
      </w:pPr>
    </w:p>
    <w:p>
      <w:pPr>
        <w:ind w:left="920" w:right="459"/>
        <w:spacing w:after="0" w:line="237" w:lineRule="auto"/>
        <w:rPr>
          <w:sz w:val="20"/>
          <w:szCs w:val="20"/>
          <w:color w:val="auto"/>
        </w:rPr>
      </w:pPr>
      <w:r>
        <w:rPr>
          <w:rFonts w:ascii="Arial" w:cs="Arial" w:eastAsia="Arial" w:hAnsi="Arial"/>
          <w:sz w:val="18"/>
          <w:szCs w:val="18"/>
          <w:color w:val="auto"/>
        </w:rPr>
        <w:t>The compensation consultant reviews the business descriptions of potential peer companies to identify businesses generally in the telecommunications and/or networking industries. Then, the Compensation</w:t>
      </w:r>
    </w:p>
    <w:p>
      <w:pPr>
        <w:ind w:left="920"/>
        <w:spacing w:after="0" w:line="235" w:lineRule="auto"/>
        <w:rPr>
          <w:sz w:val="20"/>
          <w:szCs w:val="20"/>
          <w:color w:val="auto"/>
        </w:rPr>
      </w:pPr>
      <w:r>
        <w:rPr>
          <w:rFonts w:ascii="Arial" w:cs="Arial" w:eastAsia="Arial" w:hAnsi="Arial"/>
          <w:sz w:val="18"/>
          <w:szCs w:val="18"/>
          <w:color w:val="auto"/>
        </w:rPr>
        <w:t>Committee considers factors, such as executive talent and business-line competitors, global scope and</w:t>
      </w:r>
    </w:p>
    <w:p>
      <w:pPr>
        <w:spacing w:after="0" w:line="1" w:lineRule="exact"/>
        <w:rPr>
          <w:sz w:val="20"/>
          <w:szCs w:val="20"/>
          <w:color w:val="auto"/>
        </w:rPr>
      </w:pPr>
    </w:p>
    <w:p>
      <w:pPr>
        <w:ind w:left="920" w:right="319"/>
        <w:spacing w:after="0" w:line="237" w:lineRule="auto"/>
        <w:rPr>
          <w:sz w:val="20"/>
          <w:szCs w:val="20"/>
          <w:color w:val="auto"/>
        </w:rPr>
      </w:pPr>
      <w:r>
        <w:rPr>
          <w:rFonts w:ascii="Arial" w:cs="Arial" w:eastAsia="Arial" w:hAnsi="Arial"/>
          <w:sz w:val="18"/>
          <w:szCs w:val="18"/>
          <w:color w:val="auto"/>
        </w:rPr>
        <w:t>complexity, research and development expenses, and market capitalization and revenue multiples, when selecting peers.</w:t>
      </w:r>
    </w:p>
    <w:p>
      <w:pPr>
        <w:spacing w:after="0" w:line="32" w:lineRule="exact"/>
        <w:rPr>
          <w:sz w:val="20"/>
          <w:szCs w:val="20"/>
          <w:color w:val="auto"/>
        </w:rPr>
      </w:pPr>
    </w:p>
    <w:p>
      <w:pPr>
        <w:ind w:left="920" w:right="499"/>
        <w:spacing w:after="0" w:line="245" w:lineRule="auto"/>
        <w:rPr>
          <w:sz w:val="20"/>
          <w:szCs w:val="20"/>
          <w:color w:val="auto"/>
        </w:rPr>
      </w:pPr>
      <w:r>
        <w:rPr>
          <w:rFonts w:ascii="Arial" w:cs="Arial" w:eastAsia="Arial" w:hAnsi="Arial"/>
          <w:sz w:val="18"/>
          <w:szCs w:val="18"/>
          <w:color w:val="auto"/>
        </w:rPr>
        <w:t>The Compensation Committee reviews and approves the peer group annually. In September 2024, the Committee determined, in consultation with FW Cook, that no changes to the peer group were needed</w:t>
      </w:r>
    </w:p>
    <w:p>
      <w:pPr>
        <w:ind w:left="920" w:right="259"/>
        <w:spacing w:after="0" w:line="237" w:lineRule="auto"/>
        <w:rPr>
          <w:sz w:val="20"/>
          <w:szCs w:val="20"/>
          <w:color w:val="auto"/>
        </w:rPr>
      </w:pPr>
      <w:r>
        <w:rPr>
          <w:rFonts w:ascii="Arial" w:cs="Arial" w:eastAsia="Arial" w:hAnsi="Arial"/>
          <w:sz w:val="18"/>
          <w:szCs w:val="18"/>
          <w:color w:val="auto"/>
        </w:rPr>
        <w:t>given that the Company’s business and competition were similar to the prior year. The current peer group is outlined below.</w:t>
      </w:r>
    </w:p>
    <w:p>
      <w:pPr>
        <w:spacing w:after="0" w:line="191" w:lineRule="exact"/>
        <w:rPr>
          <w:sz w:val="20"/>
          <w:szCs w:val="20"/>
          <w:color w:val="auto"/>
        </w:rPr>
      </w:pPr>
    </w:p>
    <w:p>
      <w:pPr>
        <w:jc w:val="center"/>
        <w:ind w:right="-760"/>
        <w:spacing w:after="0"/>
        <w:rPr>
          <w:sz w:val="20"/>
          <w:szCs w:val="20"/>
          <w:color w:val="auto"/>
        </w:rPr>
      </w:pPr>
      <w:r>
        <w:rPr>
          <w:rFonts w:ascii="Arial" w:cs="Arial" w:eastAsia="Arial" w:hAnsi="Arial"/>
          <w:sz w:val="20"/>
          <w:szCs w:val="20"/>
          <w:color w:val="E7417A"/>
        </w:rPr>
        <w:t>CURRENT RIBBON EXECUTIVE COMPENSATION</w:t>
      </w:r>
    </w:p>
    <w:p>
      <w:pPr>
        <w:spacing w:after="0" w:line="18" w:lineRule="exact"/>
        <w:rPr>
          <w:sz w:val="20"/>
          <w:szCs w:val="20"/>
          <w:color w:val="auto"/>
        </w:rPr>
      </w:pPr>
    </w:p>
    <w:p>
      <w:pPr>
        <w:jc w:val="center"/>
        <w:ind w:right="-820"/>
        <w:spacing w:after="0"/>
        <w:rPr>
          <w:sz w:val="20"/>
          <w:szCs w:val="20"/>
          <w:color w:val="auto"/>
        </w:rPr>
      </w:pPr>
      <w:r>
        <w:rPr>
          <w:rFonts w:ascii="Arial" w:cs="Arial" w:eastAsia="Arial" w:hAnsi="Arial"/>
          <w:sz w:val="20"/>
          <w:szCs w:val="20"/>
          <w:color w:val="E7417A"/>
        </w:rPr>
        <w:t>PEER GROUP COMPANIES</w:t>
      </w:r>
    </w:p>
    <w:p>
      <w:pPr>
        <w:spacing w:after="0" w:line="13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Arial" w:cs="Arial" w:eastAsia="Arial" w:hAnsi="Arial"/>
                <w:sz w:val="18"/>
                <w:szCs w:val="18"/>
                <w:i w:val="1"/>
                <w:iCs w:val="1"/>
                <w:color w:val="auto"/>
              </w:rPr>
              <w:t>A10​ Networks Inc.</w:t>
            </w:r>
          </w:p>
        </w:tc>
        <w:tc>
          <w:tcPr>
            <w:tcW w:w="540" w:type="dxa"/>
            <w:vAlign w:val="bottom"/>
            <w:tcBorders>
              <w:right w:val="single" w:sz="8" w:color="62259D"/>
            </w:tcBorders>
          </w:tcPr>
          <w:p>
            <w:pPr>
              <w:ind w:left="40"/>
              <w:spacing w:after="0"/>
              <w:rPr>
                <w:sz w:val="20"/>
                <w:szCs w:val="20"/>
                <w:color w:val="auto"/>
              </w:rPr>
            </w:pPr>
            <w:r>
              <w:rPr>
                <w:rFonts w:ascii="Arial" w:cs="Arial" w:eastAsia="Arial" w:hAnsi="Arial"/>
                <w:sz w:val="18"/>
                <w:szCs w:val="18"/>
                <w:i w:val="1"/>
                <w:iCs w:val="1"/>
                <w:color w:val="auto"/>
              </w:rPr>
              <w:t>​</w:t>
            </w:r>
          </w:p>
        </w:tc>
        <w:tc>
          <w:tcPr>
            <w:tcW w:w="260" w:type="dxa"/>
            <w:vAlign w:val="bottom"/>
          </w:tcPr>
          <w:p>
            <w:pPr>
              <w:spacing w:after="0"/>
              <w:rPr>
                <w:sz w:val="20"/>
                <w:szCs w:val="20"/>
                <w:color w:val="auto"/>
              </w:rPr>
            </w:pPr>
            <w:r>
              <w:rPr>
                <w:rFonts w:ascii="Arial" w:cs="Arial" w:eastAsia="Arial" w:hAnsi="Arial"/>
                <w:sz w:val="18"/>
                <w:szCs w:val="18"/>
                <w:i w:val="1"/>
                <w:iCs w:val="1"/>
                <w:color w:val="auto"/>
              </w:rPr>
              <w:t>​</w:t>
            </w:r>
          </w:p>
        </w:tc>
        <w:tc>
          <w:tcPr>
            <w:tcW w:w="2980" w:type="dxa"/>
            <w:vAlign w:val="bottom"/>
          </w:tcPr>
          <w:p>
            <w:pPr>
              <w:ind w:left="200"/>
              <w:spacing w:after="0"/>
              <w:rPr>
                <w:sz w:val="20"/>
                <w:szCs w:val="20"/>
                <w:color w:val="auto"/>
              </w:rPr>
            </w:pPr>
            <w:r>
              <w:rPr>
                <w:rFonts w:ascii="Arial" w:cs="Arial" w:eastAsia="Arial" w:hAnsi="Arial"/>
                <w:sz w:val="18"/>
                <w:szCs w:val="18"/>
                <w:i w:val="1"/>
                <w:iCs w:val="1"/>
                <w:color w:val="auto"/>
              </w:rPr>
              <w:t>Calix, Inc.</w:t>
            </w:r>
          </w:p>
        </w:tc>
        <w:tc>
          <w:tcPr>
            <w:tcW w:w="600" w:type="dxa"/>
            <w:vAlign w:val="bottom"/>
            <w:tcBorders>
              <w:right w:val="single" w:sz="8" w:color="62259D"/>
            </w:tcBorders>
          </w:tcPr>
          <w:p>
            <w:pPr>
              <w:ind w:left="100"/>
              <w:spacing w:after="0"/>
              <w:rPr>
                <w:sz w:val="20"/>
                <w:szCs w:val="20"/>
                <w:color w:val="auto"/>
              </w:rPr>
            </w:pPr>
            <w:r>
              <w:rPr>
                <w:rFonts w:ascii="Arial" w:cs="Arial" w:eastAsia="Arial" w:hAnsi="Arial"/>
                <w:sz w:val="18"/>
                <w:szCs w:val="18"/>
                <w:i w:val="1"/>
                <w:iCs w:val="1"/>
                <w:color w:val="auto"/>
              </w:rPr>
              <w:t>​</w:t>
            </w:r>
          </w:p>
        </w:tc>
        <w:tc>
          <w:tcPr>
            <w:tcW w:w="260" w:type="dxa"/>
            <w:vAlign w:val="bottom"/>
          </w:tcPr>
          <w:p>
            <w:pPr>
              <w:spacing w:after="0"/>
              <w:rPr>
                <w:sz w:val="20"/>
                <w:szCs w:val="20"/>
                <w:color w:val="auto"/>
              </w:rPr>
            </w:pPr>
            <w:r>
              <w:rPr>
                <w:rFonts w:ascii="Arial" w:cs="Arial" w:eastAsia="Arial" w:hAnsi="Arial"/>
                <w:sz w:val="18"/>
                <w:szCs w:val="18"/>
                <w:i w:val="1"/>
                <w:iCs w:val="1"/>
                <w:color w:val="auto"/>
              </w:rPr>
              <w:t>​</w:t>
            </w:r>
          </w:p>
        </w:tc>
        <w:tc>
          <w:tcPr>
            <w:tcW w:w="2180" w:type="dxa"/>
            <w:vAlign w:val="bottom"/>
          </w:tcPr>
          <w:p>
            <w:pPr>
              <w:ind w:left="200"/>
              <w:spacing w:after="0"/>
              <w:rPr>
                <w:sz w:val="20"/>
                <w:szCs w:val="20"/>
                <w:color w:val="auto"/>
              </w:rPr>
            </w:pPr>
            <w:r>
              <w:rPr>
                <w:rFonts w:ascii="Arial" w:cs="Arial" w:eastAsia="Arial" w:hAnsi="Arial"/>
                <w:sz w:val="18"/>
                <w:szCs w:val="18"/>
                <w:i w:val="1"/>
                <w:iCs w:val="1"/>
                <w:color w:val="auto"/>
              </w:rPr>
              <w:t>NETGEAR, Inc.</w:t>
            </w:r>
          </w:p>
        </w:tc>
        <w:tc>
          <w:tcPr>
            <w:tcW w:w="100" w:type="dxa"/>
            <w:vAlign w:val="bottom"/>
          </w:tcPr>
          <w:p>
            <w:pPr>
              <w:ind w:left="40"/>
              <w:spacing w:after="0"/>
              <w:rPr>
                <w:sz w:val="20"/>
                <w:szCs w:val="20"/>
                <w:color w:val="auto"/>
              </w:rPr>
            </w:pPr>
            <w:r>
              <w:rPr>
                <w:rFonts w:ascii="Arial" w:cs="Arial" w:eastAsia="Arial" w:hAnsi="Arial"/>
                <w:sz w:val="18"/>
                <w:szCs w:val="18"/>
                <w:i w:val="1"/>
                <w:iCs w:val="1"/>
                <w:color w:val="auto"/>
              </w:rPr>
              <w:t>​</w:t>
            </w:r>
          </w:p>
        </w:tc>
      </w:tr>
      <w:tr>
        <w:trPr>
          <w:trHeight w:val="216"/>
        </w:trPr>
        <w:tc>
          <w:tcPr>
            <w:tcW w:w="1980" w:type="dxa"/>
            <w:vAlign w:val="bottom"/>
          </w:tcPr>
          <w:p>
            <w:pPr>
              <w:spacing w:after="0"/>
              <w:rPr>
                <w:sz w:val="20"/>
                <w:szCs w:val="20"/>
                <w:color w:val="auto"/>
              </w:rPr>
            </w:pPr>
            <w:r>
              <w:rPr>
                <w:rFonts w:ascii="Arial" w:cs="Arial" w:eastAsia="Arial" w:hAnsi="Arial"/>
                <w:sz w:val="18"/>
                <w:szCs w:val="18"/>
                <w:i w:val="1"/>
                <w:iCs w:val="1"/>
                <w:color w:val="auto"/>
              </w:rPr>
              <w:t>ADTRAN Holdings, Inc.</w:t>
            </w:r>
          </w:p>
        </w:tc>
        <w:tc>
          <w:tcPr>
            <w:tcW w:w="540" w:type="dxa"/>
            <w:vAlign w:val="bottom"/>
            <w:tcBorders>
              <w:right w:val="single" w:sz="8" w:color="62259D"/>
            </w:tcBorders>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Pr>
          <w:p>
            <w:pPr>
              <w:ind w:left="200"/>
              <w:spacing w:after="0"/>
              <w:rPr>
                <w:sz w:val="20"/>
                <w:szCs w:val="20"/>
                <w:color w:val="auto"/>
              </w:rPr>
            </w:pPr>
            <w:r>
              <w:rPr>
                <w:rFonts w:ascii="Arial" w:cs="Arial" w:eastAsia="Arial" w:hAnsi="Arial"/>
                <w:sz w:val="18"/>
                <w:szCs w:val="18"/>
                <w:i w:val="1"/>
                <w:iCs w:val="1"/>
                <w:color w:val="auto"/>
              </w:rPr>
              <w:t>Cambium Networks Corporation</w:t>
            </w:r>
          </w:p>
        </w:tc>
        <w:tc>
          <w:tcPr>
            <w:tcW w:w="600" w:type="dxa"/>
            <w:vAlign w:val="bottom"/>
            <w:tcBorders>
              <w:right w:val="single" w:sz="8" w:color="62259D"/>
            </w:tcBorders>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ind w:left="200"/>
              <w:spacing w:after="0"/>
              <w:rPr>
                <w:sz w:val="20"/>
                <w:szCs w:val="20"/>
                <w:color w:val="auto"/>
              </w:rPr>
            </w:pPr>
            <w:r>
              <w:rPr>
                <w:rFonts w:ascii="Arial" w:cs="Arial" w:eastAsia="Arial" w:hAnsi="Arial"/>
                <w:sz w:val="18"/>
                <w:szCs w:val="18"/>
                <w:i w:val="1"/>
                <w:iCs w:val="1"/>
                <w:color w:val="auto"/>
              </w:rPr>
              <w:t>NetScout Systems, Inc.</w:t>
            </w:r>
          </w:p>
        </w:tc>
        <w:tc>
          <w:tcPr>
            <w:tcW w:w="10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i w:val="1"/>
                <w:iCs w:val="1"/>
                <w:color w:val="auto"/>
              </w:rPr>
              <w:t>AudioCodes Ltd.</w:t>
            </w:r>
          </w:p>
        </w:tc>
        <w:tc>
          <w:tcPr>
            <w:tcW w:w="540" w:type="dxa"/>
            <w:vAlign w:val="bottom"/>
            <w:tcBorders>
              <w:right w:val="single" w:sz="8" w:color="62259D"/>
            </w:tcBorders>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Pr>
          <w:p>
            <w:pPr>
              <w:ind w:left="200"/>
              <w:spacing w:after="0"/>
              <w:rPr>
                <w:sz w:val="20"/>
                <w:szCs w:val="20"/>
                <w:color w:val="auto"/>
              </w:rPr>
            </w:pPr>
            <w:r>
              <w:rPr>
                <w:rFonts w:ascii="Arial" w:cs="Arial" w:eastAsia="Arial" w:hAnsi="Arial"/>
                <w:sz w:val="18"/>
                <w:szCs w:val="18"/>
                <w:i w:val="1"/>
                <w:iCs w:val="1"/>
                <w:color w:val="auto"/>
              </w:rPr>
              <w:t>CSG Systems International, Inc.</w:t>
            </w:r>
          </w:p>
        </w:tc>
        <w:tc>
          <w:tcPr>
            <w:tcW w:w="600" w:type="dxa"/>
            <w:vAlign w:val="bottom"/>
            <w:tcBorders>
              <w:right w:val="single" w:sz="8" w:color="62259D"/>
            </w:tcBorders>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ind w:left="200"/>
              <w:spacing w:after="0"/>
              <w:rPr>
                <w:sz w:val="20"/>
                <w:szCs w:val="20"/>
                <w:color w:val="auto"/>
              </w:rPr>
            </w:pPr>
            <w:r>
              <w:rPr>
                <w:rFonts w:ascii="Arial" w:cs="Arial" w:eastAsia="Arial" w:hAnsi="Arial"/>
                <w:sz w:val="18"/>
                <w:szCs w:val="18"/>
                <w:i w:val="1"/>
                <w:iCs w:val="1"/>
                <w:color w:val="auto"/>
              </w:rPr>
              <w:t>Viavi Solutions Inc.</w:t>
            </w:r>
          </w:p>
        </w:tc>
        <w:tc>
          <w:tcPr>
            <w:tcW w:w="10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i w:val="1"/>
                <w:iCs w:val="1"/>
                <w:color w:val="auto"/>
              </w:rPr>
              <w:t>Aviat Networks, Inc.</w:t>
            </w:r>
          </w:p>
        </w:tc>
        <w:tc>
          <w:tcPr>
            <w:tcW w:w="540" w:type="dxa"/>
            <w:vAlign w:val="bottom"/>
            <w:tcBorders>
              <w:right w:val="single" w:sz="8" w:color="62259D"/>
            </w:tcBorders>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Pr>
          <w:p>
            <w:pPr>
              <w:ind w:left="200"/>
              <w:spacing w:after="0"/>
              <w:rPr>
                <w:sz w:val="20"/>
                <w:szCs w:val="20"/>
                <w:color w:val="auto"/>
              </w:rPr>
            </w:pPr>
            <w:r>
              <w:rPr>
                <w:rFonts w:ascii="Arial" w:cs="Arial" w:eastAsia="Arial" w:hAnsi="Arial"/>
                <w:sz w:val="18"/>
                <w:szCs w:val="18"/>
                <w:i w:val="1"/>
                <w:iCs w:val="1"/>
                <w:color w:val="auto"/>
              </w:rPr>
              <w:t>Extreme Networks, Inc.</w:t>
            </w:r>
          </w:p>
        </w:tc>
        <w:tc>
          <w:tcPr>
            <w:tcW w:w="600" w:type="dxa"/>
            <w:vAlign w:val="bottom"/>
            <w:tcBorders>
              <w:right w:val="single" w:sz="8" w:color="62259D"/>
            </w:tcBorders>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1980" w:type="dxa"/>
            <w:vAlign w:val="bottom"/>
          </w:tcPr>
          <w:p>
            <w:pPr>
              <w:spacing w:after="0"/>
              <w:rPr>
                <w:sz w:val="20"/>
                <w:szCs w:val="20"/>
                <w:color w:val="auto"/>
              </w:rPr>
            </w:pPr>
            <w:r>
              <w:rPr>
                <w:rFonts w:ascii="Arial" w:cs="Arial" w:eastAsia="Arial" w:hAnsi="Arial"/>
                <w:sz w:val="18"/>
                <w:szCs w:val="18"/>
                <w:i w:val="1"/>
                <w:iCs w:val="1"/>
                <w:color w:val="auto"/>
              </w:rPr>
              <w:t>CalAmp Corp.</w:t>
            </w:r>
          </w:p>
        </w:tc>
        <w:tc>
          <w:tcPr>
            <w:tcW w:w="540" w:type="dxa"/>
            <w:vAlign w:val="bottom"/>
            <w:tcBorders>
              <w:right w:val="single" w:sz="8" w:color="62259D"/>
            </w:tcBorders>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tcPr>
          <w:p>
            <w:pPr>
              <w:ind w:left="200"/>
              <w:spacing w:after="0"/>
              <w:rPr>
                <w:sz w:val="20"/>
                <w:szCs w:val="20"/>
                <w:color w:val="auto"/>
              </w:rPr>
            </w:pPr>
            <w:r>
              <w:rPr>
                <w:rFonts w:ascii="Arial" w:cs="Arial" w:eastAsia="Arial" w:hAnsi="Arial"/>
                <w:sz w:val="18"/>
                <w:szCs w:val="18"/>
                <w:i w:val="1"/>
                <w:iCs w:val="1"/>
                <w:color w:val="auto"/>
              </w:rPr>
              <w:t>Harmonic Inc.</w:t>
            </w:r>
          </w:p>
        </w:tc>
        <w:tc>
          <w:tcPr>
            <w:tcW w:w="600" w:type="dxa"/>
            <w:vAlign w:val="bottom"/>
            <w:tcBorders>
              <w:right w:val="single" w:sz="8" w:color="62259D"/>
            </w:tcBorders>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FW Cook compiled and provided the Compensation Committee with compensation information from the</w:t>
      </w:r>
    </w:p>
    <w:p>
      <w:pPr>
        <w:spacing w:after="0" w:line="14" w:lineRule="exact"/>
        <w:rPr>
          <w:sz w:val="20"/>
          <w:szCs w:val="20"/>
          <w:color w:val="auto"/>
        </w:rPr>
      </w:pPr>
    </w:p>
    <w:p>
      <w:pPr>
        <w:ind w:left="920" w:right="239"/>
        <w:spacing w:after="0" w:line="226" w:lineRule="auto"/>
        <w:rPr>
          <w:sz w:val="20"/>
          <w:szCs w:val="20"/>
          <w:color w:val="auto"/>
        </w:rPr>
      </w:pPr>
      <w:r>
        <w:rPr>
          <w:rFonts w:ascii="Arial" w:cs="Arial" w:eastAsia="Arial" w:hAnsi="Arial"/>
          <w:sz w:val="18"/>
          <w:szCs w:val="18"/>
          <w:color w:val="auto"/>
        </w:rPr>
        <w:t>peer group based on the publicly-filed documents of each member of the peer group. While the Compensation Committee considers the compensation of our peer group companies’ senior executives, it</w:t>
      </w:r>
    </w:p>
    <w:p>
      <w:pPr>
        <w:spacing w:after="0" w:line="2" w:lineRule="exact"/>
        <w:rPr>
          <w:sz w:val="20"/>
          <w:szCs w:val="20"/>
          <w:color w:val="auto"/>
        </w:rPr>
      </w:pPr>
    </w:p>
    <w:p>
      <w:pPr>
        <w:ind w:left="920" w:right="319"/>
        <w:spacing w:after="0" w:line="250" w:lineRule="auto"/>
        <w:rPr>
          <w:sz w:val="20"/>
          <w:szCs w:val="20"/>
          <w:color w:val="auto"/>
        </w:rPr>
      </w:pPr>
      <w:r>
        <w:rPr>
          <w:rFonts w:ascii="Arial" w:cs="Arial" w:eastAsia="Arial" w:hAnsi="Arial"/>
          <w:sz w:val="18"/>
          <w:szCs w:val="18"/>
          <w:color w:val="auto"/>
        </w:rPr>
        <w:t>does not benchmark a particular percentile for the total compensation of our NEOs or for any component thereof.</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Compensation Components</w:t>
      </w:r>
    </w:p>
    <w:p>
      <w:pPr>
        <w:spacing w:after="0" w:line="125" w:lineRule="exact"/>
        <w:rPr>
          <w:sz w:val="20"/>
          <w:szCs w:val="20"/>
          <w:color w:val="auto"/>
        </w:rPr>
      </w:pPr>
    </w:p>
    <w:p>
      <w:pPr>
        <w:ind w:left="920" w:right="339"/>
        <w:spacing w:after="0" w:line="287" w:lineRule="auto"/>
        <w:rPr>
          <w:sz w:val="20"/>
          <w:szCs w:val="20"/>
          <w:color w:val="auto"/>
        </w:rPr>
      </w:pPr>
      <w:r>
        <w:rPr>
          <w:rFonts w:ascii="Arial" w:cs="Arial" w:eastAsia="Arial" w:hAnsi="Arial"/>
          <w:sz w:val="18"/>
          <w:szCs w:val="18"/>
          <w:color w:val="auto"/>
        </w:rPr>
        <w:t>The Compensation Committee annually reviews fixed and variable compensation received by our NEOs, including:</w:t>
      </w:r>
    </w:p>
    <w:p>
      <w:pPr>
        <w:spacing w:after="0" w:line="85" w:lineRule="exact"/>
        <w:rPr>
          <w:sz w:val="20"/>
          <w:szCs w:val="20"/>
          <w:color w:val="auto"/>
        </w:rPr>
      </w:pPr>
    </w:p>
    <w:p>
      <w:pPr>
        <w:ind w:left="1280" w:hanging="356"/>
        <w:spacing w:after="0"/>
        <w:tabs>
          <w:tab w:leader="none" w:pos="1280" w:val="left"/>
        </w:tabs>
        <w:numPr>
          <w:ilvl w:val="0"/>
          <w:numId w:val="102"/>
        </w:numPr>
        <w:rPr>
          <w:rFonts w:ascii="Arial" w:cs="Arial" w:eastAsia="Arial" w:hAnsi="Arial"/>
          <w:sz w:val="18"/>
          <w:szCs w:val="18"/>
          <w:color w:val="62259D"/>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62259D"/>
        </w:rPr>
      </w:pPr>
    </w:p>
    <w:p>
      <w:pPr>
        <w:ind w:left="1280" w:hanging="356"/>
        <w:spacing w:after="0"/>
        <w:tabs>
          <w:tab w:leader="none" w:pos="1280" w:val="left"/>
        </w:tabs>
        <w:numPr>
          <w:ilvl w:val="0"/>
          <w:numId w:val="102"/>
        </w:numPr>
        <w:rPr>
          <w:rFonts w:ascii="Arial" w:cs="Arial" w:eastAsia="Arial" w:hAnsi="Arial"/>
          <w:sz w:val="18"/>
          <w:szCs w:val="18"/>
          <w:color w:val="62259D"/>
        </w:rPr>
      </w:pPr>
      <w:r>
        <w:rPr>
          <w:rFonts w:ascii="Arial" w:cs="Arial" w:eastAsia="Arial" w:hAnsi="Arial"/>
          <w:sz w:val="18"/>
          <w:szCs w:val="18"/>
          <w:color w:val="auto"/>
        </w:rPr>
        <w:t>annual bonus incentives,</w:t>
      </w:r>
    </w:p>
    <w:p>
      <w:pPr>
        <w:spacing w:after="0" w:line="103" w:lineRule="exact"/>
        <w:rPr>
          <w:rFonts w:ascii="Arial" w:cs="Arial" w:eastAsia="Arial" w:hAnsi="Arial"/>
          <w:sz w:val="18"/>
          <w:szCs w:val="18"/>
          <w:color w:val="62259D"/>
        </w:rPr>
      </w:pPr>
    </w:p>
    <w:p>
      <w:pPr>
        <w:ind w:left="1280" w:hanging="356"/>
        <w:spacing w:after="0"/>
        <w:tabs>
          <w:tab w:leader="none" w:pos="1280" w:val="left"/>
        </w:tabs>
        <w:numPr>
          <w:ilvl w:val="0"/>
          <w:numId w:val="102"/>
        </w:numPr>
        <w:rPr>
          <w:rFonts w:ascii="Arial" w:cs="Arial" w:eastAsia="Arial" w:hAnsi="Arial"/>
          <w:sz w:val="18"/>
          <w:szCs w:val="18"/>
          <w:color w:val="62259D"/>
        </w:rPr>
      </w:pPr>
      <w:r>
        <w:rPr>
          <w:rFonts w:ascii="Arial" w:cs="Arial" w:eastAsia="Arial" w:hAnsi="Arial"/>
          <w:sz w:val="18"/>
          <w:szCs w:val="18"/>
          <w:color w:val="auto"/>
        </w:rPr>
        <w:t>equity awards, and</w:t>
      </w:r>
    </w:p>
    <w:p>
      <w:pPr>
        <w:spacing w:after="0" w:line="90" w:lineRule="exact"/>
        <w:rPr>
          <w:rFonts w:ascii="Arial" w:cs="Arial" w:eastAsia="Arial" w:hAnsi="Arial"/>
          <w:sz w:val="18"/>
          <w:szCs w:val="18"/>
          <w:color w:val="62259D"/>
        </w:rPr>
      </w:pPr>
    </w:p>
    <w:p>
      <w:pPr>
        <w:ind w:left="1280" w:hanging="356"/>
        <w:spacing w:after="0"/>
        <w:tabs>
          <w:tab w:leader="none" w:pos="1280" w:val="left"/>
        </w:tabs>
        <w:numPr>
          <w:ilvl w:val="0"/>
          <w:numId w:val="102"/>
        </w:numPr>
        <w:rPr>
          <w:rFonts w:ascii="Arial" w:cs="Arial" w:eastAsia="Arial" w:hAnsi="Arial"/>
          <w:sz w:val="18"/>
          <w:szCs w:val="18"/>
          <w:color w:val="62259D"/>
        </w:rPr>
      </w:pPr>
      <w:r>
        <w:rPr>
          <w:rFonts w:ascii="Arial" w:cs="Arial" w:eastAsia="Arial" w:hAnsi="Arial"/>
          <w:sz w:val="18"/>
          <w:szCs w:val="18"/>
          <w:color w:val="auto"/>
        </w:rPr>
        <w:t>other benefits (</w:t>
      </w:r>
      <w:r>
        <w:rPr>
          <w:rFonts w:ascii="Arial" w:cs="Arial" w:eastAsia="Arial" w:hAnsi="Arial"/>
          <w:sz w:val="18"/>
          <w:szCs w:val="18"/>
          <w:i w:val="1"/>
          <w:iCs w:val="1"/>
          <w:color w:val="auto"/>
        </w:rPr>
        <w:t>e.g.</w:t>
      </w:r>
      <w:r>
        <w:rPr>
          <w:rFonts w:ascii="Arial" w:cs="Arial" w:eastAsia="Arial" w:hAnsi="Arial"/>
          <w:sz w:val="18"/>
          <w:szCs w:val="18"/>
          <w:color w:val="auto"/>
        </w:rPr>
        <w:t xml:space="preserve"> health and retirement).</w:t>
      </w:r>
    </w:p>
    <w:p>
      <w:pPr>
        <w:spacing w:after="0" w:line="131" w:lineRule="exact"/>
        <w:rPr>
          <w:sz w:val="20"/>
          <w:szCs w:val="20"/>
          <w:color w:val="auto"/>
        </w:rPr>
      </w:pPr>
    </w:p>
    <w:p>
      <w:pPr>
        <w:ind w:left="920" w:right="359"/>
        <w:spacing w:after="0" w:line="268" w:lineRule="auto"/>
        <w:rPr>
          <w:sz w:val="20"/>
          <w:szCs w:val="20"/>
          <w:color w:val="auto"/>
        </w:rPr>
      </w:pPr>
      <w:r>
        <w:rPr>
          <w:rFonts w:ascii="Arial" w:cs="Arial" w:eastAsia="Arial" w:hAnsi="Arial"/>
          <w:sz w:val="18"/>
          <w:szCs w:val="18"/>
          <w:color w:val="auto"/>
        </w:rPr>
        <w:t>Our executive compensation program has four major components that support the Company’s compensation objectives, each of which is discussed in detail below. Such major components reflect the compensation provided to our NEOs in 2024.</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Compensation Mix</w:t>
      </w:r>
    </w:p>
    <w:p>
      <w:pPr>
        <w:spacing w:after="0" w:line="135" w:lineRule="exact"/>
        <w:rPr>
          <w:sz w:val="20"/>
          <w:szCs w:val="20"/>
          <w:color w:val="auto"/>
        </w:rPr>
      </w:pPr>
    </w:p>
    <w:p>
      <w:pPr>
        <w:ind w:left="920" w:right="139"/>
        <w:spacing w:after="0" w:line="255" w:lineRule="auto"/>
        <w:rPr>
          <w:sz w:val="20"/>
          <w:szCs w:val="20"/>
          <w:color w:val="auto"/>
        </w:rPr>
      </w:pPr>
      <w:r>
        <w:rPr>
          <w:rFonts w:ascii="Arial" w:cs="Arial" w:eastAsia="Arial" w:hAnsi="Arial"/>
          <w:sz w:val="18"/>
          <w:szCs w:val="18"/>
          <w:color w:val="auto"/>
        </w:rPr>
        <w:t>A significant portion of our executive officers’ total direct compensation (which includes base salary, cash bonus and equity-based incentives) opportunity is attributable to variable compensation — that is, the amount our executives earn is dependent upon Company performance. The 2024 equity-based component of our NEOs’ total compensation consisted primarily of (i) restricted stock units, the vesting of which is subject to established performance metrics (“</w:t>
      </w:r>
      <w:r>
        <w:rPr>
          <w:rFonts w:ascii="Arial" w:cs="Arial" w:eastAsia="Arial" w:hAnsi="Arial"/>
          <w:sz w:val="18"/>
          <w:szCs w:val="18"/>
          <w:i w:val="1"/>
          <w:iCs w:val="1"/>
          <w:color w:val="auto"/>
        </w:rPr>
        <w:t>PSUs</w:t>
      </w:r>
      <w:r>
        <w:rPr>
          <w:rFonts w:ascii="Arial" w:cs="Arial" w:eastAsia="Arial" w:hAnsi="Arial"/>
          <w:sz w:val="18"/>
          <w:szCs w:val="18"/>
          <w:color w:val="auto"/>
        </w:rPr>
        <w:t>”), and (ii) restricted stock units that are subject to time-based vesting (“</w:t>
      </w:r>
      <w:r>
        <w:rPr>
          <w:rFonts w:ascii="Arial" w:cs="Arial" w:eastAsia="Arial" w:hAnsi="Arial"/>
          <w:sz w:val="18"/>
          <w:szCs w:val="18"/>
          <w:i w:val="1"/>
          <w:iCs w:val="1"/>
          <w:color w:val="auto"/>
        </w:rPr>
        <w:t>RSUs</w:t>
      </w:r>
      <w:r>
        <w:rPr>
          <w:rFonts w:ascii="Arial" w:cs="Arial" w:eastAsia="Arial" w:hAnsi="Arial"/>
          <w:sz w:val="18"/>
          <w:szCs w:val="18"/>
          <w:color w:val="auto"/>
        </w:rPr>
        <w:t>”), and in both cases the value of which is tied to the value of the Company’s common stock. These variable elements were intended to align the executives’ performance and interests with Company performance and long-term stockholder value.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table below generally summarizes the elements of our compensation program for our NEOs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111760</wp:posOffset>
            </wp:positionV>
            <wp:extent cx="5623560" cy="2743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623560" cy="27432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120" w:type="dxa"/>
            <w:vAlign w:val="bottom"/>
          </w:tcPr>
          <w:p>
            <w:pPr>
              <w:spacing w:after="0"/>
              <w:rPr>
                <w:sz w:val="20"/>
                <w:szCs w:val="20"/>
                <w:color w:val="auto"/>
              </w:rPr>
            </w:pPr>
            <w:r>
              <w:rPr>
                <w:rFonts w:ascii="Arial" w:cs="Arial" w:eastAsia="Arial" w:hAnsi="Arial"/>
                <w:sz w:val="15"/>
                <w:szCs w:val="15"/>
                <w:b w:val="1"/>
                <w:bCs w:val="1"/>
                <w:color w:val="FEFEFE"/>
              </w:rPr>
              <w:t>​</w:t>
            </w:r>
          </w:p>
        </w:tc>
        <w:tc>
          <w:tcPr>
            <w:tcW w:w="280" w:type="dxa"/>
            <w:vAlign w:val="bottom"/>
          </w:tcPr>
          <w:p>
            <w:pPr>
              <w:spacing w:after="0"/>
              <w:rPr>
                <w:sz w:val="20"/>
                <w:szCs w:val="20"/>
                <w:color w:val="auto"/>
              </w:rPr>
            </w:pPr>
            <w:r>
              <w:rPr>
                <w:rFonts w:ascii="Arial" w:cs="Arial" w:eastAsia="Arial" w:hAnsi="Arial"/>
                <w:sz w:val="15"/>
                <w:szCs w:val="15"/>
                <w:b w:val="1"/>
                <w:bCs w:val="1"/>
                <w:color w:val="FEFEFE"/>
              </w:rPr>
              <w:t>​</w:t>
            </w:r>
          </w:p>
        </w:tc>
      </w:tr>
      <w:tr>
        <w:trPr>
          <w:trHeight w:val="218"/>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280" w:type="dxa"/>
            <w:vAlign w:val="bottom"/>
            <w:textDirection w:val="btLr"/>
          </w:tcPr>
          <w:p>
            <w:pPr>
              <w:ind w:left="130"/>
              <w:spacing w:after="0"/>
              <w:rPr>
                <w:sz w:val="20"/>
                <w:szCs w:val="20"/>
                <w:color w:val="auto"/>
              </w:rPr>
            </w:pPr>
            <w:r>
              <w:rPr>
                <w:rFonts w:ascii="MS PGothic" w:cs="MS PGothic" w:eastAsia="MS PGothic" w:hAnsi="MS PGothic"/>
                <w:sz w:val="15"/>
                <w:szCs w:val="15"/>
                <w:color w:val="auto"/>
                <w:highlight w:val="white"/>
              </w:rPr>
              <w:t>▶</w:t>
            </w:r>
          </w:p>
        </w:tc>
      </w:tr>
      <w:tr>
        <w:trPr>
          <w:trHeight w:val="705"/>
        </w:trPr>
        <w:tc>
          <w:tcPr>
            <w:tcW w:w="120" w:type="dxa"/>
            <w:vAlign w:val="bottom"/>
          </w:tcPr>
          <w:p>
            <w:pPr>
              <w:spacing w:after="0"/>
              <w:rPr>
                <w:sz w:val="24"/>
                <w:szCs w:val="24"/>
                <w:color w:val="auto"/>
              </w:rPr>
            </w:pPr>
          </w:p>
        </w:tc>
        <w:tc>
          <w:tcPr>
            <w:tcW w:w="280" w:type="dxa"/>
            <w:vAlign w:val="bottom"/>
            <w:textDirection w:val="btLr"/>
          </w:tcPr>
          <w:p>
            <w:pPr>
              <w:ind w:left="108"/>
              <w:spacing w:after="0"/>
              <w:rPr>
                <w:sz w:val="20"/>
                <w:szCs w:val="20"/>
                <w:color w:val="auto"/>
              </w:rPr>
            </w:pPr>
            <w:r>
              <w:rPr>
                <w:rFonts w:ascii="MS PGothic" w:cs="MS PGothic" w:eastAsia="MS PGothic" w:hAnsi="MS PGothic"/>
                <w:sz w:val="15"/>
                <w:szCs w:val="15"/>
                <w:color w:val="000000"/>
                <w:highlight w:val="white"/>
              </w:rPr>
              <w:t>◀</w:t>
            </w:r>
            <w:r>
              <w:rPr>
                <w:rFonts w:ascii="Arial" w:cs="Arial" w:eastAsia="Arial" w:hAnsi="Arial"/>
                <w:sz w:val="15"/>
                <w:szCs w:val="15"/>
                <w:b w:val="1"/>
                <w:bCs w:val="1"/>
                <w:color w:val="FEFEFE"/>
              </w:rPr>
              <w:t xml:space="preserve"> FIXED</w:t>
            </w:r>
          </w:p>
        </w:tc>
      </w:tr>
      <w:tr>
        <w:trPr>
          <w:trHeight w:val="118"/>
        </w:trPr>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215"/>
        </w:trPr>
        <w:tc>
          <w:tcPr>
            <w:tcW w:w="120" w:type="dxa"/>
            <w:vAlign w:val="bottom"/>
            <w:shd w:val="clear" w:color="auto" w:fill="E7417A"/>
          </w:tcPr>
          <w:p>
            <w:pPr>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r>
      <w:tr>
        <w:trPr>
          <w:trHeight w:val="1303"/>
        </w:trPr>
        <w:tc>
          <w:tcPr>
            <w:tcW w:w="120" w:type="dxa"/>
            <w:vAlign w:val="bottom"/>
            <w:shd w:val="clear" w:color="auto" w:fill="E7417A"/>
          </w:tcPr>
          <w:p>
            <w:pPr>
              <w:spacing w:after="0"/>
              <w:rPr>
                <w:sz w:val="24"/>
                <w:szCs w:val="24"/>
                <w:color w:val="auto"/>
              </w:rPr>
            </w:pPr>
          </w:p>
        </w:tc>
        <w:tc>
          <w:tcPr>
            <w:tcW w:w="280" w:type="dxa"/>
            <w:vAlign w:val="bottom"/>
            <w:textDirection w:val="btLr"/>
          </w:tcPr>
          <w:p>
            <w:pPr>
              <w:ind w:left="108"/>
              <w:spacing w:after="0"/>
              <w:rPr>
                <w:sz w:val="20"/>
                <w:szCs w:val="20"/>
                <w:color w:val="auto"/>
              </w:rPr>
            </w:pPr>
            <w:r>
              <w:rPr>
                <w:rFonts w:ascii="MS PGothic" w:cs="MS PGothic" w:eastAsia="MS PGothic" w:hAnsi="MS PGothic"/>
                <w:sz w:val="15"/>
                <w:szCs w:val="15"/>
                <w:color w:val="000000"/>
                <w:highlight w:val="white"/>
                <w:w w:val="90"/>
              </w:rPr>
              <w:t>◀        ▶</w:t>
            </w:r>
            <w:r>
              <w:rPr>
                <w:rFonts w:ascii="Arial" w:cs="Arial" w:eastAsia="Arial" w:hAnsi="Arial"/>
                <w:sz w:val="15"/>
                <w:szCs w:val="15"/>
                <w:b w:val="1"/>
                <w:bCs w:val="1"/>
                <w:color w:val="FEFEFE"/>
                <w:w w:val="90"/>
              </w:rPr>
              <w:t>VARIABLE</w:t>
            </w:r>
          </w:p>
        </w:tc>
      </w:tr>
      <w:tr>
        <w:trPr>
          <w:trHeight w:val="359"/>
        </w:trPr>
        <w:tc>
          <w:tcPr>
            <w:tcW w:w="120" w:type="dxa"/>
            <w:vAlign w:val="bottom"/>
            <w:shd w:val="clear" w:color="auto" w:fill="E7417A"/>
          </w:tcPr>
          <w:p>
            <w:pPr>
              <w:spacing w:after="0"/>
              <w:rPr>
                <w:sz w:val="24"/>
                <w:szCs w:val="24"/>
                <w:color w:val="auto"/>
              </w:rPr>
            </w:pPr>
          </w:p>
        </w:tc>
        <w:tc>
          <w:tcPr>
            <w:tcW w:w="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-1842770</wp:posOffset>
            </wp:positionV>
            <wp:extent cx="428625" cy="65151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28625" cy="651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640" w:type="dxa"/>
            <w:vAlign w:val="bottom"/>
          </w:tcPr>
          <w:p>
            <w:pPr>
              <w:ind w:left="260"/>
              <w:spacing w:after="0"/>
              <w:rPr>
                <w:sz w:val="20"/>
                <w:szCs w:val="20"/>
                <w:color w:val="auto"/>
              </w:rPr>
            </w:pPr>
            <w:r>
              <w:rPr>
                <w:rFonts w:ascii="Arial" w:cs="Arial" w:eastAsia="Arial" w:hAnsi="Arial"/>
                <w:sz w:val="15"/>
                <w:szCs w:val="15"/>
                <w:b w:val="1"/>
                <w:bCs w:val="1"/>
                <w:color w:val="FEFEFE"/>
              </w:rPr>
              <w:t>Link to Company</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280" w:type="dxa"/>
            <w:vAlign w:val="bottom"/>
            <w:gridSpan w:val="2"/>
          </w:tcPr>
          <w:p>
            <w:pPr>
              <w:spacing w:after="0" w:line="221" w:lineRule="exact"/>
              <w:rPr>
                <w:sz w:val="20"/>
                <w:szCs w:val="20"/>
                <w:color w:val="auto"/>
              </w:rPr>
            </w:pPr>
            <w:r>
              <w:rPr>
                <w:rFonts w:ascii="Arial" w:cs="Arial" w:eastAsia="Arial" w:hAnsi="Arial"/>
                <w:sz w:val="25"/>
                <w:szCs w:val="25"/>
                <w:b w:val="1"/>
                <w:bCs w:val="1"/>
                <w:color w:val="FEFEFE"/>
                <w:vertAlign w:val="subscript"/>
              </w:rPr>
              <w:t>​ ​</w:t>
            </w:r>
            <w:r>
              <w:rPr>
                <w:rFonts w:ascii="Arial" w:cs="Arial" w:eastAsia="Arial" w:hAnsi="Arial"/>
                <w:sz w:val="13"/>
                <w:szCs w:val="13"/>
                <w:b w:val="1"/>
                <w:bCs w:val="1"/>
                <w:color w:val="FEFEFE"/>
              </w:rPr>
              <w:t xml:space="preserve"> Element</w:t>
            </w:r>
          </w:p>
        </w:tc>
        <w:tc>
          <w:tcPr>
            <w:tcW w:w="2240" w:type="dxa"/>
            <w:vAlign w:val="bottom"/>
          </w:tcPr>
          <w:p>
            <w:pPr>
              <w:ind w:left="100"/>
              <w:spacing w:after="0" w:line="221" w:lineRule="exact"/>
              <w:rPr>
                <w:sz w:val="20"/>
                <w:szCs w:val="20"/>
                <w:color w:val="auto"/>
              </w:rPr>
            </w:pPr>
            <w:r>
              <w:rPr>
                <w:rFonts w:ascii="Arial" w:cs="Arial" w:eastAsia="Arial" w:hAnsi="Arial"/>
                <w:sz w:val="25"/>
                <w:szCs w:val="25"/>
                <w:b w:val="1"/>
                <w:bCs w:val="1"/>
                <w:color w:val="FEFEFE"/>
                <w:vertAlign w:val="subscript"/>
              </w:rPr>
              <w:t>​ ​</w:t>
            </w:r>
            <w:r>
              <w:rPr>
                <w:rFonts w:ascii="Arial" w:cs="Arial" w:eastAsia="Arial" w:hAnsi="Arial"/>
                <w:sz w:val="13"/>
                <w:szCs w:val="13"/>
                <w:b w:val="1"/>
                <w:bCs w:val="1"/>
                <w:color w:val="FEFEFE"/>
              </w:rPr>
              <w:t xml:space="preserve"> Form of Compensation</w:t>
            </w:r>
          </w:p>
        </w:tc>
        <w:tc>
          <w:tcPr>
            <w:tcW w:w="2980" w:type="dxa"/>
            <w:vAlign w:val="bottom"/>
          </w:tcPr>
          <w:p>
            <w:pPr>
              <w:ind w:left="120"/>
              <w:spacing w:after="0" w:line="221" w:lineRule="exact"/>
              <w:rPr>
                <w:sz w:val="20"/>
                <w:szCs w:val="20"/>
                <w:color w:val="auto"/>
              </w:rPr>
            </w:pPr>
            <w:r>
              <w:rPr>
                <w:rFonts w:ascii="Arial" w:cs="Arial" w:eastAsia="Arial" w:hAnsi="Arial"/>
                <w:sz w:val="25"/>
                <w:szCs w:val="25"/>
                <w:b w:val="1"/>
                <w:bCs w:val="1"/>
                <w:color w:val="FEFEFE"/>
                <w:vertAlign w:val="subscript"/>
              </w:rPr>
              <w:t>​ ​</w:t>
            </w:r>
            <w:r>
              <w:rPr>
                <w:rFonts w:ascii="Arial" w:cs="Arial" w:eastAsia="Arial" w:hAnsi="Arial"/>
                <w:sz w:val="13"/>
                <w:szCs w:val="13"/>
                <w:b w:val="1"/>
                <w:bCs w:val="1"/>
                <w:color w:val="FEFEFE"/>
              </w:rPr>
              <w:t xml:space="preserve"> Purpose</w:t>
            </w:r>
          </w:p>
        </w:tc>
        <w:tc>
          <w:tcPr>
            <w:tcW w:w="1640" w:type="dxa"/>
            <w:vAlign w:val="bottom"/>
          </w:tcPr>
          <w:p>
            <w:pPr>
              <w:ind w:left="40"/>
              <w:spacing w:after="0" w:line="221" w:lineRule="exact"/>
              <w:rPr>
                <w:sz w:val="20"/>
                <w:szCs w:val="20"/>
                <w:color w:val="auto"/>
              </w:rPr>
            </w:pPr>
            <w:r>
              <w:rPr>
                <w:rFonts w:ascii="Arial" w:cs="Arial" w:eastAsia="Arial" w:hAnsi="Arial"/>
                <w:sz w:val="25"/>
                <w:szCs w:val="25"/>
                <w:b w:val="1"/>
                <w:bCs w:val="1"/>
                <w:color w:val="FEFEFE"/>
                <w:vertAlign w:val="subscript"/>
              </w:rPr>
              <w:t>​ ​</w:t>
            </w:r>
            <w:r>
              <w:rPr>
                <w:rFonts w:ascii="Arial" w:cs="Arial" w:eastAsia="Arial" w:hAnsi="Arial"/>
                <w:sz w:val="13"/>
                <w:szCs w:val="13"/>
                <w:b w:val="1"/>
                <w:bCs w:val="1"/>
                <w:color w:val="FEFEFE"/>
              </w:rPr>
              <w:t xml:space="preserve"> Performance</w:t>
            </w:r>
          </w:p>
        </w:tc>
        <w:tc>
          <w:tcPr>
            <w:tcW w:w="140" w:type="dxa"/>
            <w:vAlign w:val="bottom"/>
          </w:tcPr>
          <w:p>
            <w:pPr>
              <w:ind w:left="40"/>
              <w:spacing w:after="0"/>
              <w:rPr>
                <w:sz w:val="20"/>
                <w:szCs w:val="20"/>
                <w:color w:val="auto"/>
              </w:rPr>
            </w:pPr>
            <w:r>
              <w:rPr>
                <w:rFonts w:ascii="Arial" w:cs="Arial" w:eastAsia="Arial" w:hAnsi="Arial"/>
                <w:sz w:val="15"/>
                <w:szCs w:val="15"/>
                <w:b w:val="1"/>
                <w:bCs w:val="1"/>
                <w:color w:val="FEFEFE"/>
              </w:rPr>
              <w:t>​</w:t>
            </w:r>
          </w:p>
        </w:tc>
        <w:tc>
          <w:tcPr>
            <w:tcW w:w="0" w:type="dxa"/>
            <w:vAlign w:val="bottom"/>
          </w:tcPr>
          <w:p>
            <w:pPr>
              <w:spacing w:after="0"/>
              <w:rPr>
                <w:sz w:val="1"/>
                <w:szCs w:val="1"/>
                <w:color w:val="auto"/>
              </w:rPr>
            </w:pPr>
          </w:p>
        </w:tc>
      </w:tr>
      <w:tr>
        <w:trPr>
          <w:trHeight w:val="243"/>
        </w:trPr>
        <w:tc>
          <w:tcPr>
            <w:tcW w:w="1280" w:type="dxa"/>
            <w:vAlign w:val="bottom"/>
            <w:gridSpan w:val="2"/>
          </w:tcPr>
          <w:p>
            <w:pPr>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b w:val="1"/>
                <w:bCs w:val="1"/>
                <w:color w:val="auto"/>
              </w:rPr>
              <w:t xml:space="preserve"> BASE</w:t>
            </w:r>
          </w:p>
        </w:tc>
        <w:tc>
          <w:tcPr>
            <w:tcW w:w="2240" w:type="dxa"/>
            <w:vAlign w:val="bottom"/>
          </w:tcPr>
          <w:p>
            <w:pPr>
              <w:ind w:left="100"/>
              <w:spacing w:after="0" w:line="243"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5"/>
                <w:szCs w:val="15"/>
                <w:color w:val="62259D"/>
              </w:rPr>
              <w:t xml:space="preserve"> ■ </w:t>
            </w:r>
            <w:r>
              <w:rPr>
                <w:rFonts w:ascii="Arial" w:cs="Arial" w:eastAsia="Arial" w:hAnsi="Arial"/>
                <w:sz w:val="15"/>
                <w:szCs w:val="15"/>
                <w:color w:val="000000"/>
              </w:rPr>
              <w:t>Cash</w:t>
            </w:r>
          </w:p>
        </w:tc>
        <w:tc>
          <w:tcPr>
            <w:tcW w:w="2980" w:type="dxa"/>
            <w:vAlign w:val="bottom"/>
          </w:tcPr>
          <w:p>
            <w:pPr>
              <w:ind w:left="120"/>
              <w:spacing w:after="0" w:line="243"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5"/>
                <w:szCs w:val="15"/>
                <w:color w:val="62259D"/>
              </w:rPr>
              <w:t xml:space="preserve"> ■ </w:t>
            </w:r>
            <w:r>
              <w:rPr>
                <w:rFonts w:ascii="Arial" w:cs="Arial" w:eastAsia="Arial" w:hAnsi="Arial"/>
                <w:sz w:val="15"/>
                <w:szCs w:val="15"/>
                <w:color w:val="000000"/>
              </w:rPr>
              <w:t>Provide competitive, fixed</w:t>
            </w:r>
          </w:p>
        </w:tc>
        <w:tc>
          <w:tcPr>
            <w:tcW w:w="1640" w:type="dxa"/>
            <w:vAlign w:val="bottom"/>
          </w:tcPr>
          <w:p>
            <w:pPr>
              <w:ind w:left="40"/>
              <w:spacing w:after="0" w:line="243"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5"/>
                <w:szCs w:val="15"/>
                <w:color w:val="62259D"/>
              </w:rPr>
              <w:t xml:space="preserve"> ■ </w:t>
            </w:r>
            <w:r>
              <w:rPr>
                <w:rFonts w:ascii="Arial" w:cs="Arial" w:eastAsia="Arial" w:hAnsi="Arial"/>
                <w:sz w:val="15"/>
                <w:szCs w:val="15"/>
                <w:color w:val="000000"/>
              </w:rPr>
              <w:t>Low</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180" w:type="dxa"/>
            <w:vAlign w:val="bottom"/>
          </w:tcPr>
          <w:p>
            <w:pPr>
              <w:ind w:left="100"/>
              <w:spacing w:after="0"/>
              <w:rPr>
                <w:sz w:val="20"/>
                <w:szCs w:val="20"/>
                <w:color w:val="auto"/>
              </w:rPr>
            </w:pPr>
            <w:r>
              <w:rPr>
                <w:rFonts w:ascii="Arial" w:cs="Arial" w:eastAsia="Arial" w:hAnsi="Arial"/>
                <w:sz w:val="15"/>
                <w:szCs w:val="15"/>
                <w:b w:val="1"/>
                <w:bCs w:val="1"/>
                <w:color w:val="auto"/>
              </w:rPr>
              <w:t>SALARIES</w:t>
            </w:r>
          </w:p>
        </w:tc>
        <w:tc>
          <w:tcPr>
            <w:tcW w:w="2240" w:type="dxa"/>
            <w:vAlign w:val="bottom"/>
          </w:tcPr>
          <w:p>
            <w:pPr>
              <w:spacing w:after="0"/>
              <w:rPr>
                <w:sz w:val="16"/>
                <w:szCs w:val="16"/>
                <w:color w:val="auto"/>
              </w:rPr>
            </w:pPr>
          </w:p>
        </w:tc>
        <w:tc>
          <w:tcPr>
            <w:tcW w:w="2980" w:type="dxa"/>
            <w:vAlign w:val="bottom"/>
          </w:tcPr>
          <w:p>
            <w:pPr>
              <w:ind w:left="500"/>
              <w:spacing w:after="0"/>
              <w:rPr>
                <w:sz w:val="20"/>
                <w:szCs w:val="20"/>
                <w:color w:val="auto"/>
              </w:rPr>
            </w:pPr>
            <w:r>
              <w:rPr>
                <w:rFonts w:ascii="Arial" w:cs="Arial" w:eastAsia="Arial" w:hAnsi="Arial"/>
                <w:sz w:val="16"/>
                <w:szCs w:val="16"/>
                <w:color w:val="auto"/>
              </w:rPr>
              <w:t>compensation to attract and</w:t>
            </w: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980" w:type="dxa"/>
            <w:vAlign w:val="bottom"/>
          </w:tcPr>
          <w:p>
            <w:pPr>
              <w:ind w:left="500"/>
              <w:spacing w:after="0"/>
              <w:rPr>
                <w:sz w:val="20"/>
                <w:szCs w:val="20"/>
                <w:color w:val="auto"/>
              </w:rPr>
            </w:pPr>
            <w:r>
              <w:rPr>
                <w:rFonts w:ascii="Arial" w:cs="Arial" w:eastAsia="Arial" w:hAnsi="Arial"/>
                <w:sz w:val="16"/>
                <w:szCs w:val="16"/>
                <w:color w:val="auto"/>
              </w:rPr>
              <w:t>retain exceptional executive</w:t>
            </w: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980" w:type="dxa"/>
            <w:vAlign w:val="bottom"/>
          </w:tcPr>
          <w:p>
            <w:pPr>
              <w:ind w:left="500"/>
              <w:spacing w:after="0"/>
              <w:rPr>
                <w:sz w:val="20"/>
                <w:szCs w:val="20"/>
                <w:color w:val="auto"/>
              </w:rPr>
            </w:pPr>
            <w:r>
              <w:rPr>
                <w:rFonts w:ascii="Arial" w:cs="Arial" w:eastAsia="Arial" w:hAnsi="Arial"/>
                <w:sz w:val="16"/>
                <w:szCs w:val="16"/>
                <w:color w:val="auto"/>
              </w:rPr>
              <w:t>talent</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7"/>
        </w:trPr>
        <w:tc>
          <w:tcPr>
            <w:tcW w:w="1280" w:type="dxa"/>
            <w:vAlign w:val="bottom"/>
            <w:gridSpan w:val="2"/>
          </w:tcPr>
          <w:p>
            <w:pPr>
              <w:spacing w:after="0"/>
              <w:rPr>
                <w:sz w:val="20"/>
                <w:szCs w:val="20"/>
                <w:color w:val="auto"/>
              </w:rPr>
            </w:pPr>
            <w:r>
              <w:rPr>
                <w:rFonts w:ascii="Arial" w:cs="Arial" w:eastAsia="Arial" w:hAnsi="Arial"/>
                <w:sz w:val="32"/>
                <w:szCs w:val="32"/>
                <w:color w:val="auto"/>
                <w:vertAlign w:val="superscript"/>
              </w:rPr>
              <w:t>​ ​</w:t>
            </w:r>
            <w:r>
              <w:rPr>
                <w:rFonts w:ascii="Arial" w:cs="Arial" w:eastAsia="Arial" w:hAnsi="Arial"/>
                <w:sz w:val="15"/>
                <w:szCs w:val="15"/>
                <w:b w:val="1"/>
                <w:bCs w:val="1"/>
                <w:color w:val="auto"/>
              </w:rPr>
              <w:t xml:space="preserve"> ANNUAL</w:t>
            </w:r>
          </w:p>
        </w:tc>
        <w:tc>
          <w:tcPr>
            <w:tcW w:w="2240" w:type="dxa"/>
            <w:vAlign w:val="bottom"/>
          </w:tcPr>
          <w:p>
            <w:pPr>
              <w:ind w:left="100"/>
              <w:spacing w:after="0"/>
              <w:rPr>
                <w:sz w:val="20"/>
                <w:szCs w:val="20"/>
                <w:color w:val="auto"/>
              </w:rPr>
            </w:pPr>
            <w:r>
              <w:rPr>
                <w:rFonts w:ascii="Arial" w:cs="Arial" w:eastAsia="Arial" w:hAnsi="Arial"/>
                <w:sz w:val="32"/>
                <w:szCs w:val="32"/>
                <w:color w:val="000000"/>
                <w:vertAlign w:val="superscript"/>
              </w:rPr>
              <w:t>​ ​</w:t>
            </w:r>
            <w:r>
              <w:rPr>
                <w:rFonts w:ascii="Arial" w:cs="Arial" w:eastAsia="Arial" w:hAnsi="Arial"/>
                <w:sz w:val="16"/>
                <w:szCs w:val="16"/>
                <w:color w:val="62259D"/>
              </w:rPr>
              <w:t xml:space="preserve"> ■ </w:t>
            </w:r>
            <w:r>
              <w:rPr>
                <w:rFonts w:ascii="Arial" w:cs="Arial" w:eastAsia="Arial" w:hAnsi="Arial"/>
                <w:sz w:val="16"/>
                <w:szCs w:val="16"/>
                <w:color w:val="000000"/>
              </w:rPr>
              <w:t>Cash</w:t>
            </w:r>
          </w:p>
        </w:tc>
        <w:tc>
          <w:tcPr>
            <w:tcW w:w="2980" w:type="dxa"/>
            <w:vAlign w:val="bottom"/>
          </w:tcPr>
          <w:p>
            <w:pPr>
              <w:ind w:left="120"/>
              <w:spacing w:after="0"/>
              <w:rPr>
                <w:sz w:val="20"/>
                <w:szCs w:val="20"/>
                <w:color w:val="auto"/>
              </w:rPr>
            </w:pPr>
            <w:r>
              <w:rPr>
                <w:rFonts w:ascii="Arial" w:cs="Arial" w:eastAsia="Arial" w:hAnsi="Arial"/>
                <w:sz w:val="32"/>
                <w:szCs w:val="32"/>
                <w:color w:val="000000"/>
                <w:vertAlign w:val="superscript"/>
              </w:rPr>
              <w:t>​ ​</w:t>
            </w:r>
            <w:r>
              <w:rPr>
                <w:rFonts w:ascii="Arial" w:cs="Arial" w:eastAsia="Arial" w:hAnsi="Arial"/>
                <w:sz w:val="16"/>
                <w:szCs w:val="16"/>
                <w:color w:val="62259D"/>
              </w:rPr>
              <w:t xml:space="preserve"> ■ </w:t>
            </w:r>
            <w:r>
              <w:rPr>
                <w:rFonts w:ascii="Arial" w:cs="Arial" w:eastAsia="Arial" w:hAnsi="Arial"/>
                <w:sz w:val="16"/>
                <w:szCs w:val="16"/>
                <w:color w:val="000000"/>
              </w:rPr>
              <w:t>Provide a direct incentive to</w:t>
            </w:r>
          </w:p>
        </w:tc>
        <w:tc>
          <w:tcPr>
            <w:tcW w:w="1640" w:type="dxa"/>
            <w:vAlign w:val="bottom"/>
          </w:tcPr>
          <w:p>
            <w:pPr>
              <w:ind w:left="40"/>
              <w:spacing w:after="0"/>
              <w:rPr>
                <w:sz w:val="20"/>
                <w:szCs w:val="20"/>
                <w:color w:val="auto"/>
              </w:rPr>
            </w:pPr>
            <w:r>
              <w:rPr>
                <w:rFonts w:ascii="Arial" w:cs="Arial" w:eastAsia="Arial" w:hAnsi="Arial"/>
                <w:sz w:val="32"/>
                <w:szCs w:val="32"/>
                <w:color w:val="000000"/>
                <w:vertAlign w:val="superscript"/>
              </w:rPr>
              <w:t>​ ​</w:t>
            </w:r>
            <w:r>
              <w:rPr>
                <w:rFonts w:ascii="Arial" w:cs="Arial" w:eastAsia="Arial" w:hAnsi="Arial"/>
                <w:sz w:val="16"/>
                <w:szCs w:val="16"/>
                <w:color w:val="62259D"/>
              </w:rPr>
              <w:t xml:space="preserve"> ■ </w:t>
            </w:r>
            <w:r>
              <w:rPr>
                <w:rFonts w:ascii="Arial" w:cs="Arial" w:eastAsia="Arial" w:hAnsi="Arial"/>
                <w:sz w:val="16"/>
                <w:szCs w:val="16"/>
                <w:color w:val="000000"/>
              </w:rPr>
              <w:t>High</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180" w:type="dxa"/>
            <w:vAlign w:val="bottom"/>
          </w:tcPr>
          <w:p>
            <w:pPr>
              <w:ind w:left="100"/>
              <w:spacing w:after="0"/>
              <w:rPr>
                <w:sz w:val="20"/>
                <w:szCs w:val="20"/>
                <w:color w:val="auto"/>
              </w:rPr>
            </w:pPr>
            <w:r>
              <w:rPr>
                <w:rFonts w:ascii="Arial" w:cs="Arial" w:eastAsia="Arial" w:hAnsi="Arial"/>
                <w:sz w:val="15"/>
                <w:szCs w:val="15"/>
                <w:b w:val="1"/>
                <w:bCs w:val="1"/>
                <w:color w:val="auto"/>
              </w:rPr>
              <w:t>BONUS</w:t>
            </w:r>
          </w:p>
        </w:tc>
        <w:tc>
          <w:tcPr>
            <w:tcW w:w="2240" w:type="dxa"/>
            <w:vAlign w:val="bottom"/>
          </w:tcPr>
          <w:p>
            <w:pPr>
              <w:spacing w:after="0"/>
              <w:rPr>
                <w:sz w:val="16"/>
                <w:szCs w:val="16"/>
                <w:color w:val="auto"/>
              </w:rPr>
            </w:pPr>
          </w:p>
        </w:tc>
        <w:tc>
          <w:tcPr>
            <w:tcW w:w="2980" w:type="dxa"/>
            <w:vAlign w:val="bottom"/>
          </w:tcPr>
          <w:p>
            <w:pPr>
              <w:ind w:left="500"/>
              <w:spacing w:after="0"/>
              <w:rPr>
                <w:sz w:val="20"/>
                <w:szCs w:val="20"/>
                <w:color w:val="auto"/>
              </w:rPr>
            </w:pPr>
            <w:r>
              <w:rPr>
                <w:rFonts w:ascii="Arial" w:cs="Arial" w:eastAsia="Arial" w:hAnsi="Arial"/>
                <w:sz w:val="16"/>
                <w:szCs w:val="16"/>
                <w:color w:val="auto"/>
              </w:rPr>
              <w:t>achieve strong annual operating</w:t>
            </w: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1180" w:type="dxa"/>
            <w:vAlign w:val="bottom"/>
            <w:tcBorders>
              <w:bottom w:val="single" w:sz="8" w:color="E7417A"/>
            </w:tcBorders>
          </w:tcPr>
          <w:p>
            <w:pPr>
              <w:ind w:left="100"/>
              <w:spacing w:after="0"/>
              <w:rPr>
                <w:sz w:val="20"/>
                <w:szCs w:val="20"/>
                <w:color w:val="auto"/>
              </w:rPr>
            </w:pPr>
            <w:r>
              <w:rPr>
                <w:rFonts w:ascii="Arial" w:cs="Arial" w:eastAsia="Arial" w:hAnsi="Arial"/>
                <w:sz w:val="15"/>
                <w:szCs w:val="15"/>
                <w:b w:val="1"/>
                <w:bCs w:val="1"/>
                <w:color w:val="auto"/>
              </w:rPr>
              <w:t>INCENTIVES</w:t>
            </w:r>
          </w:p>
        </w:tc>
        <w:tc>
          <w:tcPr>
            <w:tcW w:w="2240" w:type="dxa"/>
            <w:vAlign w:val="bottom"/>
            <w:tcBorders>
              <w:bottom w:val="single" w:sz="8" w:color="E7417A"/>
            </w:tcBorders>
          </w:tcPr>
          <w:p>
            <w:pPr>
              <w:spacing w:after="0"/>
              <w:rPr>
                <w:sz w:val="19"/>
                <w:szCs w:val="19"/>
                <w:color w:val="auto"/>
              </w:rPr>
            </w:pPr>
          </w:p>
        </w:tc>
        <w:tc>
          <w:tcPr>
            <w:tcW w:w="2980" w:type="dxa"/>
            <w:vAlign w:val="bottom"/>
            <w:tcBorders>
              <w:bottom w:val="single" w:sz="8" w:color="E7417A"/>
            </w:tcBorders>
          </w:tcPr>
          <w:p>
            <w:pPr>
              <w:ind w:left="500"/>
              <w:spacing w:after="0"/>
              <w:rPr>
                <w:sz w:val="20"/>
                <w:szCs w:val="20"/>
                <w:color w:val="auto"/>
              </w:rPr>
            </w:pPr>
            <w:r>
              <w:rPr>
                <w:rFonts w:ascii="Arial" w:cs="Arial" w:eastAsia="Arial" w:hAnsi="Arial"/>
                <w:sz w:val="16"/>
                <w:szCs w:val="16"/>
                <w:color w:val="auto"/>
              </w:rPr>
              <w:t>results</w:t>
            </w:r>
          </w:p>
        </w:tc>
        <w:tc>
          <w:tcPr>
            <w:tcW w:w="1640" w:type="dxa"/>
            <w:vAlign w:val="bottom"/>
            <w:tcBorders>
              <w:bottom w:val="single" w:sz="8" w:color="E7417A"/>
            </w:tcBorders>
          </w:tcPr>
          <w:p>
            <w:pPr>
              <w:spacing w:after="0"/>
              <w:rPr>
                <w:sz w:val="19"/>
                <w:szCs w:val="19"/>
                <w:color w:val="auto"/>
              </w:rPr>
            </w:pPr>
          </w:p>
        </w:tc>
        <w:tc>
          <w:tcPr>
            <w:tcW w:w="140" w:type="dxa"/>
            <w:vAlign w:val="bottom"/>
            <w:tcBorders>
              <w:bottom w:val="single" w:sz="8" w:color="E7417A"/>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1180" w:type="dxa"/>
            <w:vAlign w:val="bottom"/>
          </w:tcPr>
          <w:p>
            <w:pPr>
              <w:spacing w:after="0" w:line="228"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3"/>
                <w:szCs w:val="13"/>
                <w:b w:val="1"/>
                <w:bCs w:val="1"/>
                <w:color w:val="auto"/>
              </w:rPr>
              <w:t xml:space="preserve"> LONG-TERM</w:t>
            </w:r>
          </w:p>
        </w:tc>
        <w:tc>
          <w:tcPr>
            <w:tcW w:w="2240" w:type="dxa"/>
            <w:vAlign w:val="bottom"/>
          </w:tcPr>
          <w:p>
            <w:pPr>
              <w:ind w:left="100"/>
              <w:spacing w:after="0" w:line="228" w:lineRule="exact"/>
              <w:rPr>
                <w:sz w:val="20"/>
                <w:szCs w:val="20"/>
                <w:color w:val="auto"/>
              </w:rPr>
            </w:pPr>
            <w:r>
              <w:rPr>
                <w:rFonts w:ascii="Arial" w:cs="Arial" w:eastAsia="Arial" w:hAnsi="Arial"/>
                <w:sz w:val="26"/>
                <w:szCs w:val="26"/>
                <w:color w:val="000000"/>
                <w:vertAlign w:val="superscript"/>
              </w:rPr>
              <w:t>​ ​</w:t>
            </w:r>
            <w:r>
              <w:rPr>
                <w:rFonts w:ascii="Arial" w:cs="Arial" w:eastAsia="Arial" w:hAnsi="Arial"/>
                <w:sz w:val="14"/>
                <w:szCs w:val="14"/>
                <w:color w:val="62259D"/>
              </w:rPr>
              <w:t xml:space="preserve"> ■ </w:t>
            </w:r>
            <w:r>
              <w:rPr>
                <w:rFonts w:ascii="Arial" w:cs="Arial" w:eastAsia="Arial" w:hAnsi="Arial"/>
                <w:sz w:val="14"/>
                <w:szCs w:val="14"/>
                <w:color w:val="000000"/>
              </w:rPr>
              <w:t>PSUs</w:t>
            </w:r>
          </w:p>
        </w:tc>
        <w:tc>
          <w:tcPr>
            <w:tcW w:w="2980" w:type="dxa"/>
            <w:vAlign w:val="bottom"/>
          </w:tcPr>
          <w:p>
            <w:pPr>
              <w:ind w:left="120"/>
              <w:spacing w:after="0" w:line="228" w:lineRule="exact"/>
              <w:rPr>
                <w:sz w:val="20"/>
                <w:szCs w:val="20"/>
                <w:color w:val="auto"/>
              </w:rPr>
            </w:pPr>
            <w:r>
              <w:rPr>
                <w:rFonts w:ascii="Arial" w:cs="Arial" w:eastAsia="Arial" w:hAnsi="Arial"/>
                <w:sz w:val="26"/>
                <w:szCs w:val="26"/>
                <w:color w:val="000000"/>
                <w:vertAlign w:val="superscript"/>
              </w:rPr>
              <w:t>​ ​</w:t>
            </w:r>
            <w:r>
              <w:rPr>
                <w:rFonts w:ascii="Arial" w:cs="Arial" w:eastAsia="Arial" w:hAnsi="Arial"/>
                <w:sz w:val="14"/>
                <w:szCs w:val="14"/>
                <w:color w:val="62259D"/>
              </w:rPr>
              <w:t xml:space="preserve"> ■ </w:t>
            </w:r>
            <w:r>
              <w:rPr>
                <w:rFonts w:ascii="Arial" w:cs="Arial" w:eastAsia="Arial" w:hAnsi="Arial"/>
                <w:sz w:val="14"/>
                <w:szCs w:val="14"/>
                <w:color w:val="000000"/>
              </w:rPr>
              <w:t>Encourage executive officers to</w:t>
            </w:r>
          </w:p>
        </w:tc>
        <w:tc>
          <w:tcPr>
            <w:tcW w:w="1640" w:type="dxa"/>
            <w:vAlign w:val="bottom"/>
          </w:tcPr>
          <w:p>
            <w:pPr>
              <w:ind w:left="40"/>
              <w:spacing w:after="0" w:line="228" w:lineRule="exact"/>
              <w:rPr>
                <w:sz w:val="20"/>
                <w:szCs w:val="20"/>
                <w:color w:val="auto"/>
              </w:rPr>
            </w:pPr>
            <w:r>
              <w:rPr>
                <w:rFonts w:ascii="Arial" w:cs="Arial" w:eastAsia="Arial" w:hAnsi="Arial"/>
                <w:sz w:val="26"/>
                <w:szCs w:val="26"/>
                <w:color w:val="000000"/>
                <w:vertAlign w:val="superscript"/>
              </w:rPr>
              <w:t>​ ​</w:t>
            </w:r>
            <w:r>
              <w:rPr>
                <w:rFonts w:ascii="Arial" w:cs="Arial" w:eastAsia="Arial" w:hAnsi="Arial"/>
                <w:sz w:val="14"/>
                <w:szCs w:val="14"/>
                <w:color w:val="62259D"/>
              </w:rPr>
              <w:t xml:space="preserve"> ■ </w:t>
            </w:r>
            <w:r>
              <w:rPr>
                <w:rFonts w:ascii="Arial" w:cs="Arial" w:eastAsia="Arial" w:hAnsi="Arial"/>
                <w:sz w:val="14"/>
                <w:szCs w:val="14"/>
                <w:color w:val="000000"/>
              </w:rPr>
              <w:t>High</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180" w:type="dxa"/>
            <w:vAlign w:val="bottom"/>
          </w:tcPr>
          <w:p>
            <w:pPr>
              <w:ind w:left="100"/>
              <w:spacing w:after="0"/>
              <w:rPr>
                <w:sz w:val="20"/>
                <w:szCs w:val="20"/>
                <w:color w:val="auto"/>
              </w:rPr>
            </w:pPr>
            <w:r>
              <w:rPr>
                <w:rFonts w:ascii="Arial" w:cs="Arial" w:eastAsia="Arial" w:hAnsi="Arial"/>
                <w:sz w:val="15"/>
                <w:szCs w:val="15"/>
                <w:b w:val="1"/>
                <w:bCs w:val="1"/>
                <w:color w:val="auto"/>
              </w:rPr>
              <w:t>EQUITY</w:t>
            </w:r>
          </w:p>
        </w:tc>
        <w:tc>
          <w:tcPr>
            <w:tcW w:w="2240" w:type="dxa"/>
            <w:vAlign w:val="bottom"/>
            <w:vMerge w:val="restart"/>
          </w:tcPr>
          <w:p>
            <w:pPr>
              <w:ind w:left="32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RSUs</w:t>
            </w:r>
          </w:p>
        </w:tc>
        <w:tc>
          <w:tcPr>
            <w:tcW w:w="2980" w:type="dxa"/>
            <w:vAlign w:val="bottom"/>
          </w:tcPr>
          <w:p>
            <w:pPr>
              <w:ind w:left="500"/>
              <w:spacing w:after="0"/>
              <w:rPr>
                <w:sz w:val="20"/>
                <w:szCs w:val="20"/>
                <w:color w:val="auto"/>
              </w:rPr>
            </w:pPr>
            <w:r>
              <w:rPr>
                <w:rFonts w:ascii="Arial" w:cs="Arial" w:eastAsia="Arial" w:hAnsi="Arial"/>
                <w:sz w:val="16"/>
                <w:szCs w:val="16"/>
                <w:color w:val="auto"/>
              </w:rPr>
              <w:t>build and maintain a long-term</w:t>
            </w: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00" w:type="dxa"/>
            <w:vAlign w:val="bottom"/>
          </w:tcPr>
          <w:p>
            <w:pPr>
              <w:spacing w:after="0"/>
              <w:rPr>
                <w:sz w:val="8"/>
                <w:szCs w:val="8"/>
                <w:color w:val="auto"/>
              </w:rPr>
            </w:pPr>
          </w:p>
        </w:tc>
        <w:tc>
          <w:tcPr>
            <w:tcW w:w="118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INCENTIVES</w:t>
            </w:r>
          </w:p>
        </w:tc>
        <w:tc>
          <w:tcPr>
            <w:tcW w:w="2240" w:type="dxa"/>
            <w:vAlign w:val="bottom"/>
            <w:vMerge w:val="continue"/>
          </w:tcPr>
          <w:p>
            <w:pPr>
              <w:spacing w:after="0"/>
              <w:rPr>
                <w:sz w:val="8"/>
                <w:szCs w:val="8"/>
                <w:color w:val="auto"/>
              </w:rPr>
            </w:pPr>
          </w:p>
        </w:tc>
        <w:tc>
          <w:tcPr>
            <w:tcW w:w="2980" w:type="dxa"/>
            <w:vAlign w:val="bottom"/>
            <w:vMerge w:val="restart"/>
          </w:tcPr>
          <w:p>
            <w:pPr>
              <w:ind w:left="500"/>
              <w:spacing w:after="0"/>
              <w:rPr>
                <w:sz w:val="20"/>
                <w:szCs w:val="20"/>
                <w:color w:val="auto"/>
              </w:rPr>
            </w:pPr>
            <w:r>
              <w:rPr>
                <w:rFonts w:ascii="Arial" w:cs="Arial" w:eastAsia="Arial" w:hAnsi="Arial"/>
                <w:sz w:val="16"/>
                <w:szCs w:val="16"/>
                <w:color w:val="auto"/>
              </w:rPr>
              <w:t>equity ownership position in</w:t>
            </w:r>
          </w:p>
        </w:tc>
        <w:tc>
          <w:tcPr>
            <w:tcW w:w="1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2240" w:type="dxa"/>
            <w:vAlign w:val="bottom"/>
          </w:tcPr>
          <w:p>
            <w:pPr>
              <w:spacing w:after="0"/>
              <w:rPr>
                <w:sz w:val="8"/>
                <w:szCs w:val="8"/>
                <w:color w:val="auto"/>
              </w:rPr>
            </w:pPr>
          </w:p>
        </w:tc>
        <w:tc>
          <w:tcPr>
            <w:tcW w:w="298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980" w:type="dxa"/>
            <w:vAlign w:val="bottom"/>
          </w:tcPr>
          <w:p>
            <w:pPr>
              <w:ind w:left="500"/>
              <w:spacing w:after="0"/>
              <w:rPr>
                <w:sz w:val="20"/>
                <w:szCs w:val="20"/>
                <w:color w:val="auto"/>
              </w:rPr>
            </w:pPr>
            <w:r>
              <w:rPr>
                <w:rFonts w:ascii="Arial" w:cs="Arial" w:eastAsia="Arial" w:hAnsi="Arial"/>
                <w:sz w:val="16"/>
                <w:szCs w:val="16"/>
                <w:color w:val="auto"/>
              </w:rPr>
              <w:t>Ribbon so that their interests are</w:t>
            </w: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980" w:type="dxa"/>
            <w:vAlign w:val="bottom"/>
          </w:tcPr>
          <w:p>
            <w:pPr>
              <w:ind w:left="500"/>
              <w:spacing w:after="0"/>
              <w:rPr>
                <w:sz w:val="20"/>
                <w:szCs w:val="20"/>
                <w:color w:val="auto"/>
              </w:rPr>
            </w:pPr>
            <w:r>
              <w:rPr>
                <w:rFonts w:ascii="Arial" w:cs="Arial" w:eastAsia="Arial" w:hAnsi="Arial"/>
                <w:sz w:val="16"/>
                <w:szCs w:val="16"/>
                <w:color w:val="auto"/>
              </w:rPr>
              <w:t>aligned with those of our</w:t>
            </w: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980" w:type="dxa"/>
            <w:vAlign w:val="bottom"/>
          </w:tcPr>
          <w:p>
            <w:pPr>
              <w:ind w:left="500"/>
              <w:spacing w:after="0"/>
              <w:rPr>
                <w:sz w:val="20"/>
                <w:szCs w:val="20"/>
                <w:color w:val="auto"/>
              </w:rPr>
            </w:pPr>
            <w:r>
              <w:rPr>
                <w:rFonts w:ascii="Arial" w:cs="Arial" w:eastAsia="Arial" w:hAnsi="Arial"/>
                <w:sz w:val="16"/>
                <w:szCs w:val="16"/>
                <w:color w:val="auto"/>
              </w:rPr>
              <w:t>stockholders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-1189990</wp:posOffset>
            </wp:positionV>
            <wp:extent cx="5623560" cy="26060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623560" cy="2606040"/>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1320" w:space="180"/>
            <w:col w:w="8379"/>
          </w:cols>
          <w:pgMar w:left="580" w:top="97" w:right="1440"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58" w:lineRule="exact"/>
        <w:rPr>
          <w:sz w:val="20"/>
          <w:szCs w:val="20"/>
          <w:color w:val="auto"/>
        </w:rPr>
      </w:pPr>
    </w:p>
    <w:tbl>
      <w:tblPr>
        <w:tblLayout w:type="fixed"/>
        <w:tblInd w:w="1201" w:type="dxa"/>
        <w:tblCellMar>
          <w:top w:w="0" w:type="dxa"/>
          <w:left w:w="0" w:type="dxa"/>
          <w:bottom w:w="0" w:type="dxa"/>
          <w:right w:w="0" w:type="dxa"/>
        </w:tblCellMar>
      </w:tblPr>
      <w:tr>
        <w:trPr>
          <w:trHeight w:val="740"/>
        </w:trPr>
        <w:tc>
          <w:tcPr>
            <w:tcW w:w="172" w:type="dxa"/>
            <w:vAlign w:val="bottom"/>
            <w:textDirection w:val="btLr"/>
          </w:tcPr>
          <w:p>
            <w:pPr>
              <w:spacing w:after="0"/>
              <w:rPr>
                <w:sz w:val="20"/>
                <w:szCs w:val="20"/>
                <w:color w:val="auto"/>
              </w:rPr>
            </w:pPr>
            <w:r>
              <w:rPr>
                <w:rFonts w:ascii="MS PGothic" w:cs="MS PGothic" w:eastAsia="MS PGothic" w:hAnsi="MS PGothic"/>
                <w:sz w:val="15"/>
                <w:szCs w:val="15"/>
                <w:color w:val="000000"/>
                <w:highlight w:val="white"/>
              </w:rPr>
              <w:t>▶</w:t>
            </w:r>
            <w:r>
              <w:rPr>
                <w:rFonts w:ascii="Arial" w:cs="Arial" w:eastAsia="Arial" w:hAnsi="Arial"/>
                <w:sz w:val="15"/>
                <w:szCs w:val="15"/>
                <w:b w:val="1"/>
                <w:bCs w:val="1"/>
                <w:color w:val="FEFEFE"/>
              </w:rPr>
              <w:t>OTHER</w:t>
            </w:r>
          </w:p>
        </w:tc>
      </w:tr>
    </w:tbl>
    <w:p>
      <w:pPr>
        <w:spacing w:after="0" w:line="60" w:lineRule="exact"/>
        <w:rPr>
          <w:sz w:val="20"/>
          <w:szCs w:val="20"/>
          <w:color w:val="auto"/>
        </w:rPr>
      </w:pPr>
    </w:p>
    <w:tbl>
      <w:tblPr>
        <w:tblLayout w:type="fixed"/>
        <w:tblInd w:w="1223" w:type="dxa"/>
        <w:tblCellMar>
          <w:top w:w="0" w:type="dxa"/>
          <w:left w:w="0" w:type="dxa"/>
          <w:bottom w:w="0" w:type="dxa"/>
          <w:right w:w="0" w:type="dxa"/>
        </w:tblCellMar>
      </w:tblPr>
      <w:tr>
        <w:trPr>
          <w:trHeight w:val="120"/>
        </w:trPr>
        <w:tc>
          <w:tcPr>
            <w:tcW w:w="150" w:type="dxa"/>
            <w:vAlign w:val="bottom"/>
            <w:textDirection w:val="btLr"/>
          </w:tcPr>
          <w:p>
            <w:pPr>
              <w:spacing w:after="0"/>
              <w:rPr>
                <w:sz w:val="20"/>
                <w:szCs w:val="20"/>
                <w:color w:val="auto"/>
              </w:rPr>
            </w:pPr>
            <w:r>
              <w:rPr>
                <w:rFonts w:ascii="MS PGothic" w:cs="MS PGothic" w:eastAsia="MS PGothic" w:hAnsi="MS PGothic"/>
                <w:sz w:val="15"/>
                <w:szCs w:val="15"/>
                <w:color w:val="auto"/>
                <w:highlight w:val="white"/>
              </w:rPr>
              <w:t>◀</w:t>
            </w:r>
          </w:p>
        </w:tc>
      </w:tr>
    </w:tbl>
    <w:p>
      <w:pPr>
        <w:spacing w:after="0" w:line="20" w:lineRule="exact"/>
        <w:rPr>
          <w:sz w:val="20"/>
          <w:szCs w:val="20"/>
          <w:color w:val="auto"/>
        </w:rPr>
      </w:pPr>
      <w:r>
        <w:rPr>
          <w:sz w:val="20"/>
          <w:szCs w:val="20"/>
          <w:color w:val="auto"/>
        </w:rPr>
        <w:br w:type="column"/>
      </w:r>
    </w:p>
    <w:p>
      <w:pPr>
        <w:ind w:left="109" w:hanging="109"/>
        <w:spacing w:after="0" w:line="182" w:lineRule="auto"/>
        <w:tabs>
          <w:tab w:leader="none" w:pos="109" w:val="left"/>
        </w:tabs>
        <w:numPr>
          <w:ilvl w:val="0"/>
          <w:numId w:val="103"/>
        </w:numPr>
        <w:rPr>
          <w:rFonts w:ascii="Arial" w:cs="Arial" w:eastAsia="Arial" w:hAnsi="Arial"/>
          <w:sz w:val="29"/>
          <w:szCs w:val="29"/>
          <w:color w:val="auto"/>
          <w:vertAlign w:val="superscript"/>
        </w:rPr>
      </w:pPr>
      <w:r>
        <w:rPr>
          <w:rFonts w:ascii="Arial" w:cs="Arial" w:eastAsia="Arial" w:hAnsi="Arial"/>
          <w:sz w:val="29"/>
          <w:szCs w:val="29"/>
          <w:color w:val="auto"/>
          <w:vertAlign w:val="superscript"/>
        </w:rPr>
        <w:t>​</w:t>
      </w:r>
      <w:r>
        <w:rPr>
          <w:rFonts w:ascii="Arial" w:cs="Arial" w:eastAsia="Arial" w:hAnsi="Arial"/>
          <w:sz w:val="14"/>
          <w:szCs w:val="14"/>
          <w:b w:val="1"/>
          <w:bCs w:val="1"/>
          <w:color w:val="auto"/>
        </w:rPr>
        <w:t xml:space="preserve"> HEALTH,</w:t>
      </w:r>
    </w:p>
    <w:p>
      <w:pPr>
        <w:ind w:left="209"/>
        <w:spacing w:after="0" w:line="278" w:lineRule="auto"/>
        <w:rPr>
          <w:rFonts w:ascii="Arial" w:cs="Arial" w:eastAsia="Arial" w:hAnsi="Arial"/>
          <w:sz w:val="29"/>
          <w:szCs w:val="29"/>
          <w:color w:val="auto"/>
          <w:vertAlign w:val="superscript"/>
        </w:rPr>
      </w:pPr>
      <w:r>
        <w:rPr>
          <w:rFonts w:ascii="Arial" w:cs="Arial" w:eastAsia="Arial" w:hAnsi="Arial"/>
          <w:sz w:val="15"/>
          <w:szCs w:val="15"/>
          <w:b w:val="1"/>
          <w:bCs w:val="1"/>
          <w:color w:val="auto"/>
        </w:rPr>
        <w:t>RETIREMENT AND OTHER BENEFITS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320" w:type="dxa"/>
            <w:vAlign w:val="bottom"/>
            <w:gridSpan w:val="2"/>
          </w:tcPr>
          <w:p>
            <w:pPr>
              <w:spacing w:after="0" w:line="228" w:lineRule="exact"/>
              <w:rPr>
                <w:sz w:val="20"/>
                <w:szCs w:val="20"/>
                <w:color w:val="auto"/>
              </w:rPr>
            </w:pPr>
            <w:r>
              <w:rPr>
                <w:rFonts w:ascii="Arial" w:cs="Arial" w:eastAsia="Arial" w:hAnsi="Arial"/>
                <w:sz w:val="26"/>
                <w:szCs w:val="26"/>
                <w:color w:val="000000"/>
                <w:vertAlign w:val="superscript"/>
              </w:rPr>
              <w:t>​ ​</w:t>
            </w:r>
            <w:r>
              <w:rPr>
                <w:rFonts w:ascii="Arial" w:cs="Arial" w:eastAsia="Arial" w:hAnsi="Arial"/>
                <w:sz w:val="14"/>
                <w:szCs w:val="14"/>
                <w:color w:val="62259D"/>
              </w:rPr>
              <w:t xml:space="preserve"> ■ </w:t>
            </w:r>
            <w:r>
              <w:rPr>
                <w:rFonts w:ascii="Arial" w:cs="Arial" w:eastAsia="Arial" w:hAnsi="Arial"/>
                <w:sz w:val="14"/>
                <w:szCs w:val="14"/>
                <w:color w:val="000000"/>
              </w:rPr>
              <w:t>Eligibility to participate in</w:t>
            </w:r>
            <w:r>
              <w:rPr>
                <w:rFonts w:ascii="Arial" w:cs="Arial" w:eastAsia="Arial" w:hAnsi="Arial"/>
                <w:sz w:val="14"/>
                <w:szCs w:val="14"/>
                <w:color w:val="62259D"/>
              </w:rPr>
              <w:t xml:space="preserve"> </w:t>
            </w:r>
            <w:r>
              <w:rPr>
                <w:rFonts w:ascii="Arial" w:cs="Arial" w:eastAsia="Arial" w:hAnsi="Arial"/>
                <w:sz w:val="26"/>
                <w:szCs w:val="26"/>
                <w:color w:val="000000"/>
                <w:vertAlign w:val="superscript"/>
              </w:rPr>
              <w:t>​ ​</w:t>
            </w:r>
            <w:r>
              <w:rPr>
                <w:rFonts w:ascii="Arial" w:cs="Arial" w:eastAsia="Arial" w:hAnsi="Arial"/>
                <w:sz w:val="14"/>
                <w:szCs w:val="14"/>
                <w:color w:val="62259D"/>
              </w:rPr>
              <w:t xml:space="preserve"> ■ </w:t>
            </w:r>
            <w:r>
              <w:rPr>
                <w:rFonts w:ascii="Arial" w:cs="Arial" w:eastAsia="Arial" w:hAnsi="Arial"/>
                <w:sz w:val="14"/>
                <w:szCs w:val="14"/>
                <w:color w:val="000000"/>
              </w:rPr>
              <w:t>Benefit plans are part of a broad-</w:t>
            </w:r>
            <w:r>
              <w:rPr>
                <w:rFonts w:ascii="Arial" w:cs="Arial" w:eastAsia="Arial" w:hAnsi="Arial"/>
                <w:sz w:val="14"/>
                <w:szCs w:val="14"/>
                <w:color w:val="62259D"/>
              </w:rPr>
              <w:t xml:space="preserve"> </w:t>
            </w:r>
            <w:r>
              <w:rPr>
                <w:rFonts w:ascii="Arial" w:cs="Arial" w:eastAsia="Arial" w:hAnsi="Arial"/>
                <w:sz w:val="26"/>
                <w:szCs w:val="26"/>
                <w:color w:val="000000"/>
                <w:vertAlign w:val="superscript"/>
              </w:rPr>
              <w:t>​ ​</w:t>
            </w:r>
            <w:r>
              <w:rPr>
                <w:rFonts w:ascii="Arial" w:cs="Arial" w:eastAsia="Arial" w:hAnsi="Arial"/>
                <w:sz w:val="14"/>
                <w:szCs w:val="14"/>
                <w:color w:val="62259D"/>
              </w:rPr>
              <w:t xml:space="preserve"> ■ </w:t>
            </w:r>
            <w:r>
              <w:rPr>
                <w:rFonts w:ascii="Arial" w:cs="Arial" w:eastAsia="Arial" w:hAnsi="Arial"/>
                <w:sz w:val="14"/>
                <w:szCs w:val="14"/>
                <w:color w:val="000000"/>
              </w:rPr>
              <w:t>Low</w:t>
            </w:r>
          </w:p>
        </w:tc>
        <w:tc>
          <w:tcPr>
            <w:tcW w:w="520" w:type="dxa"/>
            <w:vAlign w:val="bottom"/>
          </w:tcPr>
          <w:p>
            <w:pPr>
              <w:ind w:left="480"/>
              <w:spacing w:after="0"/>
              <w:rPr>
                <w:sz w:val="20"/>
                <w:szCs w:val="20"/>
                <w:color w:val="auto"/>
              </w:rPr>
            </w:pPr>
            <w:r>
              <w:rPr>
                <w:rFonts w:ascii="Arial" w:cs="Arial" w:eastAsia="Arial" w:hAnsi="Arial"/>
                <w:sz w:val="16"/>
                <w:szCs w:val="16"/>
                <w:color w:val="auto"/>
              </w:rPr>
              <w:t>​</w:t>
            </w:r>
          </w:p>
        </w:tc>
      </w:tr>
      <w:tr>
        <w:trPr>
          <w:trHeight w:val="189"/>
        </w:trPr>
        <w:tc>
          <w:tcPr>
            <w:tcW w:w="2340" w:type="dxa"/>
            <w:vAlign w:val="bottom"/>
          </w:tcPr>
          <w:p>
            <w:pPr>
              <w:ind w:left="380"/>
              <w:spacing w:after="0"/>
              <w:rPr>
                <w:sz w:val="20"/>
                <w:szCs w:val="20"/>
                <w:color w:val="auto"/>
              </w:rPr>
            </w:pPr>
            <w:r>
              <w:rPr>
                <w:rFonts w:ascii="Arial" w:cs="Arial" w:eastAsia="Arial" w:hAnsi="Arial"/>
                <w:sz w:val="16"/>
                <w:szCs w:val="16"/>
                <w:color w:val="auto"/>
              </w:rPr>
              <w:t>benefit plans generally</w:t>
            </w:r>
          </w:p>
        </w:tc>
        <w:tc>
          <w:tcPr>
            <w:tcW w:w="3980" w:type="dxa"/>
            <w:vAlign w:val="bottom"/>
          </w:tcPr>
          <w:p>
            <w:pPr>
              <w:ind w:left="300"/>
              <w:spacing w:after="0"/>
              <w:rPr>
                <w:sz w:val="20"/>
                <w:szCs w:val="20"/>
                <w:color w:val="auto"/>
              </w:rPr>
            </w:pPr>
            <w:r>
              <w:rPr>
                <w:rFonts w:ascii="Arial" w:cs="Arial" w:eastAsia="Arial" w:hAnsi="Arial"/>
                <w:sz w:val="16"/>
                <w:szCs w:val="16"/>
                <w:color w:val="auto"/>
              </w:rPr>
              <w:t>based employee benefits</w:t>
            </w:r>
          </w:p>
        </w:tc>
        <w:tc>
          <w:tcPr>
            <w:tcW w:w="520" w:type="dxa"/>
            <w:vAlign w:val="bottom"/>
          </w:tcPr>
          <w:p>
            <w:pPr>
              <w:spacing w:after="0"/>
              <w:rPr>
                <w:sz w:val="16"/>
                <w:szCs w:val="16"/>
                <w:color w:val="auto"/>
              </w:rPr>
            </w:pPr>
          </w:p>
        </w:tc>
      </w:tr>
      <w:tr>
        <w:trPr>
          <w:trHeight w:val="205"/>
        </w:trPr>
        <w:tc>
          <w:tcPr>
            <w:tcW w:w="2340" w:type="dxa"/>
            <w:vAlign w:val="bottom"/>
          </w:tcPr>
          <w:p>
            <w:pPr>
              <w:ind w:left="380"/>
              <w:spacing w:after="0"/>
              <w:rPr>
                <w:sz w:val="20"/>
                <w:szCs w:val="20"/>
                <w:color w:val="auto"/>
              </w:rPr>
            </w:pPr>
            <w:r>
              <w:rPr>
                <w:rFonts w:ascii="Arial" w:cs="Arial" w:eastAsia="Arial" w:hAnsi="Arial"/>
                <w:sz w:val="16"/>
                <w:szCs w:val="16"/>
                <w:color w:val="auto"/>
              </w:rPr>
              <w:t>available to our</w:t>
            </w:r>
          </w:p>
        </w:tc>
        <w:tc>
          <w:tcPr>
            <w:tcW w:w="3980" w:type="dxa"/>
            <w:vAlign w:val="bottom"/>
          </w:tcPr>
          <w:p>
            <w:pPr>
              <w:ind w:left="300"/>
              <w:spacing w:after="0"/>
              <w:rPr>
                <w:sz w:val="20"/>
                <w:szCs w:val="20"/>
                <w:color w:val="auto"/>
              </w:rPr>
            </w:pPr>
            <w:r>
              <w:rPr>
                <w:rFonts w:ascii="Arial" w:cs="Arial" w:eastAsia="Arial" w:hAnsi="Arial"/>
                <w:sz w:val="16"/>
                <w:szCs w:val="16"/>
                <w:color w:val="auto"/>
              </w:rPr>
              <w:t>program</w:t>
            </w:r>
          </w:p>
        </w:tc>
        <w:tc>
          <w:tcPr>
            <w:tcW w:w="520" w:type="dxa"/>
            <w:vAlign w:val="bottom"/>
          </w:tcPr>
          <w:p>
            <w:pPr>
              <w:spacing w:after="0"/>
              <w:rPr>
                <w:sz w:val="17"/>
                <w:szCs w:val="17"/>
                <w:color w:val="auto"/>
              </w:rPr>
            </w:pPr>
          </w:p>
        </w:tc>
      </w:tr>
    </w:tbl>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173"/>
        </w:trPr>
        <w:tc>
          <w:tcPr>
            <w:tcW w:w="1880" w:type="dxa"/>
            <w:vAlign w:val="bottom"/>
          </w:tcPr>
          <w:p>
            <w:pPr>
              <w:spacing w:after="0" w:line="173" w:lineRule="exact"/>
              <w:rPr>
                <w:sz w:val="20"/>
                <w:szCs w:val="20"/>
                <w:color w:val="auto"/>
              </w:rPr>
            </w:pPr>
            <w:r>
              <w:rPr>
                <w:rFonts w:ascii="Arial" w:cs="Arial" w:eastAsia="Arial" w:hAnsi="Arial"/>
                <w:sz w:val="16"/>
                <w:szCs w:val="16"/>
                <w:color w:val="auto"/>
              </w:rPr>
              <w:t>employees, including</w:t>
            </w:r>
          </w:p>
        </w:tc>
        <w:tc>
          <w:tcPr>
            <w:tcW w:w="2740" w:type="dxa"/>
            <w:vAlign w:val="bottom"/>
            <w:vMerge w:val="restart"/>
          </w:tcPr>
          <w:p>
            <w:pPr>
              <w:ind w:left="22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Except in limited circumstances</w:t>
            </w:r>
          </w:p>
        </w:tc>
        <w:tc>
          <w:tcPr>
            <w:tcW w:w="0" w:type="dxa"/>
            <w:vAlign w:val="bottom"/>
          </w:tcPr>
          <w:p>
            <w:pPr>
              <w:spacing w:after="0"/>
              <w:rPr>
                <w:sz w:val="1"/>
                <w:szCs w:val="1"/>
                <w:color w:val="auto"/>
              </w:rPr>
            </w:pPr>
          </w:p>
        </w:tc>
      </w:tr>
      <w:tr>
        <w:trPr>
          <w:trHeight w:val="108"/>
        </w:trPr>
        <w:tc>
          <w:tcPr>
            <w:tcW w:w="1880" w:type="dxa"/>
            <w:vAlign w:val="bottom"/>
            <w:vMerge w:val="restart"/>
          </w:tcPr>
          <w:p>
            <w:pPr>
              <w:spacing w:after="0"/>
              <w:rPr>
                <w:sz w:val="20"/>
                <w:szCs w:val="20"/>
                <w:color w:val="auto"/>
              </w:rPr>
            </w:pPr>
            <w:r>
              <w:rPr>
                <w:rFonts w:ascii="Arial" w:cs="Arial" w:eastAsia="Arial" w:hAnsi="Arial"/>
                <w:sz w:val="16"/>
                <w:szCs w:val="16"/>
                <w:color w:val="auto"/>
              </w:rPr>
              <w:t>401(k) plan, premiums</w:t>
            </w: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80" w:type="dxa"/>
            <w:vAlign w:val="bottom"/>
            <w:vMerge w:val="continue"/>
          </w:tcPr>
          <w:p>
            <w:pPr>
              <w:spacing w:after="0"/>
              <w:rPr>
                <w:sz w:val="7"/>
                <w:szCs w:val="7"/>
                <w:color w:val="auto"/>
              </w:rPr>
            </w:pPr>
          </w:p>
        </w:tc>
        <w:tc>
          <w:tcPr>
            <w:tcW w:w="2740" w:type="dxa"/>
            <w:vAlign w:val="bottom"/>
            <w:vMerge w:val="restart"/>
          </w:tcPr>
          <w:p>
            <w:pPr>
              <w:ind w:left="380"/>
              <w:spacing w:after="0"/>
              <w:rPr>
                <w:sz w:val="20"/>
                <w:szCs w:val="20"/>
                <w:color w:val="auto"/>
              </w:rPr>
            </w:pPr>
            <w:r>
              <w:rPr>
                <w:rFonts w:ascii="Arial" w:cs="Arial" w:eastAsia="Arial" w:hAnsi="Arial"/>
                <w:sz w:val="16"/>
                <w:szCs w:val="16"/>
                <w:color w:val="auto"/>
              </w:rPr>
              <w:t>as discussed in the footnotes of</w:t>
            </w:r>
          </w:p>
        </w:tc>
        <w:tc>
          <w:tcPr>
            <w:tcW w:w="0" w:type="dxa"/>
            <w:vAlign w:val="bottom"/>
          </w:tcPr>
          <w:p>
            <w:pPr>
              <w:spacing w:after="0"/>
              <w:rPr>
                <w:sz w:val="1"/>
                <w:szCs w:val="1"/>
                <w:color w:val="auto"/>
              </w:rPr>
            </w:pPr>
          </w:p>
        </w:tc>
      </w:tr>
      <w:tr>
        <w:trPr>
          <w:trHeight w:val="108"/>
        </w:trPr>
        <w:tc>
          <w:tcPr>
            <w:tcW w:w="1880" w:type="dxa"/>
            <w:vAlign w:val="bottom"/>
            <w:vMerge w:val="restart"/>
          </w:tcPr>
          <w:p>
            <w:pPr>
              <w:spacing w:after="0"/>
              <w:rPr>
                <w:sz w:val="20"/>
                <w:szCs w:val="20"/>
                <w:color w:val="auto"/>
              </w:rPr>
            </w:pPr>
            <w:r>
              <w:rPr>
                <w:rFonts w:ascii="Arial" w:cs="Arial" w:eastAsia="Arial" w:hAnsi="Arial"/>
                <w:sz w:val="16"/>
                <w:szCs w:val="16"/>
                <w:color w:val="auto"/>
              </w:rPr>
              <w:t>paid on long-term</w:t>
            </w: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80" w:type="dxa"/>
            <w:vAlign w:val="bottom"/>
            <w:vMerge w:val="continue"/>
          </w:tcPr>
          <w:p>
            <w:pPr>
              <w:spacing w:after="0"/>
              <w:rPr>
                <w:sz w:val="7"/>
                <w:szCs w:val="7"/>
                <w:color w:val="auto"/>
              </w:rPr>
            </w:pPr>
          </w:p>
        </w:tc>
        <w:tc>
          <w:tcPr>
            <w:tcW w:w="2740" w:type="dxa"/>
            <w:vAlign w:val="bottom"/>
            <w:vMerge w:val="restart"/>
          </w:tcPr>
          <w:p>
            <w:pPr>
              <w:ind w:left="380"/>
              <w:spacing w:after="0"/>
              <w:rPr>
                <w:sz w:val="20"/>
                <w:szCs w:val="20"/>
                <w:color w:val="auto"/>
              </w:rPr>
            </w:pPr>
            <w:r>
              <w:rPr>
                <w:rFonts w:ascii="Arial" w:cs="Arial" w:eastAsia="Arial" w:hAnsi="Arial"/>
                <w:sz w:val="16"/>
                <w:szCs w:val="16"/>
                <w:color w:val="auto"/>
              </w:rPr>
              <w:t>our Summary Compensation</w:t>
            </w:r>
          </w:p>
        </w:tc>
        <w:tc>
          <w:tcPr>
            <w:tcW w:w="0" w:type="dxa"/>
            <w:vAlign w:val="bottom"/>
          </w:tcPr>
          <w:p>
            <w:pPr>
              <w:spacing w:after="0"/>
              <w:rPr>
                <w:sz w:val="1"/>
                <w:szCs w:val="1"/>
                <w:color w:val="auto"/>
              </w:rPr>
            </w:pPr>
          </w:p>
        </w:tc>
      </w:tr>
      <w:tr>
        <w:trPr>
          <w:trHeight w:val="108"/>
        </w:trPr>
        <w:tc>
          <w:tcPr>
            <w:tcW w:w="1880" w:type="dxa"/>
            <w:vAlign w:val="bottom"/>
            <w:vMerge w:val="restart"/>
          </w:tcPr>
          <w:p>
            <w:pPr>
              <w:spacing w:after="0"/>
              <w:rPr>
                <w:sz w:val="20"/>
                <w:szCs w:val="20"/>
                <w:color w:val="auto"/>
              </w:rPr>
            </w:pPr>
            <w:r>
              <w:rPr>
                <w:rFonts w:ascii="Arial" w:cs="Arial" w:eastAsia="Arial" w:hAnsi="Arial"/>
                <w:sz w:val="16"/>
                <w:szCs w:val="16"/>
                <w:color w:val="auto"/>
              </w:rPr>
              <w:t>disability and life</w:t>
            </w: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80" w:type="dxa"/>
            <w:vAlign w:val="bottom"/>
            <w:vMerge w:val="continue"/>
          </w:tcPr>
          <w:p>
            <w:pPr>
              <w:spacing w:after="0"/>
              <w:rPr>
                <w:sz w:val="7"/>
                <w:szCs w:val="7"/>
                <w:color w:val="auto"/>
              </w:rPr>
            </w:pPr>
          </w:p>
        </w:tc>
        <w:tc>
          <w:tcPr>
            <w:tcW w:w="2740" w:type="dxa"/>
            <w:vAlign w:val="bottom"/>
            <w:vMerge w:val="restart"/>
          </w:tcPr>
          <w:p>
            <w:pPr>
              <w:ind w:left="380"/>
              <w:spacing w:after="0"/>
              <w:rPr>
                <w:sz w:val="20"/>
                <w:szCs w:val="20"/>
                <w:color w:val="auto"/>
              </w:rPr>
            </w:pPr>
            <w:r>
              <w:rPr>
                <w:rFonts w:ascii="Arial" w:cs="Arial" w:eastAsia="Arial" w:hAnsi="Arial"/>
                <w:sz w:val="16"/>
                <w:szCs w:val="16"/>
                <w:color w:val="auto"/>
              </w:rPr>
              <w:t>Table, our executives do not</w:t>
            </w:r>
          </w:p>
        </w:tc>
        <w:tc>
          <w:tcPr>
            <w:tcW w:w="0" w:type="dxa"/>
            <w:vAlign w:val="bottom"/>
          </w:tcPr>
          <w:p>
            <w:pPr>
              <w:spacing w:after="0"/>
              <w:rPr>
                <w:sz w:val="1"/>
                <w:szCs w:val="1"/>
                <w:color w:val="auto"/>
              </w:rPr>
            </w:pPr>
          </w:p>
        </w:tc>
      </w:tr>
      <w:tr>
        <w:trPr>
          <w:trHeight w:val="108"/>
        </w:trPr>
        <w:tc>
          <w:tcPr>
            <w:tcW w:w="1880" w:type="dxa"/>
            <w:vAlign w:val="bottom"/>
            <w:vMerge w:val="restart"/>
          </w:tcPr>
          <w:p>
            <w:pPr>
              <w:spacing w:after="0"/>
              <w:rPr>
                <w:sz w:val="20"/>
                <w:szCs w:val="20"/>
                <w:color w:val="auto"/>
              </w:rPr>
            </w:pPr>
            <w:r>
              <w:rPr>
                <w:rFonts w:ascii="Arial" w:cs="Arial" w:eastAsia="Arial" w:hAnsi="Arial"/>
                <w:sz w:val="16"/>
                <w:szCs w:val="16"/>
                <w:color w:val="auto"/>
              </w:rPr>
              <w:t>insurance</w:t>
            </w: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880" w:type="dxa"/>
            <w:vAlign w:val="bottom"/>
            <w:vMerge w:val="continue"/>
          </w:tcPr>
          <w:p>
            <w:pPr>
              <w:spacing w:after="0"/>
              <w:rPr>
                <w:sz w:val="9"/>
                <w:szCs w:val="9"/>
                <w:color w:val="auto"/>
              </w:rPr>
            </w:pPr>
          </w:p>
        </w:tc>
        <w:tc>
          <w:tcPr>
            <w:tcW w:w="2740" w:type="dxa"/>
            <w:vAlign w:val="bottom"/>
            <w:vMerge w:val="restart"/>
          </w:tcPr>
          <w:p>
            <w:pPr>
              <w:ind w:left="380"/>
              <w:spacing w:after="0"/>
              <w:rPr>
                <w:sz w:val="20"/>
                <w:szCs w:val="20"/>
                <w:color w:val="auto"/>
              </w:rPr>
            </w:pPr>
            <w:r>
              <w:rPr>
                <w:rFonts w:ascii="Arial" w:cs="Arial" w:eastAsia="Arial" w:hAnsi="Arial"/>
                <w:sz w:val="16"/>
                <w:szCs w:val="16"/>
                <w:color w:val="auto"/>
              </w:rPr>
              <w:t>generally receive any material</w:t>
            </w:r>
          </w:p>
        </w:tc>
        <w:tc>
          <w:tcPr>
            <w:tcW w:w="0" w:type="dxa"/>
            <w:vAlign w:val="bottom"/>
          </w:tcPr>
          <w:p>
            <w:pPr>
              <w:spacing w:after="0"/>
              <w:rPr>
                <w:sz w:val="1"/>
                <w:szCs w:val="1"/>
                <w:color w:val="auto"/>
              </w:rPr>
            </w:pPr>
          </w:p>
        </w:tc>
      </w:tr>
      <w:tr>
        <w:trPr>
          <w:trHeight w:val="82"/>
        </w:trPr>
        <w:tc>
          <w:tcPr>
            <w:tcW w:w="188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2740" w:type="dxa"/>
            <w:vAlign w:val="bottom"/>
          </w:tcPr>
          <w:p>
            <w:pPr>
              <w:ind w:left="380"/>
              <w:spacing w:after="0"/>
              <w:rPr>
                <w:sz w:val="20"/>
                <w:szCs w:val="20"/>
                <w:color w:val="auto"/>
              </w:rPr>
            </w:pPr>
            <w:r>
              <w:rPr>
                <w:rFonts w:ascii="Arial" w:cs="Arial" w:eastAsia="Arial" w:hAnsi="Arial"/>
                <w:sz w:val="16"/>
                <w:szCs w:val="16"/>
                <w:color w:val="auto"/>
              </w:rPr>
              <w:t>nonqualified deferred</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2740" w:type="dxa"/>
            <w:vAlign w:val="bottom"/>
          </w:tcPr>
          <w:p>
            <w:pPr>
              <w:ind w:left="380"/>
              <w:spacing w:after="0"/>
              <w:rPr>
                <w:sz w:val="20"/>
                <w:szCs w:val="20"/>
                <w:color w:val="auto"/>
              </w:rPr>
            </w:pPr>
            <w:r>
              <w:rPr>
                <w:rFonts w:ascii="Arial" w:cs="Arial" w:eastAsia="Arial" w:hAnsi="Arial"/>
                <w:sz w:val="16"/>
                <w:szCs w:val="16"/>
                <w:color w:val="auto"/>
              </w:rPr>
              <w:t>compensation plans or</w:t>
            </w:r>
          </w:p>
        </w:tc>
        <w:tc>
          <w:tcPr>
            <w:tcW w:w="0" w:type="dxa"/>
            <w:vAlign w:val="bottom"/>
          </w:tcPr>
          <w:p>
            <w:pPr>
              <w:spacing w:after="0"/>
              <w:rPr>
                <w:sz w:val="1"/>
                <w:szCs w:val="1"/>
                <w:color w:val="auto"/>
              </w:rPr>
            </w:pPr>
          </w:p>
        </w:tc>
      </w:tr>
      <w:tr>
        <w:trPr>
          <w:trHeight w:val="215"/>
        </w:trPr>
        <w:tc>
          <w:tcPr>
            <w:tcW w:w="1880" w:type="dxa"/>
            <w:vAlign w:val="bottom"/>
          </w:tcPr>
          <w:p>
            <w:pPr>
              <w:spacing w:after="0"/>
              <w:rPr>
                <w:sz w:val="18"/>
                <w:szCs w:val="18"/>
                <w:color w:val="auto"/>
              </w:rPr>
            </w:pPr>
          </w:p>
        </w:tc>
        <w:tc>
          <w:tcPr>
            <w:tcW w:w="2740" w:type="dxa"/>
            <w:vAlign w:val="bottom"/>
          </w:tcPr>
          <w:p>
            <w:pPr>
              <w:ind w:left="380"/>
              <w:spacing w:after="0"/>
              <w:rPr>
                <w:sz w:val="20"/>
                <w:szCs w:val="20"/>
                <w:color w:val="auto"/>
              </w:rPr>
            </w:pPr>
            <w:r>
              <w:rPr>
                <w:rFonts w:ascii="Arial" w:cs="Arial" w:eastAsia="Arial" w:hAnsi="Arial"/>
                <w:sz w:val="16"/>
                <w:szCs w:val="16"/>
                <w:color w:val="auto"/>
              </w:rPr>
              <w:t>perquisites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-1242695</wp:posOffset>
            </wp:positionH>
            <wp:positionV relativeFrom="paragraph">
              <wp:posOffset>-15240</wp:posOffset>
            </wp:positionV>
            <wp:extent cx="562356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86" w:lineRule="exact"/>
        <w:rPr>
          <w:sz w:val="20"/>
          <w:szCs w:val="20"/>
          <w:color w:val="auto"/>
        </w:rPr>
      </w:pPr>
    </w:p>
    <w:p>
      <w:pPr>
        <w:sectPr>
          <w:pgSz w:w="11900" w:h="16838" w:orient="portrait"/>
          <w:cols w:equalWidth="0" w:num="3">
            <w:col w:w="1380" w:space="111"/>
            <w:col w:w="1289" w:space="100"/>
            <w:col w:w="6999"/>
          </w:cols>
          <w:pgMar w:left="580" w:top="97" w:right="1440" w:bottom="1440" w:gutter="0" w:footer="0" w:header="0"/>
          <w:type w:val="continuous"/>
        </w:sectPr>
      </w:pPr>
    </w:p>
    <w:p>
      <w:pPr>
        <w:ind w:left="920"/>
        <w:spacing w:after="0"/>
        <w:rPr>
          <w:sz w:val="20"/>
          <w:szCs w:val="20"/>
          <w:color w:val="auto"/>
        </w:rPr>
      </w:pPr>
      <w:r>
        <w:rPr>
          <w:rFonts w:ascii="Arial" w:cs="Arial" w:eastAsia="Arial" w:hAnsi="Arial"/>
          <w:sz w:val="18"/>
          <w:szCs w:val="18"/>
          <w:b w:val="1"/>
          <w:bCs w:val="1"/>
          <w:color w:val="auto"/>
        </w:rPr>
        <w:t>42</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167640</wp:posOffset>
            </wp:positionV>
            <wp:extent cx="683196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How Target Levels of Compensation Are Determined</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determining the amount of compensation to pay our NEOs, the Compensation Committee considers</w:t>
      </w:r>
    </w:p>
    <w:p>
      <w:pPr>
        <w:spacing w:after="0" w:line="14" w:lineRule="exact"/>
        <w:rPr>
          <w:sz w:val="20"/>
          <w:szCs w:val="20"/>
          <w:color w:val="auto"/>
        </w:rPr>
      </w:pPr>
    </w:p>
    <w:p>
      <w:pPr>
        <w:ind w:left="920" w:right="459"/>
        <w:spacing w:after="0" w:line="226" w:lineRule="auto"/>
        <w:rPr>
          <w:sz w:val="20"/>
          <w:szCs w:val="20"/>
          <w:color w:val="auto"/>
        </w:rPr>
      </w:pPr>
      <w:r>
        <w:rPr>
          <w:rFonts w:ascii="Arial" w:cs="Arial" w:eastAsia="Arial" w:hAnsi="Arial"/>
          <w:sz w:val="18"/>
          <w:szCs w:val="18"/>
          <w:color w:val="auto"/>
        </w:rPr>
        <w:t>factors such as the executive officer’s role within the Company and the level of responsibility, skills and experiences required by the position, the executive officer’s qualifications, our ability to replace such</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individual and the overall competitive environment for executive talent.</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Compensation Committee also considers the Company’s performance, the executive’s performance,</w:t>
      </w:r>
    </w:p>
    <w:p>
      <w:pPr>
        <w:spacing w:after="0" w:line="14" w:lineRule="exact"/>
        <w:rPr>
          <w:sz w:val="20"/>
          <w:szCs w:val="20"/>
          <w:color w:val="auto"/>
        </w:rPr>
      </w:pPr>
    </w:p>
    <w:p>
      <w:pPr>
        <w:ind w:left="920" w:right="179"/>
        <w:spacing w:after="0" w:line="226" w:lineRule="auto"/>
        <w:rPr>
          <w:sz w:val="20"/>
          <w:szCs w:val="20"/>
          <w:color w:val="auto"/>
        </w:rPr>
      </w:pPr>
      <w:r>
        <w:rPr>
          <w:rFonts w:ascii="Arial" w:cs="Arial" w:eastAsia="Arial" w:hAnsi="Arial"/>
          <w:sz w:val="18"/>
          <w:szCs w:val="18"/>
          <w:color w:val="auto"/>
        </w:rPr>
        <w:t>the Compensation Committee’s view of internal equity and consistency and other considerations it deems relevant. In analyzing these factors, the Compensation Committee reviews competitive compensation data</w:t>
      </w:r>
    </w:p>
    <w:p>
      <w:pPr>
        <w:ind w:left="920"/>
        <w:spacing w:after="0" w:line="236" w:lineRule="auto"/>
        <w:rPr>
          <w:sz w:val="20"/>
          <w:szCs w:val="20"/>
          <w:color w:val="auto"/>
        </w:rPr>
      </w:pPr>
      <w:r>
        <w:rPr>
          <w:rFonts w:ascii="Arial" w:cs="Arial" w:eastAsia="Arial" w:hAnsi="Arial"/>
          <w:sz w:val="18"/>
          <w:szCs w:val="18"/>
          <w:color w:val="auto"/>
        </w:rPr>
        <w:t>gathered in comparative surveys. The Compensation Committee does not have a policy for allocating</w:t>
      </w:r>
    </w:p>
    <w:p>
      <w:pPr>
        <w:spacing w:after="0" w:line="1" w:lineRule="exact"/>
        <w:rPr>
          <w:sz w:val="20"/>
          <w:szCs w:val="20"/>
          <w:color w:val="auto"/>
        </w:rPr>
      </w:pPr>
    </w:p>
    <w:p>
      <w:pPr>
        <w:ind w:left="920" w:right="239"/>
        <w:spacing w:after="0" w:line="226" w:lineRule="auto"/>
        <w:rPr>
          <w:sz w:val="20"/>
          <w:szCs w:val="20"/>
          <w:color w:val="auto"/>
        </w:rPr>
      </w:pPr>
      <w:r>
        <w:rPr>
          <w:rFonts w:ascii="Arial" w:cs="Arial" w:eastAsia="Arial" w:hAnsi="Arial"/>
          <w:sz w:val="18"/>
          <w:szCs w:val="18"/>
          <w:color w:val="auto"/>
        </w:rPr>
        <w:t>target compensation among the various elements in any particular ratio, but generally attempts to provide an allocation similar to that used by other companies with whom the Company competes for executive</w:t>
      </w:r>
    </w:p>
    <w:p>
      <w:pPr>
        <w:ind w:left="920"/>
        <w:spacing w:after="0" w:line="236" w:lineRule="auto"/>
        <w:rPr>
          <w:sz w:val="20"/>
          <w:szCs w:val="20"/>
          <w:color w:val="auto"/>
        </w:rPr>
      </w:pPr>
      <w:r>
        <w:rPr>
          <w:rFonts w:ascii="Arial" w:cs="Arial" w:eastAsia="Arial" w:hAnsi="Arial"/>
          <w:sz w:val="18"/>
          <w:szCs w:val="18"/>
          <w:color w:val="auto"/>
        </w:rPr>
        <w:t>talent using the peer data provided by our outside compensation consultant. Of the elements of total direct</w:t>
      </w:r>
    </w:p>
    <w:p>
      <w:pPr>
        <w:spacing w:after="0" w:line="1" w:lineRule="exact"/>
        <w:rPr>
          <w:sz w:val="20"/>
          <w:szCs w:val="20"/>
          <w:color w:val="auto"/>
        </w:rPr>
      </w:pPr>
    </w:p>
    <w:p>
      <w:pPr>
        <w:ind w:left="920" w:right="299"/>
        <w:spacing w:after="0" w:line="237" w:lineRule="auto"/>
        <w:rPr>
          <w:sz w:val="20"/>
          <w:szCs w:val="20"/>
          <w:color w:val="auto"/>
        </w:rPr>
      </w:pPr>
      <w:r>
        <w:rPr>
          <w:rFonts w:ascii="Arial" w:cs="Arial" w:eastAsia="Arial" w:hAnsi="Arial"/>
          <w:sz w:val="18"/>
          <w:szCs w:val="18"/>
          <w:color w:val="auto"/>
        </w:rPr>
        <w:t>compensation, only base salary is fixed compensation, while cash bonuses and equity-based awards are both variable compensation and contingent on Company or stock performance.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2024 Compensation Payouts</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established targets for individual components and overall executive compensation are designed to be</w:t>
      </w:r>
    </w:p>
    <w:p>
      <w:pPr>
        <w:spacing w:after="0" w:line="14" w:lineRule="exact"/>
        <w:rPr>
          <w:sz w:val="20"/>
          <w:szCs w:val="20"/>
          <w:color w:val="auto"/>
        </w:rPr>
      </w:pPr>
    </w:p>
    <w:p>
      <w:pPr>
        <w:ind w:left="920" w:right="199"/>
        <w:spacing w:after="0" w:line="226" w:lineRule="auto"/>
        <w:rPr>
          <w:sz w:val="20"/>
          <w:szCs w:val="20"/>
          <w:color w:val="auto"/>
        </w:rPr>
      </w:pPr>
      <w:r>
        <w:rPr>
          <w:rFonts w:ascii="Arial" w:cs="Arial" w:eastAsia="Arial" w:hAnsi="Arial"/>
          <w:sz w:val="18"/>
          <w:szCs w:val="18"/>
          <w:color w:val="auto"/>
        </w:rPr>
        <w:t>market competitive in order to attract, motivate and retain the executives necessary to drive and achieve the Company’s objectives. In some cases, individual components may be positioned higher or lower in the</w:t>
      </w:r>
    </w:p>
    <w:p>
      <w:pPr>
        <w:ind w:left="920"/>
        <w:spacing w:after="0" w:line="236" w:lineRule="auto"/>
        <w:rPr>
          <w:sz w:val="20"/>
          <w:szCs w:val="20"/>
          <w:color w:val="auto"/>
        </w:rPr>
      </w:pPr>
      <w:r>
        <w:rPr>
          <w:rFonts w:ascii="Arial" w:cs="Arial" w:eastAsia="Arial" w:hAnsi="Arial"/>
          <w:sz w:val="18"/>
          <w:szCs w:val="18"/>
          <w:color w:val="auto"/>
        </w:rPr>
        <w:t>market range in order to emphasize a particular element or if individual circumstances dictate. The</w:t>
      </w:r>
    </w:p>
    <w:p>
      <w:pPr>
        <w:spacing w:after="0" w:line="1" w:lineRule="exact"/>
        <w:rPr>
          <w:sz w:val="20"/>
          <w:szCs w:val="20"/>
          <w:color w:val="auto"/>
        </w:rPr>
      </w:pPr>
    </w:p>
    <w:p>
      <w:pPr>
        <w:ind w:left="920" w:right="439"/>
        <w:spacing w:after="0" w:line="237" w:lineRule="auto"/>
        <w:rPr>
          <w:sz w:val="20"/>
          <w:szCs w:val="20"/>
          <w:color w:val="auto"/>
        </w:rPr>
      </w:pPr>
      <w:r>
        <w:rPr>
          <w:rFonts w:ascii="Arial" w:cs="Arial" w:eastAsia="Arial" w:hAnsi="Arial"/>
          <w:sz w:val="18"/>
          <w:szCs w:val="18"/>
          <w:color w:val="auto"/>
        </w:rPr>
        <w:t>Compensation Committee believes that the overall compensation program serves to balance the mix of cash and equity compensation with the mix of short- and long- term compensation for our NEOs.</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Base Salary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 salaries are designed to reflect the scope of responsibilities, performance and competencies of the</w:t>
      </w:r>
    </w:p>
    <w:p>
      <w:pPr>
        <w:spacing w:after="0" w:line="14" w:lineRule="exact"/>
        <w:rPr>
          <w:sz w:val="20"/>
          <w:szCs w:val="20"/>
          <w:color w:val="auto"/>
        </w:rPr>
      </w:pPr>
    </w:p>
    <w:p>
      <w:pPr>
        <w:ind w:left="920" w:right="119"/>
        <w:spacing w:after="0" w:line="226" w:lineRule="auto"/>
        <w:rPr>
          <w:sz w:val="20"/>
          <w:szCs w:val="20"/>
          <w:color w:val="auto"/>
        </w:rPr>
      </w:pPr>
      <w:r>
        <w:rPr>
          <w:rFonts w:ascii="Arial" w:cs="Arial" w:eastAsia="Arial" w:hAnsi="Arial"/>
          <w:sz w:val="18"/>
          <w:szCs w:val="18"/>
          <w:color w:val="auto"/>
        </w:rPr>
        <w:t>individual executives, and the relation of that position to other positions in the Company and the external benchmark data for similar positions at peer companies. Each NEO’s salary and performance are reviewed</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annually as well as at the time of a promotion or other change in responsibilities.</w:t>
      </w:r>
    </w:p>
    <w:p>
      <w:pPr>
        <w:spacing w:after="0" w:line="158" w:lineRule="exact"/>
        <w:rPr>
          <w:sz w:val="20"/>
          <w:szCs w:val="20"/>
          <w:color w:val="auto"/>
        </w:rPr>
      </w:pPr>
    </w:p>
    <w:tbl>
      <w:tblPr>
        <w:tblLayout w:type="fixed"/>
        <w:tblInd w:w="2000" w:type="dxa"/>
        <w:tblCellMar>
          <w:top w:w="0" w:type="dxa"/>
          <w:left w:w="0" w:type="dxa"/>
          <w:bottom w:w="0" w:type="dxa"/>
          <w:right w:w="0" w:type="dxa"/>
        </w:tblCellMar>
      </w:tblPr>
      <w:tr>
        <w:trPr>
          <w:trHeight w:val="215"/>
        </w:trPr>
        <w:tc>
          <w:tcPr>
            <w:tcW w:w="3040" w:type="dxa"/>
            <w:vAlign w:val="bottom"/>
            <w:shd w:val="clear" w:color="auto" w:fill="62259D"/>
          </w:tcPr>
          <w:p>
            <w:pPr>
              <w:spacing w:after="0"/>
              <w:rPr>
                <w:sz w:val="18"/>
                <w:szCs w:val="18"/>
                <w:color w:val="auto"/>
              </w:rPr>
            </w:pPr>
          </w:p>
        </w:tc>
        <w:tc>
          <w:tcPr>
            <w:tcW w:w="1060" w:type="dxa"/>
            <w:vAlign w:val="bottom"/>
            <w:shd w:val="clear" w:color="auto" w:fill="62259D"/>
          </w:tcPr>
          <w:p>
            <w:pPr>
              <w:spacing w:after="0"/>
              <w:rPr>
                <w:sz w:val="18"/>
                <w:szCs w:val="18"/>
                <w:color w:val="auto"/>
              </w:rPr>
            </w:pPr>
          </w:p>
        </w:tc>
        <w:tc>
          <w:tcPr>
            <w:tcW w:w="2600" w:type="dxa"/>
            <w:vAlign w:val="bottom"/>
            <w:gridSpan w:val="2"/>
            <w:shd w:val="clear" w:color="auto" w:fill="62259D"/>
          </w:tcPr>
          <w:p>
            <w:pPr>
              <w:jc w:val="right"/>
              <w:ind w:right="399"/>
              <w:spacing w:after="0"/>
              <w:rPr>
                <w:sz w:val="20"/>
                <w:szCs w:val="20"/>
                <w:color w:val="auto"/>
              </w:rPr>
            </w:pPr>
            <w:r>
              <w:rPr>
                <w:rFonts w:ascii="Arial" w:cs="Arial" w:eastAsia="Arial" w:hAnsi="Arial"/>
                <w:sz w:val="16"/>
                <w:szCs w:val="16"/>
                <w:b w:val="1"/>
                <w:bCs w:val="1"/>
                <w:color w:val="FEFEFE"/>
              </w:rPr>
              <w:t>2024 Annual Base Salary</w:t>
            </w:r>
          </w:p>
        </w:tc>
      </w:tr>
      <w:tr>
        <w:trPr>
          <w:trHeight w:val="230"/>
        </w:trPr>
        <w:tc>
          <w:tcPr>
            <w:tcW w:w="3040" w:type="dxa"/>
            <w:vAlign w:val="bottom"/>
            <w:shd w:val="clear" w:color="auto" w:fill="62259D"/>
          </w:tcPr>
          <w:p>
            <w:pPr>
              <w:spacing w:after="0"/>
              <w:rPr>
                <w:sz w:val="20"/>
                <w:szCs w:val="20"/>
                <w:color w:val="auto"/>
              </w:rPr>
            </w:pPr>
            <w:r>
              <w:rPr>
                <w:rFonts w:ascii="Arial" w:cs="Arial" w:eastAsia="Arial" w:hAnsi="Arial"/>
                <w:sz w:val="16"/>
                <w:szCs w:val="16"/>
                <w:b w:val="1"/>
                <w:bCs w:val="1"/>
                <w:color w:val="FEFEFE"/>
              </w:rPr>
              <w:t>​ Named Executive Officer</w:t>
            </w:r>
          </w:p>
        </w:tc>
        <w:tc>
          <w:tcPr>
            <w:tcW w:w="1060" w:type="dxa"/>
            <w:vAlign w:val="bottom"/>
            <w:shd w:val="clear" w:color="auto" w:fill="62259D"/>
          </w:tcPr>
          <w:p>
            <w:pPr>
              <w:ind w:left="860"/>
              <w:spacing w:after="0"/>
              <w:rPr>
                <w:sz w:val="20"/>
                <w:szCs w:val="20"/>
                <w:color w:val="auto"/>
              </w:rPr>
            </w:pPr>
            <w:r>
              <w:rPr>
                <w:rFonts w:ascii="Arial" w:cs="Arial" w:eastAsia="Arial" w:hAnsi="Arial"/>
                <w:sz w:val="16"/>
                <w:szCs w:val="16"/>
                <w:b w:val="1"/>
                <w:bCs w:val="1"/>
                <w:color w:val="FEFEFE"/>
              </w:rPr>
              <w:t>​ ​</w:t>
            </w:r>
          </w:p>
        </w:tc>
        <w:tc>
          <w:tcPr>
            <w:tcW w:w="1820" w:type="dxa"/>
            <w:vAlign w:val="bottom"/>
            <w:shd w:val="clear" w:color="auto" w:fill="62259D"/>
          </w:tcPr>
          <w:p>
            <w:pPr>
              <w:ind w:left="1000"/>
              <w:spacing w:after="0"/>
              <w:rPr>
                <w:sz w:val="20"/>
                <w:szCs w:val="20"/>
                <w:color w:val="auto"/>
              </w:rPr>
            </w:pPr>
            <w:r>
              <w:rPr>
                <w:rFonts w:ascii="Arial" w:cs="Arial" w:eastAsia="Arial" w:hAnsi="Arial"/>
                <w:sz w:val="16"/>
                <w:szCs w:val="16"/>
                <w:b w:val="1"/>
                <w:bCs w:val="1"/>
                <w:color w:val="FEFEFE"/>
              </w:rPr>
              <w:t>($)</w:t>
            </w:r>
          </w:p>
        </w:tc>
        <w:tc>
          <w:tcPr>
            <w:tcW w:w="780" w:type="dxa"/>
            <w:vAlign w:val="bottom"/>
            <w:shd w:val="clear" w:color="auto" w:fill="62259D"/>
          </w:tcPr>
          <w:p>
            <w:pPr>
              <w:jc w:val="right"/>
              <w:ind w:right="299"/>
              <w:spacing w:after="0"/>
              <w:rPr>
                <w:sz w:val="20"/>
                <w:szCs w:val="20"/>
                <w:color w:val="auto"/>
              </w:rPr>
            </w:pPr>
            <w:r>
              <w:rPr>
                <w:rFonts w:ascii="Arial" w:cs="Arial" w:eastAsia="Arial" w:hAnsi="Arial"/>
                <w:sz w:val="16"/>
                <w:szCs w:val="16"/>
                <w:b w:val="1"/>
                <w:bCs w:val="1"/>
                <w:color w:val="FEFEFE"/>
              </w:rPr>
              <w:t>​</w:t>
            </w:r>
          </w:p>
        </w:tc>
      </w:tr>
      <w:tr>
        <w:trPr>
          <w:trHeight w:val="257"/>
        </w:trPr>
        <w:tc>
          <w:tcPr>
            <w:tcW w:w="3040" w:type="dxa"/>
            <w:vAlign w:val="bottom"/>
            <w:tcBorders>
              <w:bottom w:val="single" w:sz="8" w:color="E7417A"/>
            </w:tcBorders>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Bruce McClelland</w:t>
            </w:r>
          </w:p>
        </w:tc>
        <w:tc>
          <w:tcPr>
            <w:tcW w:w="1060" w:type="dxa"/>
            <w:vAlign w:val="bottom"/>
            <w:tcBorders>
              <w:bottom w:val="single" w:sz="8" w:color="E7417A"/>
            </w:tcBorders>
          </w:tcPr>
          <w:p>
            <w:pPr>
              <w:ind w:left="860"/>
              <w:spacing w:after="0"/>
              <w:rPr>
                <w:sz w:val="20"/>
                <w:szCs w:val="20"/>
                <w:color w:val="auto"/>
              </w:rPr>
            </w:pPr>
            <w:r>
              <w:rPr>
                <w:rFonts w:ascii="Arial" w:cs="Arial" w:eastAsia="Arial" w:hAnsi="Arial"/>
                <w:sz w:val="16"/>
                <w:szCs w:val="16"/>
                <w:color w:val="auto"/>
              </w:rPr>
              <w:t>​ ​</w:t>
            </w:r>
          </w:p>
        </w:tc>
        <w:tc>
          <w:tcPr>
            <w:tcW w:w="1820" w:type="dxa"/>
            <w:vAlign w:val="bottom"/>
            <w:tcBorders>
              <w:bottom w:val="single" w:sz="8" w:color="E7417A"/>
            </w:tcBorders>
          </w:tcPr>
          <w:p>
            <w:pPr>
              <w:ind w:left="7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​750,000</w:t>
            </w:r>
          </w:p>
        </w:tc>
        <w:tc>
          <w:tcPr>
            <w:tcW w:w="78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50"/>
        </w:trPr>
        <w:tc>
          <w:tcPr>
            <w:tcW w:w="304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John Townsend</w:t>
            </w:r>
          </w:p>
        </w:tc>
        <w:tc>
          <w:tcPr>
            <w:tcW w:w="1060" w:type="dxa"/>
            <w:vAlign w:val="bottom"/>
            <w:tcBorders>
              <w:bottom w:val="single" w:sz="8" w:color="E7417A"/>
            </w:tcBorders>
          </w:tcPr>
          <w:p>
            <w:pPr>
              <w:ind w:left="860"/>
              <w:spacing w:after="0"/>
              <w:rPr>
                <w:sz w:val="20"/>
                <w:szCs w:val="20"/>
                <w:color w:val="auto"/>
              </w:rPr>
            </w:pPr>
            <w:r>
              <w:rPr>
                <w:rFonts w:ascii="Arial" w:cs="Arial" w:eastAsia="Arial" w:hAnsi="Arial"/>
                <w:sz w:val="16"/>
                <w:szCs w:val="16"/>
                <w:color w:val="auto"/>
              </w:rPr>
              <w:t>​ ​</w:t>
            </w:r>
          </w:p>
        </w:tc>
        <w:tc>
          <w:tcPr>
            <w:tcW w:w="1820" w:type="dxa"/>
            <w:vAlign w:val="bottom"/>
            <w:tcBorders>
              <w:bottom w:val="single" w:sz="8" w:color="E7417A"/>
            </w:tcBorders>
          </w:tcPr>
          <w:p>
            <w:pPr>
              <w:ind w:left="7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​500,000</w:t>
            </w:r>
          </w:p>
        </w:tc>
        <w:tc>
          <w:tcPr>
            <w:tcW w:w="78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50"/>
        </w:trPr>
        <w:tc>
          <w:tcPr>
            <w:tcW w:w="304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Sam Bucci</w:t>
            </w:r>
          </w:p>
        </w:tc>
        <w:tc>
          <w:tcPr>
            <w:tcW w:w="1060" w:type="dxa"/>
            <w:vAlign w:val="bottom"/>
            <w:tcBorders>
              <w:bottom w:val="single" w:sz="8" w:color="E7417A"/>
            </w:tcBorders>
          </w:tcPr>
          <w:p>
            <w:pPr>
              <w:ind w:left="860"/>
              <w:spacing w:after="0"/>
              <w:rPr>
                <w:sz w:val="20"/>
                <w:szCs w:val="20"/>
                <w:color w:val="auto"/>
              </w:rPr>
            </w:pPr>
            <w:r>
              <w:rPr>
                <w:rFonts w:ascii="Arial" w:cs="Arial" w:eastAsia="Arial" w:hAnsi="Arial"/>
                <w:sz w:val="16"/>
                <w:szCs w:val="16"/>
                <w:color w:val="auto"/>
              </w:rPr>
              <w:t>​ ​</w:t>
            </w:r>
          </w:p>
        </w:tc>
        <w:tc>
          <w:tcPr>
            <w:tcW w:w="1820" w:type="dxa"/>
            <w:vAlign w:val="bottom"/>
            <w:tcBorders>
              <w:bottom w:val="single" w:sz="8" w:color="E7417A"/>
            </w:tcBorders>
          </w:tcPr>
          <w:p>
            <w:pPr>
              <w:ind w:left="7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​458,850</w:t>
            </w:r>
            <w:r>
              <w:rPr>
                <w:rFonts w:ascii="Arial" w:cs="Arial" w:eastAsia="Arial" w:hAnsi="Arial"/>
                <w:sz w:val="17"/>
                <w:szCs w:val="17"/>
                <w:color w:val="auto"/>
                <w:vertAlign w:val="superscript"/>
              </w:rPr>
              <w:t>(1)</w:t>
            </w:r>
          </w:p>
        </w:tc>
        <w:tc>
          <w:tcPr>
            <w:tcW w:w="78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50"/>
        </w:trPr>
        <w:tc>
          <w:tcPr>
            <w:tcW w:w="304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Patrick Macken</w:t>
            </w:r>
          </w:p>
        </w:tc>
        <w:tc>
          <w:tcPr>
            <w:tcW w:w="1060" w:type="dxa"/>
            <w:vAlign w:val="bottom"/>
            <w:tcBorders>
              <w:bottom w:val="single" w:sz="8" w:color="E7417A"/>
            </w:tcBorders>
          </w:tcPr>
          <w:p>
            <w:pPr>
              <w:ind w:left="860"/>
              <w:spacing w:after="0"/>
              <w:rPr>
                <w:sz w:val="20"/>
                <w:szCs w:val="20"/>
                <w:color w:val="auto"/>
              </w:rPr>
            </w:pPr>
            <w:r>
              <w:rPr>
                <w:rFonts w:ascii="Arial" w:cs="Arial" w:eastAsia="Arial" w:hAnsi="Arial"/>
                <w:sz w:val="16"/>
                <w:szCs w:val="16"/>
                <w:color w:val="auto"/>
              </w:rPr>
              <w:t>​ ​</w:t>
            </w:r>
          </w:p>
        </w:tc>
        <w:tc>
          <w:tcPr>
            <w:tcW w:w="1820" w:type="dxa"/>
            <w:vAlign w:val="bottom"/>
            <w:tcBorders>
              <w:bottom w:val="single" w:sz="8" w:color="E7417A"/>
            </w:tcBorders>
          </w:tcPr>
          <w:p>
            <w:pPr>
              <w:ind w:left="7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​478,500</w:t>
            </w:r>
            <w:r>
              <w:rPr>
                <w:rFonts w:ascii="Arial" w:cs="Arial" w:eastAsia="Arial" w:hAnsi="Arial"/>
                <w:sz w:val="17"/>
                <w:szCs w:val="17"/>
                <w:color w:val="auto"/>
                <w:vertAlign w:val="superscript"/>
              </w:rPr>
              <w:t>(2)</w:t>
            </w:r>
          </w:p>
        </w:tc>
        <w:tc>
          <w:tcPr>
            <w:tcW w:w="78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50"/>
        </w:trPr>
        <w:tc>
          <w:tcPr>
            <w:tcW w:w="304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Dan Redington</w:t>
            </w:r>
          </w:p>
        </w:tc>
        <w:tc>
          <w:tcPr>
            <w:tcW w:w="1060" w:type="dxa"/>
            <w:vAlign w:val="bottom"/>
            <w:tcBorders>
              <w:bottom w:val="single" w:sz="8" w:color="E7417A"/>
            </w:tcBorders>
          </w:tcPr>
          <w:p>
            <w:pPr>
              <w:ind w:left="860"/>
              <w:spacing w:after="0"/>
              <w:rPr>
                <w:sz w:val="20"/>
                <w:szCs w:val="20"/>
                <w:color w:val="auto"/>
              </w:rPr>
            </w:pPr>
            <w:r>
              <w:rPr>
                <w:rFonts w:ascii="Arial" w:cs="Arial" w:eastAsia="Arial" w:hAnsi="Arial"/>
                <w:sz w:val="16"/>
                <w:szCs w:val="16"/>
                <w:color w:val="auto"/>
              </w:rPr>
              <w:t>​ ​</w:t>
            </w:r>
          </w:p>
        </w:tc>
        <w:tc>
          <w:tcPr>
            <w:tcW w:w="1820" w:type="dxa"/>
            <w:vAlign w:val="bottom"/>
            <w:tcBorders>
              <w:bottom w:val="single" w:sz="8" w:color="E7417A"/>
            </w:tcBorders>
          </w:tcPr>
          <w:p>
            <w:pPr>
              <w:ind w:left="7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​405,000</w:t>
            </w:r>
          </w:p>
        </w:tc>
        <w:tc>
          <w:tcPr>
            <w:tcW w:w="78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50"/>
        </w:trPr>
        <w:tc>
          <w:tcPr>
            <w:tcW w:w="3040" w:type="dxa"/>
            <w:vAlign w:val="bottom"/>
            <w:tcBorders>
              <w:bottom w:val="single" w:sz="8" w:color="62259D"/>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Miguel Lopez</w:t>
            </w:r>
          </w:p>
        </w:tc>
        <w:tc>
          <w:tcPr>
            <w:tcW w:w="1060" w:type="dxa"/>
            <w:vAlign w:val="bottom"/>
            <w:tcBorders>
              <w:bottom w:val="single" w:sz="8" w:color="62259D"/>
            </w:tcBorders>
          </w:tcPr>
          <w:p>
            <w:pPr>
              <w:ind w:left="860"/>
              <w:spacing w:after="0"/>
              <w:rPr>
                <w:sz w:val="20"/>
                <w:szCs w:val="20"/>
                <w:color w:val="auto"/>
              </w:rPr>
            </w:pPr>
            <w:r>
              <w:rPr>
                <w:rFonts w:ascii="Arial" w:cs="Arial" w:eastAsia="Arial" w:hAnsi="Arial"/>
                <w:sz w:val="16"/>
                <w:szCs w:val="16"/>
                <w:color w:val="auto"/>
              </w:rPr>
              <w:t>​ ​</w:t>
            </w:r>
          </w:p>
        </w:tc>
        <w:tc>
          <w:tcPr>
            <w:tcW w:w="1820" w:type="dxa"/>
            <w:vAlign w:val="bottom"/>
            <w:tcBorders>
              <w:bottom w:val="single" w:sz="8" w:color="62259D"/>
            </w:tcBorders>
          </w:tcPr>
          <w:p>
            <w:pPr>
              <w:ind w:left="7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​525,000</w:t>
            </w:r>
            <w:r>
              <w:rPr>
                <w:rFonts w:ascii="Arial" w:cs="Arial" w:eastAsia="Arial" w:hAnsi="Arial"/>
                <w:sz w:val="17"/>
                <w:szCs w:val="17"/>
                <w:color w:val="auto"/>
                <w:vertAlign w:val="superscript"/>
              </w:rPr>
              <w:t>(3)</w:t>
            </w:r>
          </w:p>
        </w:tc>
        <w:tc>
          <w:tcPr>
            <w:tcW w:w="780" w:type="dxa"/>
            <w:vAlign w:val="bottom"/>
            <w:tcBorders>
              <w:bottom w:val="single" w:sz="8" w:color="62259D"/>
            </w:tcBorders>
          </w:tcPr>
          <w:p>
            <w:pPr>
              <w:jc w:val="right"/>
              <w:ind w:right="299"/>
              <w:spacing w:after="0"/>
              <w:rPr>
                <w:sz w:val="20"/>
                <w:szCs w:val="20"/>
                <w:color w:val="auto"/>
              </w:rPr>
            </w:pPr>
            <w:r>
              <w:rPr>
                <w:rFonts w:ascii="Arial" w:cs="Arial" w:eastAsia="Arial" w:hAnsi="Arial"/>
                <w:sz w:val="16"/>
                <w:szCs w:val="16"/>
                <w:color w:val="auto"/>
              </w:rPr>
              <w:t>​ ​</w:t>
            </w:r>
          </w:p>
        </w:tc>
      </w:tr>
    </w:tbl>
    <w:p>
      <w:pPr>
        <w:spacing w:after="0" w:line="188" w:lineRule="exact"/>
        <w:rPr>
          <w:sz w:val="20"/>
          <w:szCs w:val="20"/>
          <w:color w:val="auto"/>
        </w:rPr>
      </w:pPr>
    </w:p>
    <w:p>
      <w:pPr>
        <w:ind w:left="2480" w:right="439" w:hanging="368"/>
        <w:spacing w:after="0" w:line="286" w:lineRule="auto"/>
        <w:tabs>
          <w:tab w:leader="none" w:pos="24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Mr. Bucci’s compensation is paid in Canadian dollars and all amounts have been converted to U.S. dollars.</w:t>
      </w:r>
    </w:p>
    <w:p>
      <w:pPr>
        <w:spacing w:after="0" w:line="7" w:lineRule="exact"/>
        <w:rPr>
          <w:rFonts w:ascii="Arial" w:cs="Arial" w:eastAsia="Arial" w:hAnsi="Arial"/>
          <w:sz w:val="16"/>
          <w:szCs w:val="16"/>
          <w:color w:val="auto"/>
        </w:rPr>
      </w:pPr>
    </w:p>
    <w:p>
      <w:pPr>
        <w:ind w:left="2480" w:hanging="368"/>
        <w:spacing w:after="0"/>
        <w:tabs>
          <w:tab w:leader="none" w:pos="24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Mr. Macken’s base salary was adjusted effective July 1, 2024.</w:t>
      </w:r>
    </w:p>
    <w:p>
      <w:pPr>
        <w:spacing w:after="0" w:line="59" w:lineRule="exact"/>
        <w:rPr>
          <w:rFonts w:ascii="Arial" w:cs="Arial" w:eastAsia="Arial" w:hAnsi="Arial"/>
          <w:sz w:val="16"/>
          <w:szCs w:val="16"/>
          <w:color w:val="auto"/>
        </w:rPr>
      </w:pPr>
    </w:p>
    <w:p>
      <w:pPr>
        <w:ind w:left="2480" w:hanging="368"/>
        <w:spacing w:after="0"/>
        <w:tabs>
          <w:tab w:leader="none" w:pos="24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Mr. Lopez retired from the Company effective as of November 1, 2024.</w:t>
      </w:r>
    </w:p>
    <w:p>
      <w:pPr>
        <w:spacing w:after="0" w:line="122" w:lineRule="exact"/>
        <w:rPr>
          <w:sz w:val="20"/>
          <w:szCs w:val="20"/>
          <w:color w:val="auto"/>
        </w:rPr>
      </w:pPr>
    </w:p>
    <w:p>
      <w:pPr>
        <w:ind w:left="920" w:right="239"/>
        <w:spacing w:after="0" w:line="237" w:lineRule="auto"/>
        <w:rPr>
          <w:sz w:val="20"/>
          <w:szCs w:val="20"/>
          <w:color w:val="auto"/>
        </w:rPr>
      </w:pPr>
      <w:r>
        <w:rPr>
          <w:rFonts w:ascii="Arial" w:cs="Arial" w:eastAsia="Arial" w:hAnsi="Arial"/>
          <w:sz w:val="18"/>
          <w:szCs w:val="18"/>
          <w:color w:val="auto"/>
        </w:rPr>
        <w:t>Mr. Macken’s annual base salary was increased from $435,000 to $478,500 in 2024 in recognition of his further expanded role which includes oversight of the Company’s legal, real estate and facilities group, as</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well as the Company’s data privacy and trade compliance functions.</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Annual Bonuses</w:t>
      </w:r>
    </w:p>
    <w:p>
      <w:pPr>
        <w:spacing w:after="0" w:line="121" w:lineRule="exact"/>
        <w:rPr>
          <w:sz w:val="20"/>
          <w:szCs w:val="20"/>
          <w:color w:val="auto"/>
        </w:rPr>
      </w:pPr>
    </w:p>
    <w:p>
      <w:pPr>
        <w:ind w:left="920" w:right="179"/>
        <w:spacing w:after="0" w:line="256" w:lineRule="auto"/>
        <w:rPr>
          <w:sz w:val="20"/>
          <w:szCs w:val="20"/>
          <w:color w:val="auto"/>
        </w:rPr>
      </w:pPr>
      <w:r>
        <w:rPr>
          <w:rFonts w:ascii="Arial" w:cs="Arial" w:eastAsia="Arial" w:hAnsi="Arial"/>
          <w:sz w:val="18"/>
          <w:szCs w:val="18"/>
          <w:color w:val="auto"/>
        </w:rPr>
        <w:t>Annual incentives provide NEOs with the opportunity to earn additional compensation beyond base salary. The eligibility for an annual bonus creates an incentive to achieve desired near-term</w:t>
      </w:r>
    </w:p>
    <w:p>
      <w:pPr>
        <w:spacing w:after="0" w:line="166"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right="159"/>
        <w:spacing w:after="0" w:line="238" w:lineRule="auto"/>
        <w:rPr>
          <w:sz w:val="20"/>
          <w:szCs w:val="20"/>
          <w:color w:val="auto"/>
        </w:rPr>
      </w:pPr>
      <w:r>
        <w:rPr>
          <w:rFonts w:ascii="Arial" w:cs="Arial" w:eastAsia="Arial" w:hAnsi="Arial"/>
          <w:sz w:val="18"/>
          <w:szCs w:val="18"/>
          <w:color w:val="auto"/>
        </w:rPr>
        <w:t>corporate goals that are in furtherance of the Company’s long-term objectives. The compensation program establishes target bonuses for each NEO. Bonuses are expected to represent a substantial part of total compensation for our NEOs, if earned. The 2024 target bonus for each NEO is set forth below.</w:t>
      </w:r>
    </w:p>
    <w:p>
      <w:pPr>
        <w:spacing w:after="0" w:line="132" w:lineRule="exact"/>
        <w:rPr>
          <w:sz w:val="20"/>
          <w:szCs w:val="20"/>
          <w:color w:val="auto"/>
        </w:rPr>
      </w:pPr>
    </w:p>
    <w:tbl>
      <w:tblPr>
        <w:tblLayout w:type="fixed"/>
        <w:tblInd w:w="2000" w:type="dxa"/>
        <w:tblCellMar>
          <w:top w:w="0" w:type="dxa"/>
          <w:left w:w="0" w:type="dxa"/>
          <w:bottom w:w="0" w:type="dxa"/>
          <w:right w:w="0" w:type="dxa"/>
        </w:tblCellMar>
      </w:tblPr>
      <w:tr>
        <w:trPr>
          <w:trHeight w:val="215"/>
        </w:trPr>
        <w:tc>
          <w:tcPr>
            <w:tcW w:w="3220" w:type="dxa"/>
            <w:vAlign w:val="bottom"/>
            <w:shd w:val="clear" w:color="auto" w:fill="62259D"/>
          </w:tcPr>
          <w:p>
            <w:pPr>
              <w:spacing w:after="0"/>
              <w:rPr>
                <w:sz w:val="18"/>
                <w:szCs w:val="18"/>
                <w:color w:val="auto"/>
              </w:rPr>
            </w:pPr>
          </w:p>
        </w:tc>
        <w:tc>
          <w:tcPr>
            <w:tcW w:w="1260" w:type="dxa"/>
            <w:vAlign w:val="bottom"/>
            <w:shd w:val="clear" w:color="auto" w:fill="62259D"/>
          </w:tcPr>
          <w:p>
            <w:pPr>
              <w:spacing w:after="0"/>
              <w:rPr>
                <w:sz w:val="18"/>
                <w:szCs w:val="18"/>
                <w:color w:val="auto"/>
              </w:rPr>
            </w:pPr>
          </w:p>
        </w:tc>
        <w:tc>
          <w:tcPr>
            <w:tcW w:w="1700" w:type="dxa"/>
            <w:vAlign w:val="bottom"/>
            <w:shd w:val="clear" w:color="auto" w:fill="62259D"/>
          </w:tcPr>
          <w:p>
            <w:pPr>
              <w:ind w:left="80"/>
              <w:spacing w:after="0"/>
              <w:rPr>
                <w:sz w:val="20"/>
                <w:szCs w:val="20"/>
                <w:color w:val="auto"/>
              </w:rPr>
            </w:pPr>
            <w:r>
              <w:rPr>
                <w:rFonts w:ascii="Arial" w:cs="Arial" w:eastAsia="Arial" w:hAnsi="Arial"/>
                <w:sz w:val="16"/>
                <w:szCs w:val="16"/>
                <w:b w:val="1"/>
                <w:bCs w:val="1"/>
                <w:color w:val="FEFEFE"/>
              </w:rPr>
              <w:t>2024 Target Bonus</w:t>
            </w:r>
          </w:p>
        </w:tc>
        <w:tc>
          <w:tcPr>
            <w:tcW w:w="520" w:type="dxa"/>
            <w:vAlign w:val="bottom"/>
            <w:shd w:val="clear" w:color="auto" w:fill="62259D"/>
          </w:tcPr>
          <w:p>
            <w:pPr>
              <w:spacing w:after="0"/>
              <w:rPr>
                <w:sz w:val="18"/>
                <w:szCs w:val="18"/>
                <w:color w:val="auto"/>
              </w:rPr>
            </w:pPr>
          </w:p>
        </w:tc>
      </w:tr>
      <w:tr>
        <w:trPr>
          <w:trHeight w:val="230"/>
        </w:trPr>
        <w:tc>
          <w:tcPr>
            <w:tcW w:w="3220" w:type="dxa"/>
            <w:vAlign w:val="bottom"/>
            <w:shd w:val="clear" w:color="auto" w:fill="62259D"/>
          </w:tcPr>
          <w:p>
            <w:pPr>
              <w:spacing w:after="0"/>
              <w:rPr>
                <w:sz w:val="20"/>
                <w:szCs w:val="20"/>
                <w:color w:val="auto"/>
              </w:rPr>
            </w:pPr>
            <w:r>
              <w:rPr>
                <w:rFonts w:ascii="Arial" w:cs="Arial" w:eastAsia="Arial" w:hAnsi="Arial"/>
                <w:sz w:val="16"/>
                <w:szCs w:val="16"/>
                <w:b w:val="1"/>
                <w:bCs w:val="1"/>
                <w:color w:val="FEFEFE"/>
              </w:rPr>
              <w:t>​ Named Executive Officer</w:t>
            </w:r>
          </w:p>
        </w:tc>
        <w:tc>
          <w:tcPr>
            <w:tcW w:w="3480" w:type="dxa"/>
            <w:vAlign w:val="bottom"/>
            <w:gridSpan w:val="3"/>
            <w:shd w:val="clear" w:color="auto" w:fill="62259D"/>
          </w:tcPr>
          <w:p>
            <w:pPr>
              <w:ind w:left="1040"/>
              <w:spacing w:after="0"/>
              <w:rPr>
                <w:sz w:val="20"/>
                <w:szCs w:val="20"/>
                <w:color w:val="auto"/>
              </w:rPr>
            </w:pPr>
            <w:r>
              <w:rPr>
                <w:rFonts w:ascii="Arial" w:cs="Arial" w:eastAsia="Arial" w:hAnsi="Arial"/>
                <w:sz w:val="16"/>
                <w:szCs w:val="16"/>
                <w:b w:val="1"/>
                <w:bCs w:val="1"/>
                <w:color w:val="FEFEFE"/>
              </w:rPr>
              <w:t>​ ​ (as % of Base Salary)​</w:t>
            </w:r>
          </w:p>
        </w:tc>
      </w:tr>
      <w:tr>
        <w:trPr>
          <w:trHeight w:val="257"/>
        </w:trPr>
        <w:tc>
          <w:tcPr>
            <w:tcW w:w="3220" w:type="dxa"/>
            <w:vAlign w:val="bottom"/>
            <w:tcBorders>
              <w:bottom w:val="single" w:sz="8" w:color="E7417A"/>
            </w:tcBorders>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Bruce McClelland</w:t>
            </w:r>
          </w:p>
        </w:tc>
        <w:tc>
          <w:tcPr>
            <w:tcW w:w="1260" w:type="dxa"/>
            <w:vAlign w:val="bottom"/>
            <w:tcBorders>
              <w:bottom w:val="single" w:sz="8" w:color="E7417A"/>
            </w:tcBorders>
          </w:tcPr>
          <w:p>
            <w:pPr>
              <w:ind w:left="1040"/>
              <w:spacing w:after="0"/>
              <w:rPr>
                <w:sz w:val="20"/>
                <w:szCs w:val="20"/>
                <w:color w:val="auto"/>
              </w:rPr>
            </w:pPr>
            <w:r>
              <w:rPr>
                <w:rFonts w:ascii="Arial" w:cs="Arial" w:eastAsia="Arial" w:hAnsi="Arial"/>
                <w:sz w:val="16"/>
                <w:szCs w:val="16"/>
                <w:color w:val="auto"/>
              </w:rPr>
              <w:t>​ ​</w:t>
            </w:r>
          </w:p>
        </w:tc>
        <w:tc>
          <w:tcPr>
            <w:tcW w:w="1700" w:type="dxa"/>
            <w:vAlign w:val="bottom"/>
            <w:tcBorders>
              <w:bottom w:val="single" w:sz="8" w:color="E7417A"/>
            </w:tcBorders>
          </w:tcPr>
          <w:p>
            <w:pPr>
              <w:ind w:left="70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​100%</w:t>
            </w:r>
          </w:p>
        </w:tc>
        <w:tc>
          <w:tcPr>
            <w:tcW w:w="52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r>
      <w:tr>
        <w:trPr>
          <w:trHeight w:val="250"/>
        </w:trPr>
        <w:tc>
          <w:tcPr>
            <w:tcW w:w="322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John Townsend</w:t>
            </w:r>
          </w:p>
        </w:tc>
        <w:tc>
          <w:tcPr>
            <w:tcW w:w="1260" w:type="dxa"/>
            <w:vAlign w:val="bottom"/>
            <w:tcBorders>
              <w:bottom w:val="single" w:sz="8" w:color="E7417A"/>
            </w:tcBorders>
          </w:tcPr>
          <w:p>
            <w:pPr>
              <w:ind w:left="1040"/>
              <w:spacing w:after="0"/>
              <w:rPr>
                <w:sz w:val="20"/>
                <w:szCs w:val="20"/>
                <w:color w:val="auto"/>
              </w:rPr>
            </w:pPr>
            <w:r>
              <w:rPr>
                <w:rFonts w:ascii="Arial" w:cs="Arial" w:eastAsia="Arial" w:hAnsi="Arial"/>
                <w:sz w:val="16"/>
                <w:szCs w:val="16"/>
                <w:color w:val="auto"/>
              </w:rPr>
              <w:t>​ ​</w:t>
            </w:r>
          </w:p>
        </w:tc>
        <w:tc>
          <w:tcPr>
            <w:tcW w:w="1700" w:type="dxa"/>
            <w:vAlign w:val="bottom"/>
            <w:tcBorders>
              <w:bottom w:val="single" w:sz="8" w:color="E7417A"/>
            </w:tcBorders>
          </w:tcPr>
          <w:p>
            <w:pPr>
              <w:ind w:left="7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75%</w:t>
            </w:r>
          </w:p>
        </w:tc>
        <w:tc>
          <w:tcPr>
            <w:tcW w:w="52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r>
      <w:tr>
        <w:trPr>
          <w:trHeight w:val="250"/>
        </w:trPr>
        <w:tc>
          <w:tcPr>
            <w:tcW w:w="322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Sam Bucci</w:t>
            </w:r>
          </w:p>
        </w:tc>
        <w:tc>
          <w:tcPr>
            <w:tcW w:w="1260" w:type="dxa"/>
            <w:vAlign w:val="bottom"/>
            <w:tcBorders>
              <w:bottom w:val="single" w:sz="8" w:color="E7417A"/>
            </w:tcBorders>
          </w:tcPr>
          <w:p>
            <w:pPr>
              <w:ind w:left="1040"/>
              <w:spacing w:after="0"/>
              <w:rPr>
                <w:sz w:val="20"/>
                <w:szCs w:val="20"/>
                <w:color w:val="auto"/>
              </w:rPr>
            </w:pPr>
            <w:r>
              <w:rPr>
                <w:rFonts w:ascii="Arial" w:cs="Arial" w:eastAsia="Arial" w:hAnsi="Arial"/>
                <w:sz w:val="16"/>
                <w:szCs w:val="16"/>
                <w:color w:val="auto"/>
              </w:rPr>
              <w:t>​ ​</w:t>
            </w:r>
          </w:p>
        </w:tc>
        <w:tc>
          <w:tcPr>
            <w:tcW w:w="1700" w:type="dxa"/>
            <w:vAlign w:val="bottom"/>
            <w:tcBorders>
              <w:bottom w:val="single" w:sz="8" w:color="E7417A"/>
            </w:tcBorders>
          </w:tcPr>
          <w:p>
            <w:pPr>
              <w:ind w:left="7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75%</w:t>
            </w:r>
          </w:p>
        </w:tc>
        <w:tc>
          <w:tcPr>
            <w:tcW w:w="52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r>
      <w:tr>
        <w:trPr>
          <w:trHeight w:val="250"/>
        </w:trPr>
        <w:tc>
          <w:tcPr>
            <w:tcW w:w="322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Patrick Macken</w:t>
            </w:r>
          </w:p>
        </w:tc>
        <w:tc>
          <w:tcPr>
            <w:tcW w:w="1260" w:type="dxa"/>
            <w:vAlign w:val="bottom"/>
            <w:tcBorders>
              <w:bottom w:val="single" w:sz="8" w:color="E7417A"/>
            </w:tcBorders>
          </w:tcPr>
          <w:p>
            <w:pPr>
              <w:ind w:left="1040"/>
              <w:spacing w:after="0"/>
              <w:rPr>
                <w:sz w:val="20"/>
                <w:szCs w:val="20"/>
                <w:color w:val="auto"/>
              </w:rPr>
            </w:pPr>
            <w:r>
              <w:rPr>
                <w:rFonts w:ascii="Arial" w:cs="Arial" w:eastAsia="Arial" w:hAnsi="Arial"/>
                <w:sz w:val="16"/>
                <w:szCs w:val="16"/>
                <w:color w:val="auto"/>
              </w:rPr>
              <w:t>​ ​</w:t>
            </w:r>
          </w:p>
        </w:tc>
        <w:tc>
          <w:tcPr>
            <w:tcW w:w="1700" w:type="dxa"/>
            <w:vAlign w:val="bottom"/>
            <w:tcBorders>
              <w:bottom w:val="single" w:sz="8" w:color="E7417A"/>
            </w:tcBorders>
          </w:tcPr>
          <w:p>
            <w:pPr>
              <w:ind w:left="7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75%</w:t>
            </w:r>
          </w:p>
        </w:tc>
        <w:tc>
          <w:tcPr>
            <w:tcW w:w="52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r>
      <w:tr>
        <w:trPr>
          <w:trHeight w:val="250"/>
        </w:trPr>
        <w:tc>
          <w:tcPr>
            <w:tcW w:w="322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Dan Redington</w:t>
            </w:r>
          </w:p>
        </w:tc>
        <w:tc>
          <w:tcPr>
            <w:tcW w:w="1260" w:type="dxa"/>
            <w:vAlign w:val="bottom"/>
            <w:tcBorders>
              <w:bottom w:val="single" w:sz="8" w:color="E7417A"/>
            </w:tcBorders>
          </w:tcPr>
          <w:p>
            <w:pPr>
              <w:ind w:left="1040"/>
              <w:spacing w:after="0"/>
              <w:rPr>
                <w:sz w:val="20"/>
                <w:szCs w:val="20"/>
                <w:color w:val="auto"/>
              </w:rPr>
            </w:pPr>
            <w:r>
              <w:rPr>
                <w:rFonts w:ascii="Arial" w:cs="Arial" w:eastAsia="Arial" w:hAnsi="Arial"/>
                <w:sz w:val="16"/>
                <w:szCs w:val="16"/>
                <w:color w:val="auto"/>
              </w:rPr>
              <w:t>​ ​</w:t>
            </w:r>
          </w:p>
        </w:tc>
        <w:tc>
          <w:tcPr>
            <w:tcW w:w="1700" w:type="dxa"/>
            <w:vAlign w:val="bottom"/>
            <w:tcBorders>
              <w:bottom w:val="single" w:sz="8" w:color="E7417A"/>
            </w:tcBorders>
          </w:tcPr>
          <w:p>
            <w:pPr>
              <w:ind w:left="7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75%</w:t>
            </w:r>
          </w:p>
        </w:tc>
        <w:tc>
          <w:tcPr>
            <w:tcW w:w="52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r>
      <w:tr>
        <w:trPr>
          <w:trHeight w:val="250"/>
        </w:trPr>
        <w:tc>
          <w:tcPr>
            <w:tcW w:w="3220" w:type="dxa"/>
            <w:vAlign w:val="bottom"/>
            <w:tcBorders>
              <w:bottom w:val="single" w:sz="8" w:color="62259D"/>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Miguel Lopez</w:t>
            </w:r>
          </w:p>
        </w:tc>
        <w:tc>
          <w:tcPr>
            <w:tcW w:w="1260" w:type="dxa"/>
            <w:vAlign w:val="bottom"/>
            <w:tcBorders>
              <w:bottom w:val="single" w:sz="8" w:color="62259D"/>
            </w:tcBorders>
          </w:tcPr>
          <w:p>
            <w:pPr>
              <w:ind w:left="1040"/>
              <w:spacing w:after="0"/>
              <w:rPr>
                <w:sz w:val="20"/>
                <w:szCs w:val="20"/>
                <w:color w:val="auto"/>
              </w:rPr>
            </w:pPr>
            <w:r>
              <w:rPr>
                <w:rFonts w:ascii="Arial" w:cs="Arial" w:eastAsia="Arial" w:hAnsi="Arial"/>
                <w:sz w:val="16"/>
                <w:szCs w:val="16"/>
                <w:color w:val="auto"/>
              </w:rPr>
              <w:t>​ ​</w:t>
            </w:r>
          </w:p>
        </w:tc>
        <w:tc>
          <w:tcPr>
            <w:tcW w:w="1700" w:type="dxa"/>
            <w:vAlign w:val="bottom"/>
            <w:tcBorders>
              <w:bottom w:val="single" w:sz="8" w:color="62259D"/>
            </w:tcBorders>
          </w:tcPr>
          <w:p>
            <w:pPr>
              <w:ind w:left="7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75%</w:t>
            </w:r>
          </w:p>
        </w:tc>
        <w:tc>
          <w:tcPr>
            <w:tcW w:w="520" w:type="dxa"/>
            <w:vAlign w:val="bottom"/>
            <w:tcBorders>
              <w:bottom w:val="single" w:sz="8" w:color="62259D"/>
            </w:tcBorders>
          </w:tcPr>
          <w:p>
            <w:pPr>
              <w:ind w:left="40"/>
              <w:spacing w:after="0"/>
              <w:rPr>
                <w:sz w:val="20"/>
                <w:szCs w:val="20"/>
                <w:color w:val="auto"/>
              </w:rPr>
            </w:pPr>
            <w:r>
              <w:rPr>
                <w:rFonts w:ascii="Arial" w:cs="Arial" w:eastAsia="Arial" w:hAnsi="Arial"/>
                <w:sz w:val="16"/>
                <w:szCs w:val="16"/>
                <w:color w:val="auto"/>
              </w:rPr>
              <w:t>​​</w:t>
            </w:r>
          </w:p>
        </w:tc>
      </w:tr>
    </w:tbl>
    <w:p>
      <w:pPr>
        <w:spacing w:after="0" w:line="76" w:lineRule="exact"/>
        <w:rPr>
          <w:sz w:val="20"/>
          <w:szCs w:val="20"/>
          <w:color w:val="auto"/>
        </w:rPr>
      </w:pPr>
    </w:p>
    <w:p>
      <w:pPr>
        <w:ind w:left="920" w:right="219"/>
        <w:spacing w:after="0"/>
        <w:rPr>
          <w:sz w:val="20"/>
          <w:szCs w:val="20"/>
          <w:color w:val="auto"/>
        </w:rPr>
      </w:pPr>
      <w:r>
        <w:rPr>
          <w:rFonts w:ascii="Arial" w:cs="Arial" w:eastAsia="Arial" w:hAnsi="Arial"/>
          <w:sz w:val="18"/>
          <w:szCs w:val="18"/>
          <w:color w:val="auto"/>
        </w:rPr>
        <w:t>For 2024, the Company had one cash incentive plan for the NEOs — the Senior Management Cash Incentive Plan (the “SMCIP”). In early 2024, the Compensation Committee determined that the annual incentive under the SMCIP for each NEO would be calculated based on both the Company’s consolidated revenues (50% weighting) and Adjusted EBITDA (50% weighting) included in the 2024 operating plan adopted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197485</wp:posOffset>
            </wp:positionV>
            <wp:extent cx="5623560" cy="6946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623560" cy="694690"/>
                    </a:xfrm>
                    <a:prstGeom prst="rect">
                      <a:avLst/>
                    </a:prstGeom>
                    <a:noFill/>
                  </pic:spPr>
                </pic:pic>
              </a:graphicData>
            </a:graphic>
          </wp:anchor>
        </w:drawing>
      </w:r>
    </w:p>
    <w:p>
      <w:pPr>
        <w:spacing w:after="0" w:line="291" w:lineRule="exact"/>
        <w:rPr>
          <w:sz w:val="20"/>
          <w:szCs w:val="20"/>
          <w:color w:val="auto"/>
        </w:rPr>
      </w:pPr>
    </w:p>
    <w:tbl>
      <w:tblPr>
        <w:tblLayout w:type="fixed"/>
        <w:tblInd w:w="920" w:type="dxa"/>
        <w:tblCellMar>
          <w:top w:w="0" w:type="dxa"/>
          <w:left w:w="0" w:type="dxa"/>
          <w:bottom w:w="0" w:type="dxa"/>
          <w:right w:w="0" w:type="dxa"/>
        </w:tblCellMar>
      </w:tblPr>
      <w:tr>
        <w:trPr>
          <w:trHeight w:val="215"/>
        </w:trPr>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gridSpan w:val="6"/>
          </w:tcPr>
          <w:p>
            <w:pPr>
              <w:jc w:val="center"/>
              <w:spacing w:after="0"/>
              <w:rPr>
                <w:sz w:val="20"/>
                <w:szCs w:val="20"/>
                <w:color w:val="auto"/>
              </w:rPr>
            </w:pPr>
            <w:r>
              <w:rPr>
                <w:rFonts w:ascii="Arial" w:cs="Arial" w:eastAsia="Arial" w:hAnsi="Arial"/>
                <w:sz w:val="16"/>
                <w:szCs w:val="16"/>
                <w:b w:val="1"/>
                <w:bCs w:val="1"/>
                <w:color w:val="FEFEFE"/>
              </w:rPr>
              <w:t>Target SMCIP Bonus Metrics for NEOs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6"/>
                <w:szCs w:val="16"/>
                <w:b w:val="1"/>
                <w:bCs w:val="1"/>
                <w:color w:val="FEFEFE"/>
              </w:rPr>
              <w:t>​​</w:t>
            </w:r>
          </w:p>
        </w:tc>
        <w:tc>
          <w:tcPr>
            <w:tcW w:w="220" w:type="dxa"/>
            <w:vAlign w:val="bottom"/>
            <w:gridSpan w:val="2"/>
          </w:tcPr>
          <w:p>
            <w:pPr>
              <w:ind w:left="100"/>
              <w:spacing w:after="0"/>
              <w:rPr>
                <w:sz w:val="20"/>
                <w:szCs w:val="20"/>
                <w:color w:val="auto"/>
              </w:rPr>
            </w:pPr>
            <w:r>
              <w:rPr>
                <w:rFonts w:ascii="Arial" w:cs="Arial" w:eastAsia="Arial" w:hAnsi="Arial"/>
                <w:sz w:val="16"/>
                <w:szCs w:val="16"/>
                <w:b w:val="1"/>
                <w:bCs w:val="1"/>
                <w:color w:val="FEFEFE"/>
              </w:rPr>
              <w:t>​​</w:t>
            </w:r>
          </w:p>
        </w:tc>
        <w:tc>
          <w:tcPr>
            <w:tcW w:w="880" w:type="dxa"/>
            <w:vAlign w:val="bottom"/>
          </w:tcPr>
          <w:p>
            <w:pPr>
              <w:spacing w:after="0"/>
              <w:rPr>
                <w:sz w:val="20"/>
                <w:szCs w:val="20"/>
                <w:color w:val="auto"/>
              </w:rPr>
            </w:pPr>
          </w:p>
        </w:tc>
        <w:tc>
          <w:tcPr>
            <w:tcW w:w="1260" w:type="dxa"/>
            <w:vAlign w:val="bottom"/>
            <w:gridSpan w:val="3"/>
          </w:tcPr>
          <w:p>
            <w:pPr>
              <w:jc w:val="center"/>
              <w:ind w:left="19"/>
              <w:spacing w:after="0"/>
              <w:rPr>
                <w:sz w:val="20"/>
                <w:szCs w:val="20"/>
                <w:color w:val="auto"/>
              </w:rPr>
            </w:pPr>
            <w:r>
              <w:rPr>
                <w:rFonts w:ascii="Arial" w:cs="Arial" w:eastAsia="Arial" w:hAnsi="Arial"/>
                <w:sz w:val="16"/>
                <w:szCs w:val="16"/>
                <w:b w:val="1"/>
                <w:bCs w:val="1"/>
                <w:color w:val="FEFEFE"/>
              </w:rPr>
              <w:t>(in millions)</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FEFEFE"/>
              </w:rPr>
              <w:t>​</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FEFEFE"/>
            </w:tcBorders>
          </w:tcPr>
          <w:p>
            <w:pPr>
              <w:spacing w:after="0"/>
              <w:rPr>
                <w:sz w:val="16"/>
                <w:szCs w:val="16"/>
                <w:color w:val="auto"/>
              </w:rPr>
            </w:pPr>
          </w:p>
        </w:tc>
        <w:tc>
          <w:tcPr>
            <w:tcW w:w="880" w:type="dxa"/>
            <w:vAlign w:val="bottom"/>
            <w:tcBorders>
              <w:top w:val="single" w:sz="8" w:color="FEFEFE"/>
            </w:tcBorders>
          </w:tcPr>
          <w:p>
            <w:pPr>
              <w:jc w:val="center"/>
              <w:spacing w:after="0"/>
              <w:rPr>
                <w:sz w:val="20"/>
                <w:szCs w:val="20"/>
                <w:color w:val="auto"/>
              </w:rPr>
            </w:pPr>
            <w:r>
              <w:rPr>
                <w:rFonts w:ascii="Arial" w:cs="Arial" w:eastAsia="Arial" w:hAnsi="Arial"/>
                <w:sz w:val="16"/>
                <w:szCs w:val="16"/>
                <w:b w:val="1"/>
                <w:bCs w:val="1"/>
                <w:color w:val="FEFEFE"/>
              </w:rPr>
              <w:t>Minimum</w:t>
            </w:r>
          </w:p>
        </w:tc>
        <w:tc>
          <w:tcPr>
            <w:tcW w:w="280" w:type="dxa"/>
            <w:vAlign w:val="bottom"/>
            <w:tcBorders>
              <w:top w:val="single" w:sz="8" w:color="FEFEFE"/>
            </w:tcBorders>
          </w:tcPr>
          <w:p>
            <w:pPr>
              <w:spacing w:after="0"/>
              <w:rPr>
                <w:sz w:val="16"/>
                <w:szCs w:val="16"/>
                <w:color w:val="auto"/>
              </w:rPr>
            </w:pPr>
          </w:p>
        </w:tc>
        <w:tc>
          <w:tcPr>
            <w:tcW w:w="680" w:type="dxa"/>
            <w:vAlign w:val="bottom"/>
            <w:tcBorders>
              <w:top w:val="single" w:sz="8" w:color="FEFEFE"/>
            </w:tcBorders>
          </w:tcPr>
          <w:p>
            <w:pPr>
              <w:ind w:left="60"/>
              <w:spacing w:after="0"/>
              <w:rPr>
                <w:sz w:val="20"/>
                <w:szCs w:val="20"/>
                <w:color w:val="auto"/>
              </w:rPr>
            </w:pPr>
            <w:r>
              <w:rPr>
                <w:rFonts w:ascii="Arial" w:cs="Arial" w:eastAsia="Arial" w:hAnsi="Arial"/>
                <w:sz w:val="16"/>
                <w:szCs w:val="16"/>
                <w:b w:val="1"/>
                <w:bCs w:val="1"/>
                <w:color w:val="FEFEFE"/>
              </w:rPr>
              <w:t>Target</w:t>
            </w:r>
          </w:p>
        </w:tc>
        <w:tc>
          <w:tcPr>
            <w:tcW w:w="300" w:type="dxa"/>
            <w:vAlign w:val="bottom"/>
            <w:tcBorders>
              <w:top w:val="single" w:sz="8" w:color="FEFEFE"/>
            </w:tcBorders>
          </w:tcPr>
          <w:p>
            <w:pPr>
              <w:spacing w:after="0"/>
              <w:rPr>
                <w:sz w:val="16"/>
                <w:szCs w:val="16"/>
                <w:color w:val="auto"/>
              </w:rPr>
            </w:pPr>
          </w:p>
        </w:tc>
        <w:tc>
          <w:tcPr>
            <w:tcW w:w="1020" w:type="dxa"/>
            <w:vAlign w:val="bottom"/>
            <w:tcBorders>
              <w:top w:val="single" w:sz="8" w:color="FEFEFE"/>
            </w:tcBorders>
          </w:tcPr>
          <w:p>
            <w:pPr>
              <w:jc w:val="center"/>
              <w:ind w:right="27"/>
              <w:spacing w:after="0"/>
              <w:rPr>
                <w:sz w:val="20"/>
                <w:szCs w:val="20"/>
                <w:color w:val="auto"/>
              </w:rPr>
            </w:pPr>
            <w:r>
              <w:rPr>
                <w:rFonts w:ascii="Arial" w:cs="Arial" w:eastAsia="Arial" w:hAnsi="Arial"/>
                <w:sz w:val="16"/>
                <w:szCs w:val="16"/>
                <w:b w:val="1"/>
                <w:bCs w:val="1"/>
                <w:color w:val="FEFEFE"/>
              </w:rPr>
              <w:t>Maximum</w:t>
            </w:r>
          </w:p>
        </w:tc>
        <w:tc>
          <w:tcPr>
            <w:tcW w:w="40" w:type="dxa"/>
            <w:vAlign w:val="bottom"/>
            <w:tcBorders>
              <w:top w:val="single" w:sz="8" w:color="FEFEFE"/>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FEFEFE"/>
              </w:rPr>
              <w:t>Actual 2023</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FEFEFE"/>
              </w:rPr>
              <w:t>0%</w:t>
            </w:r>
          </w:p>
        </w:tc>
        <w:tc>
          <w:tcPr>
            <w:tcW w:w="28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Arial" w:cs="Arial" w:eastAsia="Arial" w:hAnsi="Arial"/>
                <w:sz w:val="16"/>
                <w:szCs w:val="16"/>
                <w:b w:val="1"/>
                <w:bCs w:val="1"/>
                <w:color w:val="FEFEFE"/>
              </w:rPr>
              <w:t>100%</w:t>
            </w:r>
          </w:p>
        </w:tc>
        <w:tc>
          <w:tcPr>
            <w:tcW w:w="300" w:type="dxa"/>
            <w:vAlign w:val="bottom"/>
          </w:tcPr>
          <w:p>
            <w:pPr>
              <w:spacing w:after="0"/>
              <w:rPr>
                <w:sz w:val="16"/>
                <w:szCs w:val="16"/>
                <w:color w:val="auto"/>
              </w:rPr>
            </w:pPr>
          </w:p>
        </w:tc>
        <w:tc>
          <w:tcPr>
            <w:tcW w:w="1020" w:type="dxa"/>
            <w:vAlign w:val="bottom"/>
          </w:tcPr>
          <w:p>
            <w:pPr>
              <w:jc w:val="center"/>
              <w:ind w:right="27"/>
              <w:spacing w:after="0"/>
              <w:rPr>
                <w:sz w:val="20"/>
                <w:szCs w:val="20"/>
                <w:color w:val="auto"/>
              </w:rPr>
            </w:pPr>
            <w:r>
              <w:rPr>
                <w:rFonts w:ascii="Arial" w:cs="Arial" w:eastAsia="Arial" w:hAnsi="Arial"/>
                <w:sz w:val="16"/>
                <w:szCs w:val="16"/>
                <w:b w:val="1"/>
                <w:bCs w:val="1"/>
                <w:color w:val="FEFEFE"/>
              </w:rPr>
              <w:t>200%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49"/>
              <w:spacing w:after="0"/>
              <w:rPr>
                <w:sz w:val="20"/>
                <w:szCs w:val="20"/>
                <w:color w:val="auto"/>
              </w:rPr>
            </w:pPr>
            <w:r>
              <w:rPr>
                <w:rFonts w:ascii="Arial" w:cs="Arial" w:eastAsia="Arial" w:hAnsi="Arial"/>
                <w:sz w:val="16"/>
                <w:szCs w:val="16"/>
                <w:b w:val="1"/>
                <w:bCs w:val="1"/>
                <w:color w:val="FEFEFE"/>
              </w:rPr>
              <w:t>Results</w:t>
            </w:r>
          </w:p>
        </w:tc>
        <w:tc>
          <w:tcPr>
            <w:tcW w:w="16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6"/>
                <w:szCs w:val="16"/>
                <w:b w:val="1"/>
                <w:bCs w:val="1"/>
                <w:color w:val="FEFEFE"/>
              </w:rPr>
              <w:t>Payout</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460" w:type="dxa"/>
            <w:vAlign w:val="bottom"/>
          </w:tcPr>
          <w:p>
            <w:pPr>
              <w:ind w:left="20"/>
              <w:spacing w:after="0"/>
              <w:rPr>
                <w:sz w:val="20"/>
                <w:szCs w:val="20"/>
                <w:color w:val="auto"/>
              </w:rPr>
            </w:pPr>
            <w:r>
              <w:rPr>
                <w:rFonts w:ascii="Arial" w:cs="Arial" w:eastAsia="Arial" w:hAnsi="Arial"/>
                <w:sz w:val="16"/>
                <w:szCs w:val="16"/>
                <w:b w:val="1"/>
                <w:bCs w:val="1"/>
                <w:color w:val="FEFEFE"/>
              </w:rPr>
              <w:t>​Performance Metric</w:t>
            </w:r>
          </w:p>
        </w:tc>
        <w:tc>
          <w:tcPr>
            <w:tcW w:w="220" w:type="dxa"/>
            <w:vAlign w:val="bottom"/>
            <w:gridSpan w:val="2"/>
          </w:tcPr>
          <w:p>
            <w:pPr>
              <w:ind w:left="100"/>
              <w:spacing w:after="0"/>
              <w:rPr>
                <w:sz w:val="20"/>
                <w:szCs w:val="20"/>
                <w:color w:val="auto"/>
              </w:rPr>
            </w:pPr>
            <w:r>
              <w:rPr>
                <w:rFonts w:ascii="Arial" w:cs="Arial" w:eastAsia="Arial" w:hAnsi="Arial"/>
                <w:sz w:val="16"/>
                <w:szCs w:val="16"/>
                <w:b w:val="1"/>
                <w:bCs w:val="1"/>
                <w:color w:val="FEFEFE"/>
              </w:rPr>
              <w:t>​​</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FEFEFE"/>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FEFEFE"/>
              </w:rPr>
              <w:t>​​</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FEFEFE"/>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FEFEFE"/>
              </w:rPr>
              <w:t>​​</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FEFEFE"/>
              </w:rPr>
              <w:t>($)</w:t>
            </w:r>
          </w:p>
        </w:tc>
        <w:tc>
          <w:tcPr>
            <w:tcW w:w="40" w:type="dxa"/>
            <w:vAlign w:val="bottom"/>
          </w:tcPr>
          <w:p>
            <w:pPr>
              <w:spacing w:after="0"/>
              <w:rPr>
                <w:sz w:val="21"/>
                <w:szCs w:val="21"/>
                <w:color w:val="auto"/>
              </w:rPr>
            </w:pPr>
          </w:p>
        </w:tc>
        <w:tc>
          <w:tcPr>
            <w:tcW w:w="3000" w:type="dxa"/>
            <w:vAlign w:val="bottom"/>
            <w:gridSpan w:val="8"/>
          </w:tcPr>
          <w:p>
            <w:pPr>
              <w:ind w:left="40"/>
              <w:spacing w:after="0" w:line="243" w:lineRule="exact"/>
              <w:rPr>
                <w:sz w:val="20"/>
                <w:szCs w:val="20"/>
                <w:color w:val="auto"/>
              </w:rPr>
            </w:pPr>
            <w:r>
              <w:rPr>
                <w:rFonts w:ascii="Arial" w:cs="Arial" w:eastAsia="Arial" w:hAnsi="Arial"/>
                <w:sz w:val="28"/>
                <w:szCs w:val="28"/>
                <w:b w:val="1"/>
                <w:bCs w:val="1"/>
                <w:color w:val="FEFEFE"/>
                <w:vertAlign w:val="subscript"/>
              </w:rPr>
              <w:t>​​</w:t>
            </w:r>
            <w:r>
              <w:rPr>
                <w:rFonts w:ascii="Arial" w:cs="Arial" w:eastAsia="Arial" w:hAnsi="Arial"/>
                <w:sz w:val="15"/>
                <w:szCs w:val="15"/>
                <w:b w:val="1"/>
                <w:bCs w:val="1"/>
                <w:color w:val="FEFEFE"/>
              </w:rPr>
              <w:t xml:space="preserve">($ in millions) </w:t>
            </w:r>
            <w:r>
              <w:rPr>
                <w:rFonts w:ascii="Arial" w:cs="Arial" w:eastAsia="Arial" w:hAnsi="Arial"/>
                <w:sz w:val="28"/>
                <w:szCs w:val="28"/>
                <w:b w:val="1"/>
                <w:bCs w:val="1"/>
                <w:color w:val="FEFEFE"/>
                <w:vertAlign w:val="subscript"/>
              </w:rPr>
              <w:t>​​</w:t>
            </w:r>
            <w:r>
              <w:rPr>
                <w:rFonts w:ascii="Arial" w:cs="Arial" w:eastAsia="Arial" w:hAnsi="Arial"/>
                <w:sz w:val="15"/>
                <w:szCs w:val="15"/>
                <w:b w:val="1"/>
                <w:bCs w:val="1"/>
                <w:color w:val="FEFEFE"/>
              </w:rPr>
              <w:t xml:space="preserve"> Result </w:t>
            </w:r>
            <w:r>
              <w:rPr>
                <w:rFonts w:ascii="Arial" w:cs="Arial" w:eastAsia="Arial" w:hAnsi="Arial"/>
                <w:sz w:val="28"/>
                <w:szCs w:val="28"/>
                <w:b w:val="1"/>
                <w:bCs w:val="1"/>
                <w:color w:val="FEFEFE"/>
                <w:vertAlign w:val="subscript"/>
              </w:rPr>
              <w:t>​​</w:t>
            </w:r>
            <w:r>
              <w:rPr>
                <w:rFonts w:ascii="Arial" w:cs="Arial" w:eastAsia="Arial" w:hAnsi="Arial"/>
                <w:sz w:val="15"/>
                <w:szCs w:val="15"/>
                <w:b w:val="1"/>
                <w:bCs w:val="1"/>
                <w:color w:val="FEFEFE"/>
              </w:rPr>
              <w:t xml:space="preserve">Weighting </w:t>
            </w:r>
            <w:r>
              <w:rPr>
                <w:rFonts w:ascii="Arial" w:cs="Arial" w:eastAsia="Arial" w:hAnsi="Arial"/>
                <w:sz w:val="28"/>
                <w:szCs w:val="28"/>
                <w:b w:val="1"/>
                <w:bCs w:val="1"/>
                <w:color w:val="FEFEFE"/>
                <w:vertAlign w:val="subscript"/>
              </w:rPr>
              <w:t>​</w:t>
            </w:r>
          </w:p>
        </w:tc>
        <w:tc>
          <w:tcPr>
            <w:tcW w:w="0" w:type="dxa"/>
            <w:vAlign w:val="bottom"/>
          </w:tcPr>
          <w:p>
            <w:pPr>
              <w:spacing w:after="0"/>
              <w:rPr>
                <w:sz w:val="1"/>
                <w:szCs w:val="1"/>
                <w:color w:val="auto"/>
              </w:rPr>
            </w:pPr>
          </w:p>
        </w:tc>
      </w:tr>
      <w:tr>
        <w:trPr>
          <w:trHeight w:val="256"/>
        </w:trPr>
        <w:tc>
          <w:tcPr>
            <w:tcW w:w="2460" w:type="dxa"/>
            <w:vAlign w:val="bottom"/>
            <w:tcBorders>
              <w:bottom w:val="single" w:sz="8" w:color="E7417A"/>
            </w:tcBorders>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Revenue</w:t>
            </w:r>
          </w:p>
        </w:tc>
        <w:tc>
          <w:tcPr>
            <w:tcW w:w="220" w:type="dxa"/>
            <w:vAlign w:val="bottom"/>
            <w:tcBorders>
              <w:bottom w:val="single" w:sz="8" w:color="E7417A"/>
            </w:tcBorders>
            <w:gridSpan w:val="2"/>
          </w:tcPr>
          <w:p>
            <w:pPr>
              <w:ind w:lef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7417A"/>
            </w:tcBorders>
          </w:tcPr>
          <w:p>
            <w:pPr>
              <w:jc w:val="right"/>
              <w:ind w:right="127"/>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​800.0</w:t>
            </w:r>
          </w:p>
        </w:tc>
        <w:tc>
          <w:tcPr>
            <w:tcW w:w="28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7417A"/>
            </w:tcBorders>
          </w:tcPr>
          <w:p>
            <w:pPr>
              <w:ind w:left="1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​880.0</w:t>
            </w:r>
          </w:p>
        </w:tc>
        <w:tc>
          <w:tcPr>
            <w:tcW w:w="300" w:type="dxa"/>
            <w:vAlign w:val="bottom"/>
            <w:tcBorders>
              <w:bottom w:val="single" w:sz="8" w:color="E7417A"/>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7417A"/>
            </w:tcBorders>
          </w:tcPr>
          <w:p>
            <w:pPr>
              <w:jc w:val="right"/>
              <w:ind w:right="247"/>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​925.0</w:t>
            </w:r>
          </w:p>
        </w:tc>
        <w:tc>
          <w:tcPr>
            <w:tcW w:w="140" w:type="dxa"/>
            <w:vAlign w:val="bottom"/>
            <w:tcBorders>
              <w:bottom w:val="single" w:sz="8" w:color="E7417A"/>
            </w:tcBorders>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7417A"/>
            </w:tcBorders>
          </w:tcPr>
          <w:p>
            <w:pPr>
              <w:jc w:val="right"/>
              <w:ind w:right="229"/>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​833.9</w:t>
            </w:r>
          </w:p>
        </w:tc>
        <w:tc>
          <w:tcPr>
            <w:tcW w:w="16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7417A"/>
            </w:tcBorders>
            <w:gridSpan w:val="2"/>
          </w:tcPr>
          <w:p>
            <w:pPr>
              <w:jc w:val="right"/>
              <w:ind w:right="125"/>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​42.4%</w:t>
            </w:r>
            <w:r>
              <w:rPr>
                <w:rFonts w:ascii="Arial" w:cs="Arial" w:eastAsia="Arial" w:hAnsi="Arial"/>
                <w:sz w:val="29"/>
                <w:szCs w:val="29"/>
                <w:color w:val="auto"/>
                <w:vertAlign w:val="subscript"/>
              </w:rPr>
              <w:t>​​​</w:t>
            </w:r>
          </w:p>
        </w:tc>
        <w:tc>
          <w:tcPr>
            <w:tcW w:w="600" w:type="dxa"/>
            <w:vAlign w:val="bottom"/>
            <w:tcBorders>
              <w:bottom w:val="single" w:sz="8" w:color="E7417A"/>
            </w:tcBorders>
          </w:tcPr>
          <w:p>
            <w:pPr>
              <w:jc w:val="right"/>
              <w:ind w:right="36"/>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​50%</w:t>
            </w:r>
          </w:p>
        </w:tc>
        <w:tc>
          <w:tcPr>
            <w:tcW w:w="160" w:type="dxa"/>
            <w:vAlign w:val="bottom"/>
            <w:tcBorders>
              <w:bottom w:val="single" w:sz="8" w:color="E7417A"/>
            </w:tcBorders>
          </w:tcPr>
          <w:p>
            <w:pPr>
              <w:ind w:lef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460" w:type="dxa"/>
            <w:vAlign w:val="bottom"/>
          </w:tcPr>
          <w:p>
            <w:pPr>
              <w:ind w:left="40"/>
              <w:spacing w:after="0" w:line="183" w:lineRule="exact"/>
              <w:rPr>
                <w:sz w:val="20"/>
                <w:szCs w:val="20"/>
                <w:color w:val="auto"/>
              </w:rPr>
            </w:pPr>
            <w:r>
              <w:rPr>
                <w:rFonts w:ascii="Arial" w:cs="Arial" w:eastAsia="Arial" w:hAnsi="Arial"/>
                <w:sz w:val="16"/>
                <w:szCs w:val="16"/>
                <w:color w:val="auto"/>
              </w:rPr>
              <w:t>Adjusted EBITDA (pre-bonus)</w:t>
            </w:r>
            <w:r>
              <w:rPr>
                <w:rFonts w:ascii="Arial" w:cs="Arial" w:eastAsia="Arial" w:hAnsi="Arial"/>
                <w:sz w:val="19"/>
                <w:szCs w:val="19"/>
                <w:color w:val="auto"/>
                <w:vertAlign w:val="superscript"/>
              </w:rPr>
              <w:t>(1)</w:t>
            </w:r>
          </w:p>
        </w:tc>
        <w:tc>
          <w:tcPr>
            <w:tcW w:w="22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7"/>
              <w:spacing w:after="0" w:line="183" w:lineRule="exact"/>
              <w:rPr>
                <w:sz w:val="20"/>
                <w:szCs w:val="20"/>
                <w:color w:val="auto"/>
              </w:rPr>
            </w:pPr>
            <w:r>
              <w:rPr>
                <w:rFonts w:ascii="Arial" w:cs="Arial" w:eastAsia="Arial" w:hAnsi="Arial"/>
                <w:sz w:val="16"/>
                <w:szCs w:val="16"/>
                <w:color w:val="auto"/>
              </w:rPr>
              <w:t>​ 90.0</w:t>
            </w: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center"/>
              <w:spacing w:after="0" w:line="183" w:lineRule="exact"/>
              <w:rPr>
                <w:sz w:val="20"/>
                <w:szCs w:val="20"/>
                <w:color w:val="auto"/>
              </w:rPr>
            </w:pPr>
            <w:r>
              <w:rPr>
                <w:rFonts w:ascii="Arial" w:cs="Arial" w:eastAsia="Arial" w:hAnsi="Arial"/>
                <w:sz w:val="16"/>
                <w:szCs w:val="16"/>
                <w:color w:val="auto"/>
              </w:rPr>
              <w:t>​137.0</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47"/>
              <w:spacing w:after="0" w:line="183" w:lineRule="exact"/>
              <w:rPr>
                <w:sz w:val="20"/>
                <w:szCs w:val="20"/>
                <w:color w:val="auto"/>
              </w:rPr>
            </w:pPr>
            <w:r>
              <w:rPr>
                <w:rFonts w:ascii="Arial" w:cs="Arial" w:eastAsia="Arial" w:hAnsi="Arial"/>
                <w:sz w:val="16"/>
                <w:szCs w:val="16"/>
                <w:color w:val="auto"/>
              </w:rPr>
              <w:t>​165.0</w:t>
            </w:r>
          </w:p>
        </w:tc>
        <w:tc>
          <w:tcPr>
            <w:tcW w:w="1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9"/>
              <w:spacing w:after="0" w:line="183" w:lineRule="exact"/>
              <w:rPr>
                <w:sz w:val="20"/>
                <w:szCs w:val="20"/>
                <w:color w:val="auto"/>
              </w:rPr>
            </w:pPr>
            <w:r>
              <w:rPr>
                <w:rFonts w:ascii="Arial" w:cs="Arial" w:eastAsia="Arial" w:hAnsi="Arial"/>
                <w:sz w:val="16"/>
                <w:szCs w:val="16"/>
                <w:color w:val="auto"/>
              </w:rPr>
              <w:t>​131.5</w:t>
            </w:r>
          </w:p>
        </w:tc>
        <w:tc>
          <w:tcPr>
            <w:tcW w:w="1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5"/>
              <w:spacing w:after="0" w:line="183" w:lineRule="exact"/>
              <w:rPr>
                <w:sz w:val="20"/>
                <w:szCs w:val="20"/>
                <w:color w:val="auto"/>
              </w:rPr>
            </w:pPr>
            <w:r>
              <w:rPr>
                <w:rFonts w:ascii="Arial" w:cs="Arial" w:eastAsia="Arial" w:hAnsi="Arial"/>
                <w:sz w:val="16"/>
                <w:szCs w:val="16"/>
                <w:color w:val="auto"/>
              </w:rPr>
              <w:t>​87.7%</w:t>
            </w:r>
          </w:p>
        </w:tc>
        <w:tc>
          <w:tcPr>
            <w:tcW w:w="600" w:type="dxa"/>
            <w:vAlign w:val="bottom"/>
          </w:tcPr>
          <w:p>
            <w:pPr>
              <w:jc w:val="right"/>
              <w:ind w:right="36"/>
              <w:spacing w:after="0" w:line="183" w:lineRule="exact"/>
              <w:rPr>
                <w:sz w:val="20"/>
                <w:szCs w:val="20"/>
                <w:color w:val="auto"/>
              </w:rPr>
            </w:pPr>
            <w:r>
              <w:rPr>
                <w:rFonts w:ascii="Arial" w:cs="Arial" w:eastAsia="Arial" w:hAnsi="Arial"/>
                <w:sz w:val="16"/>
                <w:szCs w:val="16"/>
                <w:color w:val="auto"/>
              </w:rPr>
              <w:t>​50%</w:t>
            </w:r>
          </w:p>
        </w:tc>
        <w:tc>
          <w:tcPr>
            <w:tcW w:w="16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460" w:type="dxa"/>
            <w:vAlign w:val="bottom"/>
            <w:tcBorders>
              <w:bottom w:val="single" w:sz="8" w:color="62259D"/>
            </w:tcBorders>
          </w:tcPr>
          <w:p>
            <w:pPr>
              <w:spacing w:after="0" w:line="68" w:lineRule="exact"/>
              <w:rPr>
                <w:sz w:val="20"/>
                <w:szCs w:val="20"/>
                <w:color w:val="auto"/>
              </w:rPr>
            </w:pPr>
            <w:r>
              <w:rPr>
                <w:rFonts w:ascii="Arial" w:cs="Arial" w:eastAsia="Arial" w:hAnsi="Arial"/>
                <w:sz w:val="7"/>
                <w:szCs w:val="7"/>
                <w:color w:val="auto"/>
              </w:rPr>
              <w:t>​</w:t>
            </w:r>
          </w:p>
        </w:tc>
        <w:tc>
          <w:tcPr>
            <w:tcW w:w="220" w:type="dxa"/>
            <w:vAlign w:val="bottom"/>
            <w:tcBorders>
              <w:bottom w:val="single" w:sz="8" w:color="62259D"/>
            </w:tcBorders>
            <w:gridSpan w:val="2"/>
            <w:vMerge w:val="continue"/>
          </w:tcPr>
          <w:p>
            <w:pPr>
              <w:spacing w:after="0"/>
              <w:rPr>
                <w:sz w:val="5"/>
                <w:szCs w:val="5"/>
                <w:color w:val="auto"/>
              </w:rPr>
            </w:pPr>
          </w:p>
        </w:tc>
        <w:tc>
          <w:tcPr>
            <w:tcW w:w="880" w:type="dxa"/>
            <w:vAlign w:val="bottom"/>
            <w:tcBorders>
              <w:bottom w:val="single" w:sz="8" w:color="62259D"/>
            </w:tcBorders>
          </w:tcPr>
          <w:p>
            <w:pPr>
              <w:jc w:val="right"/>
              <w:ind w:right="547"/>
              <w:spacing w:after="0" w:line="68" w:lineRule="exact"/>
              <w:rPr>
                <w:sz w:val="20"/>
                <w:szCs w:val="20"/>
                <w:color w:val="auto"/>
              </w:rPr>
            </w:pPr>
            <w:r>
              <w:rPr>
                <w:rFonts w:ascii="Arial" w:cs="Arial" w:eastAsia="Arial" w:hAnsi="Arial"/>
                <w:sz w:val="7"/>
                <w:szCs w:val="7"/>
                <w:color w:val="auto"/>
              </w:rPr>
              <w:t>​</w:t>
            </w:r>
          </w:p>
        </w:tc>
        <w:tc>
          <w:tcPr>
            <w:tcW w:w="280" w:type="dxa"/>
            <w:vAlign w:val="bottom"/>
            <w:tcBorders>
              <w:bottom w:val="single" w:sz="8" w:color="62259D"/>
            </w:tcBorders>
            <w:vMerge w:val="continue"/>
          </w:tcPr>
          <w:p>
            <w:pPr>
              <w:spacing w:after="0"/>
              <w:rPr>
                <w:sz w:val="5"/>
                <w:szCs w:val="5"/>
                <w:color w:val="auto"/>
              </w:rPr>
            </w:pPr>
          </w:p>
        </w:tc>
        <w:tc>
          <w:tcPr>
            <w:tcW w:w="680" w:type="dxa"/>
            <w:vAlign w:val="bottom"/>
            <w:tcBorders>
              <w:bottom w:val="single" w:sz="8" w:color="62259D"/>
            </w:tcBorders>
          </w:tcPr>
          <w:p>
            <w:pPr>
              <w:ind w:left="120"/>
              <w:spacing w:after="0" w:line="68" w:lineRule="exact"/>
              <w:rPr>
                <w:sz w:val="20"/>
                <w:szCs w:val="20"/>
                <w:color w:val="auto"/>
              </w:rPr>
            </w:pPr>
            <w:r>
              <w:rPr>
                <w:rFonts w:ascii="Arial" w:cs="Arial" w:eastAsia="Arial" w:hAnsi="Arial"/>
                <w:sz w:val="7"/>
                <w:szCs w:val="7"/>
                <w:color w:val="auto"/>
              </w:rPr>
              <w:t>​</w:t>
            </w:r>
          </w:p>
        </w:tc>
        <w:tc>
          <w:tcPr>
            <w:tcW w:w="300" w:type="dxa"/>
            <w:vAlign w:val="bottom"/>
            <w:tcBorders>
              <w:bottom w:val="single" w:sz="8" w:color="62259D"/>
            </w:tcBorders>
            <w:vMerge w:val="continue"/>
          </w:tcPr>
          <w:p>
            <w:pPr>
              <w:spacing w:after="0"/>
              <w:rPr>
                <w:sz w:val="5"/>
                <w:szCs w:val="5"/>
                <w:color w:val="auto"/>
              </w:rPr>
            </w:pPr>
          </w:p>
        </w:tc>
        <w:tc>
          <w:tcPr>
            <w:tcW w:w="1020" w:type="dxa"/>
            <w:vAlign w:val="bottom"/>
            <w:tcBorders>
              <w:bottom w:val="single" w:sz="8" w:color="62259D"/>
            </w:tcBorders>
          </w:tcPr>
          <w:p>
            <w:pPr>
              <w:jc w:val="right"/>
              <w:ind w:right="687"/>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62259D"/>
            </w:tcBorders>
            <w:gridSpan w:val="2"/>
            <w:vMerge w:val="continue"/>
          </w:tcPr>
          <w:p>
            <w:pPr>
              <w:spacing w:after="0"/>
              <w:rPr>
                <w:sz w:val="5"/>
                <w:szCs w:val="5"/>
                <w:color w:val="auto"/>
              </w:rPr>
            </w:pPr>
          </w:p>
        </w:tc>
        <w:tc>
          <w:tcPr>
            <w:tcW w:w="1060" w:type="dxa"/>
            <w:vAlign w:val="bottom"/>
            <w:tcBorders>
              <w:bottom w:val="single" w:sz="8" w:color="62259D"/>
            </w:tcBorders>
          </w:tcPr>
          <w:p>
            <w:pPr>
              <w:jc w:val="right"/>
              <w:ind w:right="649"/>
              <w:spacing w:after="0" w:line="68" w:lineRule="exact"/>
              <w:rPr>
                <w:sz w:val="20"/>
                <w:szCs w:val="20"/>
                <w:color w:val="auto"/>
              </w:rPr>
            </w:pPr>
            <w:r>
              <w:rPr>
                <w:rFonts w:ascii="Arial" w:cs="Arial" w:eastAsia="Arial" w:hAnsi="Arial"/>
                <w:sz w:val="7"/>
                <w:szCs w:val="7"/>
                <w:color w:val="auto"/>
              </w:rPr>
              <w:t>​</w:t>
            </w:r>
          </w:p>
        </w:tc>
        <w:tc>
          <w:tcPr>
            <w:tcW w:w="160" w:type="dxa"/>
            <w:vAlign w:val="bottom"/>
            <w:tcBorders>
              <w:bottom w:val="single" w:sz="8" w:color="62259D"/>
            </w:tcBorders>
            <w:vMerge w:val="continue"/>
          </w:tcPr>
          <w:p>
            <w:pPr>
              <w:spacing w:after="0"/>
              <w:rPr>
                <w:sz w:val="5"/>
                <w:szCs w:val="5"/>
                <w:color w:val="auto"/>
              </w:rPr>
            </w:pPr>
          </w:p>
        </w:tc>
        <w:tc>
          <w:tcPr>
            <w:tcW w:w="600" w:type="dxa"/>
            <w:vAlign w:val="bottom"/>
            <w:tcBorders>
              <w:bottom w:val="single" w:sz="8" w:color="62259D"/>
            </w:tcBorders>
          </w:tcPr>
          <w:p>
            <w:pPr>
              <w:ind w:left="120"/>
              <w:spacing w:after="0" w:line="68" w:lineRule="exact"/>
              <w:rPr>
                <w:sz w:val="20"/>
                <w:szCs w:val="20"/>
                <w:color w:val="auto"/>
              </w:rPr>
            </w:pPr>
            <w:r>
              <w:rPr>
                <w:rFonts w:ascii="Arial" w:cs="Arial" w:eastAsia="Arial" w:hAnsi="Arial"/>
                <w:sz w:val="7"/>
                <w:szCs w:val="7"/>
                <w:color w:val="auto"/>
              </w:rPr>
              <w:t>​</w:t>
            </w:r>
          </w:p>
        </w:tc>
        <w:tc>
          <w:tcPr>
            <w:tcW w:w="300" w:type="dxa"/>
            <w:vAlign w:val="bottom"/>
            <w:tcBorders>
              <w:bottom w:val="single" w:sz="8" w:color="62259D"/>
            </w:tcBorders>
          </w:tcPr>
          <w:p>
            <w:pPr>
              <w:jc w:val="right"/>
              <w:ind w:right="125"/>
              <w:spacing w:after="0" w:line="68" w:lineRule="exact"/>
              <w:rPr>
                <w:sz w:val="20"/>
                <w:szCs w:val="20"/>
                <w:color w:val="auto"/>
              </w:rPr>
            </w:pPr>
            <w:r>
              <w:rPr>
                <w:rFonts w:ascii="Arial" w:cs="Arial" w:eastAsia="Arial" w:hAnsi="Arial"/>
                <w:sz w:val="7"/>
                <w:szCs w:val="7"/>
                <w:color w:val="auto"/>
              </w:rPr>
              <w:t>​​​</w:t>
            </w:r>
          </w:p>
        </w:tc>
        <w:tc>
          <w:tcPr>
            <w:tcW w:w="600" w:type="dxa"/>
            <w:vAlign w:val="bottom"/>
            <w:tcBorders>
              <w:bottom w:val="single" w:sz="8" w:color="62259D"/>
            </w:tcBorders>
          </w:tcPr>
          <w:p>
            <w:pPr>
              <w:jc w:val="right"/>
              <w:ind w:right="336"/>
              <w:spacing w:after="0" w:line="68" w:lineRule="exact"/>
              <w:rPr>
                <w:sz w:val="20"/>
                <w:szCs w:val="20"/>
                <w:color w:val="auto"/>
              </w:rPr>
            </w:pPr>
            <w:r>
              <w:rPr>
                <w:rFonts w:ascii="Arial" w:cs="Arial" w:eastAsia="Arial" w:hAnsi="Arial"/>
                <w:sz w:val="7"/>
                <w:szCs w:val="7"/>
                <w:color w:val="auto"/>
              </w:rPr>
              <w:t>​</w:t>
            </w:r>
          </w:p>
        </w:tc>
        <w:tc>
          <w:tcPr>
            <w:tcW w:w="160" w:type="dxa"/>
            <w:vAlign w:val="bottom"/>
            <w:tcBorders>
              <w:bottom w:val="single" w:sz="8" w:color="62259D"/>
            </w:tcBorders>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400" w:right="659" w:hanging="368"/>
        <w:spacing w:after="0" w:line="259" w:lineRule="auto"/>
        <w:tabs>
          <w:tab w:leader="none" w:pos="14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Adjusted EBITDA (bonus) is calculated by excluding from (Loss) income from operations: depreciation; amortization of acquired intangible assets; stock-based compensation; acquisition-related inventory adjustments; certain litigation costs; impairment of goodwill; acquisition-, disposal- and integration related expense; and restructuring and related expense.</w:t>
      </w:r>
    </w:p>
    <w:p>
      <w:pPr>
        <w:spacing w:after="0" w:line="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noted in the table above, the 2024 revenue of approximately $834 million and Adjusted EBITDA of</w:t>
      </w:r>
    </w:p>
    <w:p>
      <w:pPr>
        <w:spacing w:after="0" w:line="14" w:lineRule="exact"/>
        <w:rPr>
          <w:sz w:val="20"/>
          <w:szCs w:val="20"/>
          <w:color w:val="auto"/>
        </w:rPr>
      </w:pPr>
    </w:p>
    <w:p>
      <w:pPr>
        <w:ind w:left="920" w:right="319"/>
        <w:spacing w:after="0" w:line="226" w:lineRule="auto"/>
        <w:rPr>
          <w:sz w:val="20"/>
          <w:szCs w:val="20"/>
          <w:color w:val="auto"/>
        </w:rPr>
      </w:pPr>
      <w:r>
        <w:rPr>
          <w:rFonts w:ascii="Arial" w:cs="Arial" w:eastAsia="Arial" w:hAnsi="Arial"/>
          <w:sz w:val="18"/>
          <w:szCs w:val="18"/>
          <w:color w:val="auto"/>
        </w:rPr>
        <w:t>approximately $132 million would result in a payout of approximately 65% under the SMCIP. In reviewing the Company’s 2024 results, however, the Compensation Committed noted, among other items, a 30%</w:t>
      </w:r>
    </w:p>
    <w:p>
      <w:pPr>
        <w:ind w:left="920"/>
        <w:spacing w:after="0" w:line="236" w:lineRule="auto"/>
        <w:rPr>
          <w:sz w:val="20"/>
          <w:szCs w:val="20"/>
          <w:color w:val="auto"/>
        </w:rPr>
      </w:pPr>
      <w:r>
        <w:rPr>
          <w:rFonts w:ascii="Arial" w:cs="Arial" w:eastAsia="Arial" w:hAnsi="Arial"/>
          <w:sz w:val="18"/>
          <w:szCs w:val="18"/>
          <w:color w:val="auto"/>
        </w:rPr>
        <w:t>increase in the Company’s adjusted EBITDA (please see Appendix A to this Proxy Statement for a</w:t>
      </w:r>
    </w:p>
    <w:p>
      <w:pPr>
        <w:spacing w:after="0" w:line="1" w:lineRule="exact"/>
        <w:rPr>
          <w:sz w:val="20"/>
          <w:szCs w:val="20"/>
          <w:color w:val="auto"/>
        </w:rPr>
      </w:pPr>
    </w:p>
    <w:p>
      <w:pPr>
        <w:ind w:left="920" w:right="419"/>
        <w:spacing w:after="0" w:line="226" w:lineRule="auto"/>
        <w:rPr>
          <w:sz w:val="20"/>
          <w:szCs w:val="20"/>
          <w:color w:val="auto"/>
        </w:rPr>
      </w:pPr>
      <w:r>
        <w:rPr>
          <w:rFonts w:ascii="Arial" w:cs="Arial" w:eastAsia="Arial" w:hAnsi="Arial"/>
          <w:sz w:val="18"/>
          <w:szCs w:val="18"/>
          <w:color w:val="auto"/>
        </w:rPr>
        <w:t>discussion of non-GAAP measures) over 2023, total revenue growth despite the Company suspending sales to customers in Eastern Europe in June 2024 and completion of the refinancing of the Company’s</w:t>
      </w:r>
    </w:p>
    <w:p>
      <w:pPr>
        <w:ind w:left="920"/>
        <w:spacing w:after="0" w:line="236" w:lineRule="auto"/>
        <w:rPr>
          <w:sz w:val="20"/>
          <w:szCs w:val="20"/>
          <w:color w:val="auto"/>
        </w:rPr>
      </w:pPr>
      <w:r>
        <w:rPr>
          <w:rFonts w:ascii="Arial" w:cs="Arial" w:eastAsia="Arial" w:hAnsi="Arial"/>
          <w:sz w:val="18"/>
          <w:szCs w:val="18"/>
          <w:color w:val="auto"/>
        </w:rPr>
        <w:t>credit facility in May 2024. Given these achievements, the Compensation Committee elected to use its</w:t>
      </w:r>
    </w:p>
    <w:p>
      <w:pPr>
        <w:spacing w:after="0" w:line="1" w:lineRule="exact"/>
        <w:rPr>
          <w:sz w:val="20"/>
          <w:szCs w:val="20"/>
          <w:color w:val="auto"/>
        </w:rPr>
      </w:pPr>
    </w:p>
    <w:p>
      <w:pPr>
        <w:ind w:left="920" w:right="439"/>
        <w:spacing w:after="0" w:line="226" w:lineRule="auto"/>
        <w:rPr>
          <w:sz w:val="20"/>
          <w:szCs w:val="20"/>
          <w:color w:val="auto"/>
        </w:rPr>
      </w:pPr>
      <w:r>
        <w:rPr>
          <w:rFonts w:ascii="Arial" w:cs="Arial" w:eastAsia="Arial" w:hAnsi="Arial"/>
          <w:sz w:val="18"/>
          <w:szCs w:val="18"/>
          <w:color w:val="auto"/>
        </w:rPr>
        <w:t>discretion under the SMCIP to increase the payouts to participants to levels equivalent to the Company achieving approximately 70% of target. As a result, the bonuses paid to the NEOs in 2024 under the</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SMCIP were as follows:</w:t>
      </w:r>
    </w:p>
    <w:p>
      <w:pPr>
        <w:spacing w:after="0" w:line="158" w:lineRule="exact"/>
        <w:rPr>
          <w:sz w:val="20"/>
          <w:szCs w:val="20"/>
          <w:color w:val="auto"/>
        </w:rPr>
      </w:pPr>
    </w:p>
    <w:tbl>
      <w:tblPr>
        <w:tblLayout w:type="fixed"/>
        <w:tblInd w:w="1280" w:type="dxa"/>
        <w:tblCellMar>
          <w:top w:w="0" w:type="dxa"/>
          <w:left w:w="0" w:type="dxa"/>
          <w:bottom w:w="0" w:type="dxa"/>
          <w:right w:w="0" w:type="dxa"/>
        </w:tblCellMar>
      </w:tblPr>
      <w:tr>
        <w:trPr>
          <w:trHeight w:val="215"/>
        </w:trPr>
        <w:tc>
          <w:tcPr>
            <w:tcW w:w="3220" w:type="dxa"/>
            <w:vAlign w:val="bottom"/>
            <w:shd w:val="clear" w:color="auto" w:fill="62259D"/>
          </w:tcPr>
          <w:p>
            <w:pPr>
              <w:spacing w:after="0"/>
              <w:rPr>
                <w:sz w:val="18"/>
                <w:szCs w:val="18"/>
                <w:color w:val="auto"/>
              </w:rPr>
            </w:pPr>
          </w:p>
        </w:tc>
        <w:tc>
          <w:tcPr>
            <w:tcW w:w="1240" w:type="dxa"/>
            <w:vAlign w:val="bottom"/>
            <w:shd w:val="clear" w:color="auto" w:fill="62259D"/>
          </w:tcPr>
          <w:p>
            <w:pPr>
              <w:spacing w:after="0"/>
              <w:rPr>
                <w:sz w:val="18"/>
                <w:szCs w:val="18"/>
                <w:color w:val="auto"/>
              </w:rPr>
            </w:pPr>
          </w:p>
        </w:tc>
        <w:tc>
          <w:tcPr>
            <w:tcW w:w="2040" w:type="dxa"/>
            <w:vAlign w:val="bottom"/>
            <w:gridSpan w:val="3"/>
            <w:shd w:val="clear" w:color="auto" w:fill="62259D"/>
          </w:tcPr>
          <w:p>
            <w:pPr>
              <w:spacing w:after="0"/>
              <w:rPr>
                <w:sz w:val="20"/>
                <w:szCs w:val="20"/>
                <w:color w:val="auto"/>
              </w:rPr>
            </w:pPr>
            <w:r>
              <w:rPr>
                <w:rFonts w:ascii="Arial" w:cs="Arial" w:eastAsia="Arial" w:hAnsi="Arial"/>
                <w:sz w:val="16"/>
                <w:szCs w:val="16"/>
                <w:b w:val="1"/>
                <w:bCs w:val="1"/>
                <w:color w:val="FEFEFE"/>
              </w:rPr>
              <w:t>Target Annual Bonus</w:t>
            </w:r>
          </w:p>
        </w:tc>
        <w:tc>
          <w:tcPr>
            <w:tcW w:w="1460" w:type="dxa"/>
            <w:vAlign w:val="bottom"/>
            <w:gridSpan w:val="2"/>
            <w:shd w:val="clear" w:color="auto" w:fill="62259D"/>
          </w:tcPr>
          <w:p>
            <w:pPr>
              <w:ind w:left="20"/>
              <w:spacing w:after="0"/>
              <w:rPr>
                <w:sz w:val="20"/>
                <w:szCs w:val="20"/>
                <w:color w:val="auto"/>
              </w:rPr>
            </w:pPr>
            <w:r>
              <w:rPr>
                <w:rFonts w:ascii="Arial" w:cs="Arial" w:eastAsia="Arial" w:hAnsi="Arial"/>
                <w:sz w:val="16"/>
                <w:szCs w:val="16"/>
                <w:b w:val="1"/>
                <w:bCs w:val="1"/>
                <w:color w:val="FEFEFE"/>
              </w:rPr>
              <w:t>Cash Bonus Paid</w:t>
            </w:r>
          </w:p>
        </w:tc>
        <w:tc>
          <w:tcPr>
            <w:tcW w:w="180" w:type="dxa"/>
            <w:vAlign w:val="bottom"/>
            <w:shd w:val="clear" w:color="auto" w:fill="62259D"/>
          </w:tcPr>
          <w:p>
            <w:pPr>
              <w:spacing w:after="0"/>
              <w:rPr>
                <w:sz w:val="18"/>
                <w:szCs w:val="18"/>
                <w:color w:val="auto"/>
              </w:rPr>
            </w:pPr>
          </w:p>
        </w:tc>
      </w:tr>
      <w:tr>
        <w:trPr>
          <w:trHeight w:val="230"/>
        </w:trPr>
        <w:tc>
          <w:tcPr>
            <w:tcW w:w="3220" w:type="dxa"/>
            <w:vAlign w:val="bottom"/>
            <w:shd w:val="clear" w:color="auto" w:fill="62259D"/>
          </w:tcPr>
          <w:p>
            <w:pPr>
              <w:ind w:left="60"/>
              <w:spacing w:after="0"/>
              <w:rPr>
                <w:sz w:val="20"/>
                <w:szCs w:val="20"/>
                <w:color w:val="auto"/>
              </w:rPr>
            </w:pPr>
            <w:r>
              <w:rPr>
                <w:rFonts w:ascii="Arial" w:cs="Arial" w:eastAsia="Arial" w:hAnsi="Arial"/>
                <w:sz w:val="16"/>
                <w:szCs w:val="16"/>
                <w:b w:val="1"/>
                <w:bCs w:val="1"/>
                <w:color w:val="FEFEFE"/>
              </w:rPr>
              <w:t>​Named Executive Officer</w:t>
            </w:r>
          </w:p>
        </w:tc>
        <w:tc>
          <w:tcPr>
            <w:tcW w:w="1240" w:type="dxa"/>
            <w:vAlign w:val="bottom"/>
            <w:shd w:val="clear" w:color="auto" w:fill="62259D"/>
          </w:tcPr>
          <w:p>
            <w:pPr>
              <w:ind w:left="1080"/>
              <w:spacing w:after="0"/>
              <w:rPr>
                <w:sz w:val="20"/>
                <w:szCs w:val="20"/>
                <w:color w:val="auto"/>
              </w:rPr>
            </w:pPr>
            <w:r>
              <w:rPr>
                <w:rFonts w:ascii="Arial" w:cs="Arial" w:eastAsia="Arial" w:hAnsi="Arial"/>
                <w:sz w:val="16"/>
                <w:szCs w:val="16"/>
                <w:b w:val="1"/>
                <w:bCs w:val="1"/>
                <w:color w:val="FEFEFE"/>
              </w:rPr>
              <w:t>​ ​</w:t>
            </w:r>
          </w:p>
        </w:tc>
        <w:tc>
          <w:tcPr>
            <w:tcW w:w="1620" w:type="dxa"/>
            <w:vAlign w:val="bottom"/>
            <w:gridSpan w:val="2"/>
            <w:shd w:val="clear" w:color="auto" w:fill="62259D"/>
          </w:tcPr>
          <w:p>
            <w:pPr>
              <w:ind w:left="360"/>
              <w:spacing w:after="0"/>
              <w:rPr>
                <w:sz w:val="20"/>
                <w:szCs w:val="20"/>
                <w:color w:val="auto"/>
              </w:rPr>
            </w:pPr>
            <w:r>
              <w:rPr>
                <w:rFonts w:ascii="Arial" w:cs="Arial" w:eastAsia="Arial" w:hAnsi="Arial"/>
                <w:sz w:val="16"/>
                <w:szCs w:val="16"/>
                <w:b w:val="1"/>
                <w:bCs w:val="1"/>
                <w:color w:val="FEFEFE"/>
              </w:rPr>
              <w:t>Under SMCIP</w:t>
            </w:r>
          </w:p>
        </w:tc>
        <w:tc>
          <w:tcPr>
            <w:tcW w:w="420" w:type="dxa"/>
            <w:vAlign w:val="bottom"/>
            <w:shd w:val="clear" w:color="auto" w:fill="62259D"/>
          </w:tcPr>
          <w:p>
            <w:pPr>
              <w:ind w:left="260"/>
              <w:spacing w:after="0"/>
              <w:rPr>
                <w:sz w:val="20"/>
                <w:szCs w:val="20"/>
                <w:color w:val="auto"/>
              </w:rPr>
            </w:pPr>
            <w:r>
              <w:rPr>
                <w:rFonts w:ascii="Arial" w:cs="Arial" w:eastAsia="Arial" w:hAnsi="Arial"/>
                <w:sz w:val="16"/>
                <w:szCs w:val="16"/>
                <w:b w:val="1"/>
                <w:bCs w:val="1"/>
                <w:color w:val="FEFEFE"/>
              </w:rPr>
              <w:t>​ ​</w:t>
            </w:r>
          </w:p>
        </w:tc>
        <w:tc>
          <w:tcPr>
            <w:tcW w:w="1460" w:type="dxa"/>
            <w:vAlign w:val="bottom"/>
            <w:gridSpan w:val="2"/>
            <w:shd w:val="clear" w:color="auto" w:fill="62259D"/>
          </w:tcPr>
          <w:p>
            <w:pPr>
              <w:ind w:left="200"/>
              <w:spacing w:after="0"/>
              <w:rPr>
                <w:sz w:val="20"/>
                <w:szCs w:val="20"/>
                <w:color w:val="auto"/>
              </w:rPr>
            </w:pPr>
            <w:r>
              <w:rPr>
                <w:rFonts w:ascii="Arial" w:cs="Arial" w:eastAsia="Arial" w:hAnsi="Arial"/>
                <w:sz w:val="16"/>
                <w:szCs w:val="16"/>
                <w:b w:val="1"/>
                <w:bCs w:val="1"/>
                <w:color w:val="FEFEFE"/>
              </w:rPr>
              <w:t>Under SMCIP</w:t>
            </w:r>
          </w:p>
        </w:tc>
        <w:tc>
          <w:tcPr>
            <w:tcW w:w="180" w:type="dxa"/>
            <w:vAlign w:val="bottom"/>
            <w:shd w:val="clear" w:color="auto" w:fill="62259D"/>
          </w:tcPr>
          <w:p>
            <w:pPr>
              <w:ind w:left="120"/>
              <w:spacing w:after="0"/>
              <w:rPr>
                <w:sz w:val="20"/>
                <w:szCs w:val="20"/>
                <w:color w:val="auto"/>
              </w:rPr>
            </w:pPr>
            <w:r>
              <w:rPr>
                <w:rFonts w:ascii="Arial" w:cs="Arial" w:eastAsia="Arial" w:hAnsi="Arial"/>
                <w:sz w:val="16"/>
                <w:szCs w:val="16"/>
                <w:b w:val="1"/>
                <w:bCs w:val="1"/>
                <w:color w:val="FEFEFE"/>
              </w:rPr>
              <w:t>​</w:t>
            </w:r>
          </w:p>
        </w:tc>
      </w:tr>
      <w:tr>
        <w:trPr>
          <w:trHeight w:val="257"/>
        </w:trPr>
        <w:tc>
          <w:tcPr>
            <w:tcW w:w="3220" w:type="dxa"/>
            <w:vAlign w:val="bottom"/>
            <w:tcBorders>
              <w:bottom w:val="single" w:sz="8" w:color="E7417A"/>
            </w:tcBorders>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Bruce McClelland</w:t>
            </w:r>
          </w:p>
        </w:tc>
        <w:tc>
          <w:tcPr>
            <w:tcW w:w="1240" w:type="dxa"/>
            <w:vAlign w:val="bottom"/>
            <w:tcBorders>
              <w:bottom w:val="single" w:sz="8" w:color="E7417A"/>
            </w:tcBorders>
          </w:tcPr>
          <w:p>
            <w:pPr>
              <w:ind w:left="102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E7417A"/>
            </w:tcBorders>
          </w:tcPr>
          <w:p>
            <w:pPr>
              <w:ind w:left="480"/>
              <w:spacing w:after="0" w:line="256" w:lineRule="exact"/>
              <w:rPr>
                <w:sz w:val="20"/>
                <w:szCs w:val="20"/>
                <w:color w:val="auto"/>
              </w:rPr>
            </w:pPr>
            <w:r>
              <w:rPr>
                <w:rFonts w:ascii="Arial" w:cs="Arial" w:eastAsia="Arial" w:hAnsi="Arial"/>
                <w:sz w:val="15"/>
                <w:szCs w:val="15"/>
                <w:color w:val="auto"/>
              </w:rPr>
              <w:t>​</w:t>
            </w:r>
            <w:r>
              <w:rPr>
                <w:rFonts w:ascii="Arial" w:cs="Arial" w:eastAsia="Arial" w:hAnsi="Arial"/>
                <w:sz w:val="29"/>
                <w:szCs w:val="29"/>
                <w:color w:val="auto"/>
                <w:vertAlign w:val="superscript"/>
              </w:rPr>
              <w:t>$</w:t>
            </w:r>
          </w:p>
        </w:tc>
        <w:tc>
          <w:tcPr>
            <w:tcW w:w="960" w:type="dxa"/>
            <w:vAlign w:val="bottom"/>
            <w:tcBorders>
              <w:bottom w:val="single" w:sz="8" w:color="E7417A"/>
            </w:tcBorders>
          </w:tcPr>
          <w:p>
            <w:pPr>
              <w:jc w:val="right"/>
              <w:ind w:right="259"/>
              <w:spacing w:after="0"/>
              <w:rPr>
                <w:sz w:val="20"/>
                <w:szCs w:val="20"/>
                <w:color w:val="auto"/>
              </w:rPr>
            </w:pPr>
            <w:r>
              <w:rPr>
                <w:rFonts w:ascii="Arial" w:cs="Arial" w:eastAsia="Arial" w:hAnsi="Arial"/>
                <w:sz w:val="16"/>
                <w:szCs w:val="16"/>
                <w:color w:val="auto"/>
              </w:rPr>
              <w:t>750,000</w:t>
            </w:r>
          </w:p>
        </w:tc>
        <w:tc>
          <w:tcPr>
            <w:tcW w:w="42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 ​ ​</w:t>
            </w:r>
          </w:p>
        </w:tc>
        <w:tc>
          <w:tcPr>
            <w:tcW w:w="540" w:type="dxa"/>
            <w:vAlign w:val="bottom"/>
            <w:tcBorders>
              <w:bottom w:val="single" w:sz="8" w:color="E7417A"/>
            </w:tcBorders>
          </w:tcPr>
          <w:p>
            <w:pPr>
              <w:ind w:left="320"/>
              <w:spacing w:after="0" w:line="256" w:lineRule="exact"/>
              <w:rPr>
                <w:sz w:val="20"/>
                <w:szCs w:val="20"/>
                <w:color w:val="auto"/>
              </w:rPr>
            </w:pPr>
            <w:r>
              <w:rPr>
                <w:rFonts w:ascii="Arial" w:cs="Arial" w:eastAsia="Arial" w:hAnsi="Arial"/>
                <w:sz w:val="15"/>
                <w:szCs w:val="15"/>
                <w:color w:val="auto"/>
              </w:rPr>
              <w:t>​</w:t>
            </w:r>
            <w:r>
              <w:rPr>
                <w:rFonts w:ascii="Arial" w:cs="Arial" w:eastAsia="Arial" w:hAnsi="Arial"/>
                <w:sz w:val="29"/>
                <w:szCs w:val="29"/>
                <w:color w:val="auto"/>
                <w:vertAlign w:val="superscript"/>
              </w:rPr>
              <w:t>$</w:t>
            </w:r>
          </w:p>
        </w:tc>
        <w:tc>
          <w:tcPr>
            <w:tcW w:w="920" w:type="dxa"/>
            <w:vAlign w:val="bottom"/>
            <w:tcBorders>
              <w:bottom w:val="single" w:sz="8" w:color="E7417A"/>
            </w:tcBorders>
          </w:tcPr>
          <w:p>
            <w:pPr>
              <w:jc w:val="right"/>
              <w:ind w:right="245"/>
              <w:spacing w:after="0"/>
              <w:rPr>
                <w:sz w:val="20"/>
                <w:szCs w:val="20"/>
                <w:color w:val="auto"/>
              </w:rPr>
            </w:pPr>
            <w:r>
              <w:rPr>
                <w:rFonts w:ascii="Arial" w:cs="Arial" w:eastAsia="Arial" w:hAnsi="Arial"/>
                <w:sz w:val="16"/>
                <w:szCs w:val="16"/>
                <w:color w:val="auto"/>
              </w:rPr>
              <w:t>525,000</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r>
      <w:tr>
        <w:trPr>
          <w:trHeight w:val="250"/>
        </w:trPr>
        <w:tc>
          <w:tcPr>
            <w:tcW w:w="322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John Townsend</w:t>
            </w:r>
          </w:p>
        </w:tc>
        <w:tc>
          <w:tcPr>
            <w:tcW w:w="1240" w:type="dxa"/>
            <w:vAlign w:val="bottom"/>
            <w:tcBorders>
              <w:bottom w:val="single" w:sz="8" w:color="E7417A"/>
            </w:tcBorders>
          </w:tcPr>
          <w:p>
            <w:pPr>
              <w:ind w:left="102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E7417A"/>
            </w:tcBorders>
          </w:tcPr>
          <w:p>
            <w:pPr>
              <w:ind w:left="4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60" w:type="dxa"/>
            <w:vAlign w:val="bottom"/>
            <w:tcBorders>
              <w:bottom w:val="single" w:sz="8" w:color="E7417A"/>
            </w:tcBorders>
          </w:tcPr>
          <w:p>
            <w:pPr>
              <w:jc w:val="right"/>
              <w:ind w:right="259"/>
              <w:spacing w:after="0"/>
              <w:rPr>
                <w:sz w:val="20"/>
                <w:szCs w:val="20"/>
                <w:color w:val="auto"/>
              </w:rPr>
            </w:pPr>
            <w:r>
              <w:rPr>
                <w:rFonts w:ascii="Arial" w:cs="Arial" w:eastAsia="Arial" w:hAnsi="Arial"/>
                <w:sz w:val="16"/>
                <w:szCs w:val="16"/>
                <w:color w:val="auto"/>
              </w:rPr>
              <w:t>375,000</w:t>
            </w:r>
          </w:p>
        </w:tc>
        <w:tc>
          <w:tcPr>
            <w:tcW w:w="42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 ​ ​</w:t>
            </w:r>
          </w:p>
        </w:tc>
        <w:tc>
          <w:tcPr>
            <w:tcW w:w="540" w:type="dxa"/>
            <w:vAlign w:val="bottom"/>
            <w:tcBorders>
              <w:bottom w:val="single" w:sz="8" w:color="E7417A"/>
            </w:tcBorders>
          </w:tcPr>
          <w:p>
            <w:pPr>
              <w:ind w:left="3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20" w:type="dxa"/>
            <w:vAlign w:val="bottom"/>
            <w:tcBorders>
              <w:bottom w:val="single" w:sz="8" w:color="E7417A"/>
            </w:tcBorders>
          </w:tcPr>
          <w:p>
            <w:pPr>
              <w:jc w:val="right"/>
              <w:ind w:right="125"/>
              <w:spacing w:after="0"/>
              <w:rPr>
                <w:sz w:val="20"/>
                <w:szCs w:val="20"/>
                <w:color w:val="auto"/>
              </w:rPr>
            </w:pPr>
            <w:r>
              <w:rPr>
                <w:rFonts w:ascii="Arial" w:cs="Arial" w:eastAsia="Arial" w:hAnsi="Arial"/>
                <w:sz w:val="16"/>
                <w:szCs w:val="16"/>
                <w:color w:val="auto"/>
              </w:rPr>
              <w:t>81,164</w:t>
            </w:r>
            <w:r>
              <w:rPr>
                <w:rFonts w:ascii="Arial" w:cs="Arial" w:eastAsia="Arial" w:hAnsi="Arial"/>
                <w:sz w:val="19"/>
                <w:szCs w:val="19"/>
                <w:color w:val="auto"/>
                <w:vertAlign w:val="superscript"/>
              </w:rPr>
              <w:t>(1)</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r>
      <w:tr>
        <w:trPr>
          <w:trHeight w:val="250"/>
        </w:trPr>
        <w:tc>
          <w:tcPr>
            <w:tcW w:w="322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Sam Bucci</w:t>
            </w:r>
          </w:p>
        </w:tc>
        <w:tc>
          <w:tcPr>
            <w:tcW w:w="1240" w:type="dxa"/>
            <w:vAlign w:val="bottom"/>
            <w:tcBorders>
              <w:bottom w:val="single" w:sz="8" w:color="E7417A"/>
            </w:tcBorders>
          </w:tcPr>
          <w:p>
            <w:pPr>
              <w:ind w:left="102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E7417A"/>
            </w:tcBorders>
          </w:tcPr>
          <w:p>
            <w:pPr>
              <w:ind w:left="4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60" w:type="dxa"/>
            <w:vAlign w:val="bottom"/>
            <w:tcBorders>
              <w:bottom w:val="single" w:sz="8" w:color="E7417A"/>
            </w:tcBorders>
          </w:tcPr>
          <w:p>
            <w:pPr>
              <w:jc w:val="right"/>
              <w:ind w:right="259"/>
              <w:spacing w:after="0"/>
              <w:rPr>
                <w:sz w:val="20"/>
                <w:szCs w:val="20"/>
                <w:color w:val="auto"/>
              </w:rPr>
            </w:pPr>
            <w:r>
              <w:rPr>
                <w:rFonts w:ascii="Arial" w:cs="Arial" w:eastAsia="Arial" w:hAnsi="Arial"/>
                <w:sz w:val="16"/>
                <w:szCs w:val="16"/>
                <w:color w:val="auto"/>
              </w:rPr>
              <w:t>344,138</w:t>
            </w:r>
          </w:p>
        </w:tc>
        <w:tc>
          <w:tcPr>
            <w:tcW w:w="42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 ​ ​</w:t>
            </w:r>
          </w:p>
        </w:tc>
        <w:tc>
          <w:tcPr>
            <w:tcW w:w="540" w:type="dxa"/>
            <w:vAlign w:val="bottom"/>
            <w:tcBorders>
              <w:bottom w:val="single" w:sz="8" w:color="E7417A"/>
            </w:tcBorders>
          </w:tcPr>
          <w:p>
            <w:pPr>
              <w:ind w:left="3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20" w:type="dxa"/>
            <w:vAlign w:val="bottom"/>
            <w:tcBorders>
              <w:bottom w:val="single" w:sz="8" w:color="E7417A"/>
            </w:tcBorders>
          </w:tcPr>
          <w:p>
            <w:pPr>
              <w:jc w:val="right"/>
              <w:ind w:right="245"/>
              <w:spacing w:after="0"/>
              <w:rPr>
                <w:sz w:val="20"/>
                <w:szCs w:val="20"/>
                <w:color w:val="auto"/>
              </w:rPr>
            </w:pPr>
            <w:r>
              <w:rPr>
                <w:rFonts w:ascii="Arial" w:cs="Arial" w:eastAsia="Arial" w:hAnsi="Arial"/>
                <w:sz w:val="16"/>
                <w:szCs w:val="16"/>
                <w:color w:val="auto"/>
              </w:rPr>
              <w:t>240,896</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r>
      <w:tr>
        <w:trPr>
          <w:trHeight w:val="250"/>
        </w:trPr>
        <w:tc>
          <w:tcPr>
            <w:tcW w:w="322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Patrick Macken</w:t>
            </w:r>
          </w:p>
        </w:tc>
        <w:tc>
          <w:tcPr>
            <w:tcW w:w="1240" w:type="dxa"/>
            <w:vAlign w:val="bottom"/>
            <w:tcBorders>
              <w:bottom w:val="single" w:sz="8" w:color="E7417A"/>
            </w:tcBorders>
          </w:tcPr>
          <w:p>
            <w:pPr>
              <w:ind w:left="102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E7417A"/>
            </w:tcBorders>
          </w:tcPr>
          <w:p>
            <w:pPr>
              <w:ind w:left="4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960" w:type="dxa"/>
            <w:vAlign w:val="bottom"/>
            <w:tcBorders>
              <w:bottom w:val="single" w:sz="8" w:color="E7417A"/>
            </w:tcBorders>
          </w:tcPr>
          <w:p>
            <w:pPr>
              <w:jc w:val="right"/>
              <w:ind w:right="259"/>
              <w:spacing w:after="0"/>
              <w:rPr>
                <w:sz w:val="20"/>
                <w:szCs w:val="20"/>
                <w:color w:val="auto"/>
              </w:rPr>
            </w:pPr>
            <w:r>
              <w:rPr>
                <w:rFonts w:ascii="Arial" w:cs="Arial" w:eastAsia="Arial" w:hAnsi="Arial"/>
                <w:sz w:val="16"/>
                <w:szCs w:val="16"/>
                <w:color w:val="auto"/>
              </w:rPr>
              <w:t>358,875</w:t>
            </w:r>
          </w:p>
        </w:tc>
        <w:tc>
          <w:tcPr>
            <w:tcW w:w="42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 ​ ​</w:t>
            </w:r>
          </w:p>
        </w:tc>
        <w:tc>
          <w:tcPr>
            <w:tcW w:w="540" w:type="dxa"/>
            <w:vAlign w:val="bottom"/>
            <w:tcBorders>
              <w:bottom w:val="single" w:sz="8" w:color="E7417A"/>
            </w:tcBorders>
          </w:tcPr>
          <w:p>
            <w:pPr>
              <w:ind w:left="3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920" w:type="dxa"/>
            <w:vAlign w:val="bottom"/>
            <w:tcBorders>
              <w:bottom w:val="single" w:sz="8" w:color="E7417A"/>
            </w:tcBorders>
          </w:tcPr>
          <w:p>
            <w:pPr>
              <w:jc w:val="right"/>
              <w:ind w:right="245"/>
              <w:spacing w:after="0"/>
              <w:rPr>
                <w:sz w:val="20"/>
                <w:szCs w:val="20"/>
                <w:color w:val="auto"/>
              </w:rPr>
            </w:pPr>
            <w:r>
              <w:rPr>
                <w:rFonts w:ascii="Arial" w:cs="Arial" w:eastAsia="Arial" w:hAnsi="Arial"/>
                <w:sz w:val="16"/>
                <w:szCs w:val="16"/>
                <w:color w:val="auto"/>
              </w:rPr>
              <w:t>251,213</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r>
      <w:tr>
        <w:trPr>
          <w:trHeight w:val="250"/>
        </w:trPr>
        <w:tc>
          <w:tcPr>
            <w:tcW w:w="322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Dan Redington</w:t>
            </w:r>
          </w:p>
        </w:tc>
        <w:tc>
          <w:tcPr>
            <w:tcW w:w="1240" w:type="dxa"/>
            <w:vAlign w:val="bottom"/>
            <w:tcBorders>
              <w:bottom w:val="single" w:sz="8" w:color="E7417A"/>
            </w:tcBorders>
          </w:tcPr>
          <w:p>
            <w:pPr>
              <w:ind w:left="102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E7417A"/>
            </w:tcBorders>
          </w:tcPr>
          <w:p>
            <w:pPr>
              <w:ind w:left="4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960" w:type="dxa"/>
            <w:vAlign w:val="bottom"/>
            <w:tcBorders>
              <w:bottom w:val="single" w:sz="8" w:color="E7417A"/>
            </w:tcBorders>
          </w:tcPr>
          <w:p>
            <w:pPr>
              <w:jc w:val="right"/>
              <w:ind w:right="259"/>
              <w:spacing w:after="0"/>
              <w:rPr>
                <w:sz w:val="20"/>
                <w:szCs w:val="20"/>
                <w:color w:val="auto"/>
              </w:rPr>
            </w:pPr>
            <w:r>
              <w:rPr>
                <w:rFonts w:ascii="Arial" w:cs="Arial" w:eastAsia="Arial" w:hAnsi="Arial"/>
                <w:sz w:val="16"/>
                <w:szCs w:val="16"/>
                <w:color w:val="auto"/>
              </w:rPr>
              <w:t>322,500</w:t>
            </w:r>
          </w:p>
        </w:tc>
        <w:tc>
          <w:tcPr>
            <w:tcW w:w="42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 ​ ​</w:t>
            </w:r>
          </w:p>
        </w:tc>
        <w:tc>
          <w:tcPr>
            <w:tcW w:w="540" w:type="dxa"/>
            <w:vAlign w:val="bottom"/>
            <w:tcBorders>
              <w:bottom w:val="single" w:sz="8" w:color="E7417A"/>
            </w:tcBorders>
          </w:tcPr>
          <w:p>
            <w:pPr>
              <w:ind w:left="3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920" w:type="dxa"/>
            <w:vAlign w:val="bottom"/>
            <w:tcBorders>
              <w:bottom w:val="single" w:sz="8" w:color="E7417A"/>
            </w:tcBorders>
          </w:tcPr>
          <w:p>
            <w:pPr>
              <w:jc w:val="right"/>
              <w:ind w:right="245"/>
              <w:spacing w:after="0"/>
              <w:rPr>
                <w:sz w:val="20"/>
                <w:szCs w:val="20"/>
                <w:color w:val="auto"/>
              </w:rPr>
            </w:pPr>
            <w:r>
              <w:rPr>
                <w:rFonts w:ascii="Arial" w:cs="Arial" w:eastAsia="Arial" w:hAnsi="Arial"/>
                <w:sz w:val="16"/>
                <w:szCs w:val="16"/>
                <w:color w:val="auto"/>
              </w:rPr>
              <w:t>225,750</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r>
      <w:tr>
        <w:trPr>
          <w:trHeight w:val="250"/>
        </w:trPr>
        <w:tc>
          <w:tcPr>
            <w:tcW w:w="3220" w:type="dxa"/>
            <w:vAlign w:val="bottom"/>
            <w:tcBorders>
              <w:bottom w:val="single" w:sz="8" w:color="62259D"/>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Miguel Lopez</w:t>
            </w:r>
          </w:p>
        </w:tc>
        <w:tc>
          <w:tcPr>
            <w:tcW w:w="1240" w:type="dxa"/>
            <w:vAlign w:val="bottom"/>
            <w:tcBorders>
              <w:bottom w:val="single" w:sz="8" w:color="62259D"/>
            </w:tcBorders>
          </w:tcPr>
          <w:p>
            <w:pPr>
              <w:ind w:left="102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62259D"/>
            </w:tcBorders>
          </w:tcPr>
          <w:p>
            <w:pPr>
              <w:ind w:left="4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60" w:type="dxa"/>
            <w:vAlign w:val="bottom"/>
            <w:tcBorders>
              <w:bottom w:val="single" w:sz="8" w:color="62259D"/>
            </w:tcBorders>
          </w:tcPr>
          <w:p>
            <w:pPr>
              <w:jc w:val="right"/>
              <w:ind w:right="259"/>
              <w:spacing w:after="0"/>
              <w:rPr>
                <w:sz w:val="20"/>
                <w:szCs w:val="20"/>
                <w:color w:val="auto"/>
              </w:rPr>
            </w:pPr>
            <w:r>
              <w:rPr>
                <w:rFonts w:ascii="Arial" w:cs="Arial" w:eastAsia="Arial" w:hAnsi="Arial"/>
                <w:sz w:val="16"/>
                <w:szCs w:val="16"/>
                <w:color w:val="auto"/>
              </w:rPr>
              <w:t>393,750</w:t>
            </w:r>
          </w:p>
        </w:tc>
        <w:tc>
          <w:tcPr>
            <w:tcW w:w="420" w:type="dxa"/>
            <w:vAlign w:val="bottom"/>
            <w:tcBorders>
              <w:bottom w:val="single" w:sz="8" w:color="62259D"/>
            </w:tcBorders>
          </w:tcPr>
          <w:p>
            <w:pPr>
              <w:ind w:left="140"/>
              <w:spacing w:after="0"/>
              <w:rPr>
                <w:sz w:val="20"/>
                <w:szCs w:val="20"/>
                <w:color w:val="auto"/>
              </w:rPr>
            </w:pPr>
            <w:r>
              <w:rPr>
                <w:rFonts w:ascii="Arial" w:cs="Arial" w:eastAsia="Arial" w:hAnsi="Arial"/>
                <w:sz w:val="16"/>
                <w:szCs w:val="16"/>
                <w:color w:val="auto"/>
              </w:rPr>
              <w:t>​ ​ ​</w:t>
            </w:r>
          </w:p>
        </w:tc>
        <w:tc>
          <w:tcPr>
            <w:tcW w:w="540" w:type="dxa"/>
            <w:vAlign w:val="bottom"/>
            <w:tcBorders>
              <w:bottom w:val="single" w:sz="8" w:color="62259D"/>
            </w:tcBorders>
          </w:tcPr>
          <w:p>
            <w:pPr>
              <w:ind w:left="32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920" w:type="dxa"/>
            <w:vAlign w:val="bottom"/>
            <w:tcBorders>
              <w:bottom w:val="single" w:sz="8" w:color="62259D"/>
            </w:tcBorders>
          </w:tcPr>
          <w:p>
            <w:pPr>
              <w:jc w:val="right"/>
              <w:ind w:right="125"/>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9"/>
                <w:szCs w:val="9"/>
                <w:color w:val="auto"/>
              </w:rPr>
              <w:t>(2)</w:t>
            </w:r>
          </w:p>
        </w:tc>
        <w:tc>
          <w:tcPr>
            <w:tcW w:w="180" w:type="dxa"/>
            <w:vAlign w:val="bottom"/>
            <w:tcBorders>
              <w:bottom w:val="single" w:sz="8" w:color="62259D"/>
            </w:tcBorders>
          </w:tcPr>
          <w:p>
            <w:pPr>
              <w:spacing w:after="0"/>
              <w:rPr>
                <w:sz w:val="20"/>
                <w:szCs w:val="20"/>
                <w:color w:val="auto"/>
              </w:rPr>
            </w:pPr>
            <w:r>
              <w:rPr>
                <w:rFonts w:ascii="Arial" w:cs="Arial" w:eastAsia="Arial" w:hAnsi="Arial"/>
                <w:sz w:val="16"/>
                <w:szCs w:val="16"/>
                <w:color w:val="auto"/>
              </w:rPr>
              <w:t>​​</w:t>
            </w:r>
          </w:p>
        </w:tc>
      </w:tr>
    </w:tbl>
    <w:p>
      <w:pPr>
        <w:spacing w:after="0" w:line="188" w:lineRule="exact"/>
        <w:rPr>
          <w:sz w:val="20"/>
          <w:szCs w:val="20"/>
          <w:color w:val="auto"/>
        </w:rPr>
      </w:pPr>
    </w:p>
    <w:p>
      <w:pPr>
        <w:ind w:left="1400" w:right="439" w:hanging="368"/>
        <w:spacing w:after="0" w:line="286" w:lineRule="auto"/>
        <w:tabs>
          <w:tab w:leader="none" w:pos="14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Reflects pro-rated bonus for period November 1, 2024 through December 31, 2024 based on 100% of target pursuant to terms of Mr. Townsend’s employment agreement.</w:t>
      </w:r>
    </w:p>
    <w:p>
      <w:pPr>
        <w:spacing w:after="0" w:line="7" w:lineRule="exact"/>
        <w:rPr>
          <w:rFonts w:ascii="Arial" w:cs="Arial" w:eastAsia="Arial" w:hAnsi="Arial"/>
          <w:sz w:val="16"/>
          <w:szCs w:val="16"/>
          <w:color w:val="auto"/>
        </w:rPr>
      </w:pPr>
    </w:p>
    <w:p>
      <w:pPr>
        <w:ind w:left="1400" w:hanging="368"/>
        <w:spacing w:after="0"/>
        <w:tabs>
          <w:tab w:leader="none" w:pos="14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Mr. Lopez retired effective November 1, 2024 and as a result was not eligible to receive a cash bonus under the</w:t>
      </w:r>
    </w:p>
    <w:p>
      <w:pPr>
        <w:spacing w:after="0" w:line="21" w:lineRule="exact"/>
        <w:rPr>
          <w:rFonts w:ascii="Arial" w:cs="Arial" w:eastAsia="Arial" w:hAnsi="Arial"/>
          <w:sz w:val="16"/>
          <w:szCs w:val="16"/>
          <w:color w:val="auto"/>
        </w:rPr>
      </w:pPr>
    </w:p>
    <w:p>
      <w:pPr>
        <w:ind w:left="1400"/>
        <w:spacing w:after="0"/>
        <w:rPr>
          <w:rFonts w:ascii="Arial" w:cs="Arial" w:eastAsia="Arial" w:hAnsi="Arial"/>
          <w:sz w:val="16"/>
          <w:szCs w:val="16"/>
          <w:color w:val="auto"/>
        </w:rPr>
      </w:pPr>
      <w:r>
        <w:rPr>
          <w:rFonts w:ascii="Arial" w:cs="Arial" w:eastAsia="Arial" w:hAnsi="Arial"/>
          <w:sz w:val="16"/>
          <w:szCs w:val="16"/>
          <w:color w:val="auto"/>
        </w:rPr>
        <w:t>SMCIP.</w:t>
      </w:r>
    </w:p>
    <w:p>
      <w:pPr>
        <w:spacing w:after="0" w:line="20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44</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addition to the bonus paid under the SMCIP, Messrs. Lopez and Macken were also each paid an</w:t>
      </w:r>
    </w:p>
    <w:p>
      <w:pPr>
        <w:spacing w:after="0" w:line="14" w:lineRule="exact"/>
        <w:rPr>
          <w:sz w:val="20"/>
          <w:szCs w:val="20"/>
          <w:color w:val="auto"/>
        </w:rPr>
      </w:pPr>
    </w:p>
    <w:p>
      <w:pPr>
        <w:ind w:left="920" w:right="879"/>
        <w:spacing w:after="0" w:line="237" w:lineRule="auto"/>
        <w:rPr>
          <w:sz w:val="20"/>
          <w:szCs w:val="20"/>
          <w:color w:val="auto"/>
        </w:rPr>
      </w:pPr>
      <w:r>
        <w:rPr>
          <w:rFonts w:ascii="Arial" w:cs="Arial" w:eastAsia="Arial" w:hAnsi="Arial"/>
          <w:sz w:val="18"/>
          <w:szCs w:val="18"/>
          <w:color w:val="auto"/>
        </w:rPr>
        <w:t>additional cash bonus of $100,000 in 2024 in recognition of their work done in connection with the completion of the refinancing of our credit facility.</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Annual Equity-Based Incentives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Equity-based incentives are provided to executives whose decisions and actions have a direct impact upon</w:t>
      </w:r>
    </w:p>
    <w:p>
      <w:pPr>
        <w:spacing w:after="0" w:line="14" w:lineRule="exact"/>
        <w:rPr>
          <w:sz w:val="20"/>
          <w:szCs w:val="20"/>
          <w:color w:val="auto"/>
        </w:rPr>
      </w:pPr>
    </w:p>
    <w:p>
      <w:pPr>
        <w:ind w:left="920" w:right="139"/>
        <w:spacing w:after="0" w:line="226" w:lineRule="auto"/>
        <w:rPr>
          <w:sz w:val="20"/>
          <w:szCs w:val="20"/>
          <w:color w:val="auto"/>
        </w:rPr>
      </w:pPr>
      <w:r>
        <w:rPr>
          <w:rFonts w:ascii="Arial" w:cs="Arial" w:eastAsia="Arial" w:hAnsi="Arial"/>
          <w:sz w:val="18"/>
          <w:szCs w:val="18"/>
          <w:color w:val="auto"/>
        </w:rPr>
        <w:t>our long-term performance and success. PSUs and RSUs were granted to our executive officers in 2024 to link a significant portion of their compensation directly to our long-term success, which aligns with the</w:t>
      </w:r>
    </w:p>
    <w:p>
      <w:pPr>
        <w:spacing w:after="0" w:line="2" w:lineRule="exact"/>
        <w:rPr>
          <w:sz w:val="20"/>
          <w:szCs w:val="20"/>
          <w:color w:val="auto"/>
        </w:rPr>
      </w:pPr>
    </w:p>
    <w:p>
      <w:pPr>
        <w:ind w:left="920" w:right="299"/>
        <w:spacing w:after="0" w:line="250" w:lineRule="auto"/>
        <w:rPr>
          <w:sz w:val="20"/>
          <w:szCs w:val="20"/>
          <w:color w:val="auto"/>
        </w:rPr>
      </w:pPr>
      <w:r>
        <w:rPr>
          <w:rFonts w:ascii="Arial" w:cs="Arial" w:eastAsia="Arial" w:hAnsi="Arial"/>
          <w:sz w:val="18"/>
          <w:szCs w:val="18"/>
          <w:color w:val="auto"/>
        </w:rPr>
        <w:t>Compensation Committee’s philosophy. In determining the size of the PSU and RSU awards granted to each executive officer in 2024, the Compensation Committee considered a multitude of factors including:</w:t>
      </w:r>
    </w:p>
    <w:p>
      <w:pPr>
        <w:spacing w:after="0" w:line="77" w:lineRule="exact"/>
        <w:rPr>
          <w:sz w:val="20"/>
          <w:szCs w:val="20"/>
          <w:color w:val="auto"/>
        </w:rPr>
      </w:pPr>
    </w:p>
    <w:p>
      <w:pPr>
        <w:ind w:left="1280" w:hanging="356"/>
        <w:spacing w:after="0"/>
        <w:tabs>
          <w:tab w:leader="none" w:pos="1280" w:val="left"/>
        </w:tabs>
        <w:numPr>
          <w:ilvl w:val="0"/>
          <w:numId w:val="107"/>
        </w:numPr>
        <w:rPr>
          <w:rFonts w:ascii="Arial" w:cs="Arial" w:eastAsia="Arial" w:hAnsi="Arial"/>
          <w:sz w:val="18"/>
          <w:szCs w:val="18"/>
          <w:color w:val="62259D"/>
        </w:rPr>
      </w:pPr>
      <w:r>
        <w:rPr>
          <w:rFonts w:ascii="Arial" w:cs="Arial" w:eastAsia="Arial" w:hAnsi="Arial"/>
          <w:sz w:val="18"/>
          <w:szCs w:val="18"/>
          <w:color w:val="auto"/>
        </w:rPr>
        <w:t>the executive officer’s role,</w:t>
      </w:r>
    </w:p>
    <w:p>
      <w:pPr>
        <w:spacing w:after="0" w:line="76" w:lineRule="exact"/>
        <w:rPr>
          <w:rFonts w:ascii="Arial" w:cs="Arial" w:eastAsia="Arial" w:hAnsi="Arial"/>
          <w:sz w:val="18"/>
          <w:szCs w:val="18"/>
          <w:color w:val="62259D"/>
        </w:rPr>
      </w:pPr>
    </w:p>
    <w:p>
      <w:pPr>
        <w:ind w:left="1280" w:hanging="356"/>
        <w:spacing w:after="0"/>
        <w:tabs>
          <w:tab w:leader="none" w:pos="1280" w:val="left"/>
        </w:tabs>
        <w:numPr>
          <w:ilvl w:val="0"/>
          <w:numId w:val="107"/>
        </w:numPr>
        <w:rPr>
          <w:rFonts w:ascii="Arial" w:cs="Arial" w:eastAsia="Arial" w:hAnsi="Arial"/>
          <w:sz w:val="18"/>
          <w:szCs w:val="18"/>
          <w:color w:val="62259D"/>
        </w:rPr>
      </w:pPr>
      <w:r>
        <w:rPr>
          <w:rFonts w:ascii="Arial" w:cs="Arial" w:eastAsia="Arial" w:hAnsi="Arial"/>
          <w:sz w:val="18"/>
          <w:szCs w:val="18"/>
          <w:color w:val="auto"/>
        </w:rPr>
        <w:t>past performance,</w:t>
      </w:r>
    </w:p>
    <w:p>
      <w:pPr>
        <w:spacing w:after="0" w:line="63" w:lineRule="exact"/>
        <w:rPr>
          <w:rFonts w:ascii="Arial" w:cs="Arial" w:eastAsia="Arial" w:hAnsi="Arial"/>
          <w:sz w:val="18"/>
          <w:szCs w:val="18"/>
          <w:color w:val="62259D"/>
        </w:rPr>
      </w:pPr>
    </w:p>
    <w:p>
      <w:pPr>
        <w:ind w:left="1280" w:hanging="356"/>
        <w:spacing w:after="0"/>
        <w:tabs>
          <w:tab w:leader="none" w:pos="1280" w:val="left"/>
        </w:tabs>
        <w:numPr>
          <w:ilvl w:val="0"/>
          <w:numId w:val="107"/>
        </w:numPr>
        <w:rPr>
          <w:rFonts w:ascii="Arial" w:cs="Arial" w:eastAsia="Arial" w:hAnsi="Arial"/>
          <w:sz w:val="18"/>
          <w:szCs w:val="18"/>
          <w:color w:val="62259D"/>
        </w:rPr>
      </w:pPr>
      <w:r>
        <w:rPr>
          <w:rFonts w:ascii="Arial" w:cs="Arial" w:eastAsia="Arial" w:hAnsi="Arial"/>
          <w:sz w:val="18"/>
          <w:szCs w:val="18"/>
          <w:color w:val="auto"/>
        </w:rPr>
        <w:t>anticipated contribution to our long-term goals,</w:t>
      </w:r>
    </w:p>
    <w:p>
      <w:pPr>
        <w:spacing w:after="0" w:line="76" w:lineRule="exact"/>
        <w:rPr>
          <w:rFonts w:ascii="Arial" w:cs="Arial" w:eastAsia="Arial" w:hAnsi="Arial"/>
          <w:sz w:val="18"/>
          <w:szCs w:val="18"/>
          <w:color w:val="62259D"/>
        </w:rPr>
      </w:pPr>
    </w:p>
    <w:p>
      <w:pPr>
        <w:ind w:left="1280" w:hanging="356"/>
        <w:spacing w:after="0"/>
        <w:tabs>
          <w:tab w:leader="none" w:pos="1280" w:val="left"/>
        </w:tabs>
        <w:numPr>
          <w:ilvl w:val="0"/>
          <w:numId w:val="107"/>
        </w:numPr>
        <w:rPr>
          <w:rFonts w:ascii="Arial" w:cs="Arial" w:eastAsia="Arial" w:hAnsi="Arial"/>
          <w:sz w:val="18"/>
          <w:szCs w:val="18"/>
          <w:color w:val="62259D"/>
        </w:rPr>
      </w:pPr>
      <w:r>
        <w:rPr>
          <w:rFonts w:ascii="Arial" w:cs="Arial" w:eastAsia="Arial" w:hAnsi="Arial"/>
          <w:sz w:val="18"/>
          <w:szCs w:val="18"/>
          <w:color w:val="auto"/>
        </w:rPr>
        <w:t>areas of focus for the year,</w:t>
      </w:r>
    </w:p>
    <w:p>
      <w:pPr>
        <w:spacing w:after="0" w:line="63" w:lineRule="exact"/>
        <w:rPr>
          <w:rFonts w:ascii="Arial" w:cs="Arial" w:eastAsia="Arial" w:hAnsi="Arial"/>
          <w:sz w:val="18"/>
          <w:szCs w:val="18"/>
          <w:color w:val="62259D"/>
        </w:rPr>
      </w:pPr>
    </w:p>
    <w:p>
      <w:pPr>
        <w:ind w:left="1280" w:hanging="356"/>
        <w:spacing w:after="0"/>
        <w:tabs>
          <w:tab w:leader="none" w:pos="1280" w:val="left"/>
        </w:tabs>
        <w:numPr>
          <w:ilvl w:val="0"/>
          <w:numId w:val="107"/>
        </w:numPr>
        <w:rPr>
          <w:rFonts w:ascii="Arial" w:cs="Arial" w:eastAsia="Arial" w:hAnsi="Arial"/>
          <w:sz w:val="18"/>
          <w:szCs w:val="18"/>
          <w:color w:val="62259D"/>
        </w:rPr>
      </w:pPr>
      <w:r>
        <w:rPr>
          <w:rFonts w:ascii="Arial" w:cs="Arial" w:eastAsia="Arial" w:hAnsi="Arial"/>
          <w:sz w:val="18"/>
          <w:szCs w:val="18"/>
          <w:color w:val="auto"/>
        </w:rPr>
        <w:t>market data,</w:t>
      </w:r>
    </w:p>
    <w:p>
      <w:pPr>
        <w:spacing w:after="0" w:line="76" w:lineRule="exact"/>
        <w:rPr>
          <w:rFonts w:ascii="Arial" w:cs="Arial" w:eastAsia="Arial" w:hAnsi="Arial"/>
          <w:sz w:val="18"/>
          <w:szCs w:val="18"/>
          <w:color w:val="62259D"/>
        </w:rPr>
      </w:pPr>
    </w:p>
    <w:p>
      <w:pPr>
        <w:ind w:left="1280" w:hanging="356"/>
        <w:spacing w:after="0"/>
        <w:tabs>
          <w:tab w:leader="none" w:pos="1280" w:val="left"/>
        </w:tabs>
        <w:numPr>
          <w:ilvl w:val="0"/>
          <w:numId w:val="107"/>
        </w:numPr>
        <w:rPr>
          <w:rFonts w:ascii="Arial" w:cs="Arial" w:eastAsia="Arial" w:hAnsi="Arial"/>
          <w:sz w:val="18"/>
          <w:szCs w:val="18"/>
          <w:color w:val="62259D"/>
        </w:rPr>
      </w:pPr>
      <w:r>
        <w:rPr>
          <w:rFonts w:ascii="Arial" w:cs="Arial" w:eastAsia="Arial" w:hAnsi="Arial"/>
          <w:sz w:val="18"/>
          <w:szCs w:val="18"/>
          <w:color w:val="auto"/>
        </w:rPr>
        <w:t>equity granted in prior years, and</w:t>
      </w:r>
    </w:p>
    <w:p>
      <w:pPr>
        <w:spacing w:after="0" w:line="63" w:lineRule="exact"/>
        <w:rPr>
          <w:rFonts w:ascii="Arial" w:cs="Arial" w:eastAsia="Arial" w:hAnsi="Arial"/>
          <w:sz w:val="18"/>
          <w:szCs w:val="18"/>
          <w:color w:val="62259D"/>
        </w:rPr>
      </w:pPr>
    </w:p>
    <w:p>
      <w:pPr>
        <w:ind w:left="1280" w:hanging="356"/>
        <w:spacing w:after="0"/>
        <w:tabs>
          <w:tab w:leader="none" w:pos="1280" w:val="left"/>
        </w:tabs>
        <w:numPr>
          <w:ilvl w:val="0"/>
          <w:numId w:val="107"/>
        </w:numPr>
        <w:rPr>
          <w:rFonts w:ascii="Arial" w:cs="Arial" w:eastAsia="Arial" w:hAnsi="Arial"/>
          <w:sz w:val="18"/>
          <w:szCs w:val="18"/>
          <w:color w:val="62259D"/>
        </w:rPr>
      </w:pPr>
      <w:r>
        <w:rPr>
          <w:rFonts w:ascii="Arial" w:cs="Arial" w:eastAsia="Arial" w:hAnsi="Arial"/>
          <w:sz w:val="18"/>
          <w:szCs w:val="18"/>
          <w:color w:val="auto"/>
        </w:rPr>
        <w:t>existing levels of stock ownership.</w:t>
      </w:r>
    </w:p>
    <w:p>
      <w:pPr>
        <w:spacing w:after="0" w:line="222" w:lineRule="exact"/>
        <w:rPr>
          <w:sz w:val="20"/>
          <w:szCs w:val="20"/>
          <w:color w:val="auto"/>
        </w:rPr>
      </w:pPr>
    </w:p>
    <w:p>
      <w:pPr>
        <w:ind w:left="920"/>
        <w:spacing w:after="0"/>
        <w:rPr>
          <w:sz w:val="20"/>
          <w:szCs w:val="20"/>
          <w:color w:val="auto"/>
        </w:rPr>
      </w:pPr>
      <w:r>
        <w:rPr>
          <w:rFonts w:ascii="Arial" w:cs="Arial" w:eastAsia="Arial" w:hAnsi="Arial"/>
          <w:sz w:val="20"/>
          <w:szCs w:val="20"/>
          <w:color w:val="E7417A"/>
        </w:rPr>
        <w:t>2024 EQUITY AWARDS</w:t>
      </w:r>
    </w:p>
    <w:p>
      <w:pPr>
        <w:spacing w:after="0" w:line="110" w:lineRule="exact"/>
        <w:rPr>
          <w:sz w:val="20"/>
          <w:szCs w:val="20"/>
          <w:color w:val="auto"/>
        </w:rPr>
      </w:pPr>
    </w:p>
    <w:p>
      <w:pPr>
        <w:ind w:left="920" w:right="279"/>
        <w:spacing w:after="0" w:line="245" w:lineRule="auto"/>
        <w:rPr>
          <w:sz w:val="20"/>
          <w:szCs w:val="20"/>
          <w:color w:val="auto"/>
        </w:rPr>
      </w:pPr>
      <w:r>
        <w:rPr>
          <w:rFonts w:ascii="Arial" w:cs="Arial" w:eastAsia="Arial" w:hAnsi="Arial"/>
          <w:sz w:val="18"/>
          <w:szCs w:val="18"/>
          <w:color w:val="auto"/>
        </w:rPr>
        <w:t>We made annual equity grants to our NEOs in 2024 as shown in the table below. Generally 50% of the annual equity based incentives granted to our executives officers are in the form of RSUs and 50% are in</w:t>
      </w:r>
    </w:p>
    <w:p>
      <w:pPr>
        <w:ind w:left="920" w:right="539"/>
        <w:spacing w:after="0" w:line="226" w:lineRule="auto"/>
        <w:rPr>
          <w:sz w:val="20"/>
          <w:szCs w:val="20"/>
          <w:color w:val="auto"/>
        </w:rPr>
      </w:pPr>
      <w:r>
        <w:rPr>
          <w:rFonts w:ascii="Arial" w:cs="Arial" w:eastAsia="Arial" w:hAnsi="Arial"/>
          <w:sz w:val="18"/>
          <w:szCs w:val="18"/>
          <w:color w:val="auto"/>
        </w:rPr>
        <w:t>the form of PSUs, with the PSUs then split between financial performance (60%) and relative total stockholder return (40%) as described in more detail below. In 2024, approximately 67% of the annual</w:t>
      </w:r>
    </w:p>
    <w:p>
      <w:pPr>
        <w:ind w:left="920"/>
        <w:spacing w:after="0" w:line="236" w:lineRule="auto"/>
        <w:rPr>
          <w:sz w:val="20"/>
          <w:szCs w:val="20"/>
          <w:color w:val="auto"/>
        </w:rPr>
      </w:pPr>
      <w:r>
        <w:rPr>
          <w:rFonts w:ascii="Arial" w:cs="Arial" w:eastAsia="Arial" w:hAnsi="Arial"/>
          <w:sz w:val="18"/>
          <w:szCs w:val="18"/>
          <w:color w:val="auto"/>
        </w:rPr>
        <w:t>equity awards were in the form of PSUs. In addition to the awards listed below, in connection with</w:t>
      </w:r>
    </w:p>
    <w:p>
      <w:pPr>
        <w:spacing w:after="0" w:line="1" w:lineRule="exact"/>
        <w:rPr>
          <w:sz w:val="20"/>
          <w:szCs w:val="20"/>
          <w:color w:val="auto"/>
        </w:rPr>
      </w:pPr>
    </w:p>
    <w:p>
      <w:pPr>
        <w:ind w:left="920" w:right="619"/>
        <w:spacing w:after="0" w:line="226" w:lineRule="auto"/>
        <w:rPr>
          <w:sz w:val="20"/>
          <w:szCs w:val="20"/>
          <w:color w:val="auto"/>
        </w:rPr>
      </w:pPr>
      <w:r>
        <w:rPr>
          <w:rFonts w:ascii="Arial" w:cs="Arial" w:eastAsia="Arial" w:hAnsi="Arial"/>
          <w:sz w:val="18"/>
          <w:szCs w:val="18"/>
          <w:color w:val="auto"/>
        </w:rPr>
        <w:t>appointment as Executive Vice President, Chief Financial Officer of the Company, Mr. Townsend was awarded an additional equity inducement grant as described below under “— Townsend Inducement</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Grant.” No equity awards were made to Mr. Lopez in 2024.</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215"/>
        </w:trPr>
        <w:tc>
          <w:tcPr>
            <w:tcW w:w="60" w:type="dxa"/>
            <w:vAlign w:val="bottom"/>
            <w:shd w:val="clear" w:color="auto" w:fill="62259D"/>
          </w:tcPr>
          <w:p>
            <w:pPr>
              <w:spacing w:after="0"/>
              <w:rPr>
                <w:sz w:val="18"/>
                <w:szCs w:val="18"/>
                <w:color w:val="auto"/>
              </w:rPr>
            </w:pPr>
          </w:p>
        </w:tc>
        <w:tc>
          <w:tcPr>
            <w:tcW w:w="3500" w:type="dxa"/>
            <w:vAlign w:val="bottom"/>
            <w:shd w:val="clear" w:color="auto" w:fill="62259D"/>
          </w:tcPr>
          <w:p>
            <w:pPr>
              <w:spacing w:after="0"/>
              <w:rPr>
                <w:sz w:val="18"/>
                <w:szCs w:val="18"/>
                <w:color w:val="auto"/>
              </w:rPr>
            </w:pPr>
          </w:p>
        </w:tc>
        <w:tc>
          <w:tcPr>
            <w:tcW w:w="1600" w:type="dxa"/>
            <w:vAlign w:val="bottom"/>
            <w:shd w:val="clear" w:color="auto" w:fill="62259D"/>
          </w:tcPr>
          <w:p>
            <w:pPr>
              <w:spacing w:after="0"/>
              <w:rPr>
                <w:sz w:val="18"/>
                <w:szCs w:val="18"/>
                <w:color w:val="auto"/>
              </w:rPr>
            </w:pPr>
          </w:p>
        </w:tc>
        <w:tc>
          <w:tcPr>
            <w:tcW w:w="2980" w:type="dxa"/>
            <w:vAlign w:val="bottom"/>
            <w:gridSpan w:val="3"/>
            <w:shd w:val="clear" w:color="auto" w:fill="62259D"/>
          </w:tcPr>
          <w:p>
            <w:pPr>
              <w:spacing w:after="0"/>
              <w:rPr>
                <w:sz w:val="20"/>
                <w:szCs w:val="20"/>
                <w:color w:val="auto"/>
              </w:rPr>
            </w:pPr>
            <w:r>
              <w:rPr>
                <w:rFonts w:ascii="Arial" w:cs="Arial" w:eastAsia="Arial" w:hAnsi="Arial"/>
                <w:sz w:val="16"/>
                <w:szCs w:val="16"/>
                <w:b w:val="1"/>
                <w:bCs w:val="1"/>
                <w:color w:val="FEFEFE"/>
              </w:rPr>
              <w:t>Performance-Based Stock Units</w:t>
            </w:r>
          </w:p>
        </w:tc>
        <w:tc>
          <w:tcPr>
            <w:tcW w:w="620" w:type="dxa"/>
            <w:vAlign w:val="bottom"/>
            <w:shd w:val="clear" w:color="auto" w:fill="62259D"/>
          </w:tcPr>
          <w:p>
            <w:pPr>
              <w:ind w:left="40"/>
              <w:spacing w:after="0"/>
              <w:rPr>
                <w:sz w:val="20"/>
                <w:szCs w:val="20"/>
                <w:color w:val="auto"/>
              </w:rPr>
            </w:pPr>
            <w:r>
              <w:rPr>
                <w:rFonts w:ascii="Arial" w:cs="Arial" w:eastAsia="Arial" w:hAnsi="Arial"/>
                <w:sz w:val="16"/>
                <w:szCs w:val="16"/>
                <w:b w:val="1"/>
                <w:bCs w:val="1"/>
                <w:color w:val="FEFEFE"/>
              </w:rPr>
              <w:t>RSUs</w:t>
            </w:r>
          </w:p>
        </w:tc>
        <w:tc>
          <w:tcPr>
            <w:tcW w:w="100" w:type="dxa"/>
            <w:vAlign w:val="bottom"/>
            <w:shd w:val="clear" w:color="auto" w:fill="62259D"/>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62259D"/>
          </w:tcPr>
          <w:p>
            <w:pPr>
              <w:spacing w:after="0"/>
              <w:rPr>
                <w:sz w:val="20"/>
                <w:szCs w:val="20"/>
                <w:color w:val="auto"/>
              </w:rPr>
            </w:pPr>
          </w:p>
        </w:tc>
        <w:tc>
          <w:tcPr>
            <w:tcW w:w="3500" w:type="dxa"/>
            <w:vAlign w:val="bottom"/>
            <w:shd w:val="clear" w:color="auto" w:fill="62259D"/>
          </w:tcPr>
          <w:p>
            <w:pPr>
              <w:spacing w:after="0"/>
              <w:rPr>
                <w:sz w:val="20"/>
                <w:szCs w:val="20"/>
                <w:color w:val="auto"/>
              </w:rPr>
            </w:pPr>
            <w:r>
              <w:rPr>
                <w:rFonts w:ascii="Arial" w:cs="Arial" w:eastAsia="Arial" w:hAnsi="Arial"/>
                <w:sz w:val="16"/>
                <w:szCs w:val="16"/>
                <w:b w:val="1"/>
                <w:bCs w:val="1"/>
                <w:color w:val="FEFEFE"/>
              </w:rPr>
              <w:t>​Named Executive Officer</w:t>
            </w:r>
          </w:p>
        </w:tc>
        <w:tc>
          <w:tcPr>
            <w:tcW w:w="1600" w:type="dxa"/>
            <w:vAlign w:val="bottom"/>
            <w:shd w:val="clear" w:color="auto" w:fill="62259D"/>
          </w:tcPr>
          <w:p>
            <w:pPr>
              <w:ind w:left="1440"/>
              <w:spacing w:after="0"/>
              <w:rPr>
                <w:sz w:val="20"/>
                <w:szCs w:val="20"/>
                <w:color w:val="auto"/>
              </w:rPr>
            </w:pPr>
            <w:r>
              <w:rPr>
                <w:rFonts w:ascii="Arial" w:cs="Arial" w:eastAsia="Arial" w:hAnsi="Arial"/>
                <w:sz w:val="16"/>
                <w:szCs w:val="16"/>
                <w:b w:val="1"/>
                <w:bCs w:val="1"/>
                <w:color w:val="FEFEFE"/>
              </w:rPr>
              <w:t>​ ​</w:t>
            </w:r>
          </w:p>
        </w:tc>
        <w:tc>
          <w:tcPr>
            <w:tcW w:w="2440" w:type="dxa"/>
            <w:vAlign w:val="bottom"/>
            <w:gridSpan w:val="2"/>
            <w:shd w:val="clear" w:color="auto" w:fill="62259D"/>
          </w:tcPr>
          <w:p>
            <w:pPr>
              <w:jc w:val="right"/>
              <w:ind w:right="119"/>
              <w:spacing w:after="0"/>
              <w:rPr>
                <w:sz w:val="20"/>
                <w:szCs w:val="20"/>
                <w:color w:val="auto"/>
              </w:rPr>
            </w:pPr>
            <w:r>
              <w:rPr>
                <w:rFonts w:ascii="Arial" w:cs="Arial" w:eastAsia="Arial" w:hAnsi="Arial"/>
                <w:sz w:val="16"/>
                <w:szCs w:val="16"/>
                <w:b w:val="1"/>
                <w:bCs w:val="1"/>
                <w:color w:val="FEFEFE"/>
              </w:rPr>
              <w:t>(# at Target Vesting)</w:t>
            </w:r>
          </w:p>
        </w:tc>
        <w:tc>
          <w:tcPr>
            <w:tcW w:w="540" w:type="dxa"/>
            <w:vAlign w:val="bottom"/>
            <w:shd w:val="clear" w:color="auto" w:fill="62259D"/>
          </w:tcPr>
          <w:p>
            <w:pPr>
              <w:ind w:left="380"/>
              <w:spacing w:after="0"/>
              <w:rPr>
                <w:sz w:val="20"/>
                <w:szCs w:val="20"/>
                <w:color w:val="auto"/>
              </w:rPr>
            </w:pPr>
            <w:r>
              <w:rPr>
                <w:rFonts w:ascii="Arial" w:cs="Arial" w:eastAsia="Arial" w:hAnsi="Arial"/>
                <w:sz w:val="16"/>
                <w:szCs w:val="16"/>
                <w:b w:val="1"/>
                <w:bCs w:val="1"/>
                <w:color w:val="FEFEFE"/>
              </w:rPr>
              <w:t>​ ​</w:t>
            </w:r>
          </w:p>
        </w:tc>
        <w:tc>
          <w:tcPr>
            <w:tcW w:w="620" w:type="dxa"/>
            <w:vAlign w:val="bottom"/>
            <w:shd w:val="clear" w:color="auto" w:fill="62259D"/>
          </w:tcPr>
          <w:p>
            <w:pPr>
              <w:jc w:val="right"/>
              <w:ind w:right="130"/>
              <w:spacing w:after="0"/>
              <w:rPr>
                <w:sz w:val="20"/>
                <w:szCs w:val="20"/>
                <w:color w:val="auto"/>
              </w:rPr>
            </w:pPr>
            <w:r>
              <w:rPr>
                <w:rFonts w:ascii="Arial" w:cs="Arial" w:eastAsia="Arial" w:hAnsi="Arial"/>
                <w:sz w:val="16"/>
                <w:szCs w:val="16"/>
                <w:b w:val="1"/>
                <w:bCs w:val="1"/>
                <w:color w:val="FEFEFE"/>
              </w:rPr>
              <w:t>(#)</w:t>
            </w:r>
          </w:p>
        </w:tc>
        <w:tc>
          <w:tcPr>
            <w:tcW w:w="100" w:type="dxa"/>
            <w:vAlign w:val="bottom"/>
            <w:shd w:val="clear" w:color="auto" w:fill="62259D"/>
          </w:tcPr>
          <w:p>
            <w:pPr>
              <w:jc w:val="right"/>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56"/>
        </w:trPr>
        <w:tc>
          <w:tcPr>
            <w:tcW w:w="3560" w:type="dxa"/>
            <w:vAlign w:val="bottom"/>
            <w:tcBorders>
              <w:bottom w:val="single" w:sz="8" w:color="E7417A"/>
            </w:tcBorders>
            <w:gridSpan w:val="2"/>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Bruce McClelland</w:t>
            </w:r>
          </w:p>
        </w:tc>
        <w:tc>
          <w:tcPr>
            <w:tcW w:w="1600" w:type="dxa"/>
            <w:vAlign w:val="bottom"/>
            <w:tcBorders>
              <w:bottom w:val="single" w:sz="8" w:color="E7417A"/>
            </w:tcBorders>
          </w:tcPr>
          <w:p>
            <w:pPr>
              <w:ind w:left="1380"/>
              <w:spacing w:after="0"/>
              <w:rPr>
                <w:sz w:val="20"/>
                <w:szCs w:val="20"/>
                <w:color w:val="auto"/>
              </w:rPr>
            </w:pPr>
            <w:r>
              <w:rPr>
                <w:rFonts w:ascii="Arial" w:cs="Arial" w:eastAsia="Arial" w:hAnsi="Arial"/>
                <w:sz w:val="16"/>
                <w:szCs w:val="16"/>
                <w:color w:val="auto"/>
              </w:rPr>
              <w:t>​ ​</w:t>
            </w:r>
          </w:p>
        </w:tc>
        <w:tc>
          <w:tcPr>
            <w:tcW w:w="2440" w:type="dxa"/>
            <w:vAlign w:val="bottom"/>
            <w:tcBorders>
              <w:bottom w:val="single" w:sz="8" w:color="E7417A"/>
            </w:tcBorders>
            <w:gridSpan w:val="2"/>
          </w:tcPr>
          <w:p>
            <w:pPr>
              <w:jc w:val="right"/>
              <w:ind w:right="679"/>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​545,886</w:t>
            </w:r>
          </w:p>
        </w:tc>
        <w:tc>
          <w:tcPr>
            <w:tcW w:w="1260" w:type="dxa"/>
            <w:vAlign w:val="bottom"/>
            <w:tcBorders>
              <w:bottom w:val="single" w:sz="8" w:color="E7417A"/>
            </w:tcBorders>
            <w:gridSpan w:val="3"/>
          </w:tcPr>
          <w:p>
            <w:pPr>
              <w:jc w:val="right"/>
              <w:spacing w:after="0" w:line="256" w:lineRule="exact"/>
              <w:rPr>
                <w:sz w:val="20"/>
                <w:szCs w:val="20"/>
                <w:color w:val="auto"/>
              </w:rPr>
            </w:pPr>
            <w:r>
              <w:rPr>
                <w:rFonts w:ascii="Arial" w:cs="Arial" w:eastAsia="Arial" w:hAnsi="Arial"/>
                <w:sz w:val="29"/>
                <w:szCs w:val="29"/>
                <w:color w:val="auto"/>
                <w:vertAlign w:val="subscript"/>
              </w:rPr>
              <w:t>​ ​ ​ ​</w:t>
            </w:r>
            <w:r>
              <w:rPr>
                <w:rFonts w:ascii="Arial" w:cs="Arial" w:eastAsia="Arial" w:hAnsi="Arial"/>
                <w:sz w:val="15"/>
                <w:szCs w:val="15"/>
                <w:color w:val="auto"/>
              </w:rPr>
              <w:t>​237,341</w:t>
            </w:r>
            <w:r>
              <w:rPr>
                <w:rFonts w:ascii="Arial" w:cs="Arial" w:eastAsia="Arial" w:hAnsi="Arial"/>
                <w:sz w:val="29"/>
                <w:szCs w:val="29"/>
                <w:color w:val="auto"/>
                <w:vertAlign w:val="subscript"/>
              </w:rPr>
              <w:t>​</w:t>
            </w:r>
          </w:p>
        </w:tc>
        <w:tc>
          <w:tcPr>
            <w:tcW w:w="0" w:type="dxa"/>
            <w:vAlign w:val="bottom"/>
          </w:tcPr>
          <w:p>
            <w:pPr>
              <w:spacing w:after="0"/>
              <w:rPr>
                <w:sz w:val="1"/>
                <w:szCs w:val="1"/>
                <w:color w:val="auto"/>
              </w:rPr>
            </w:pPr>
          </w:p>
        </w:tc>
      </w:tr>
      <w:tr>
        <w:trPr>
          <w:trHeight w:val="183"/>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3500" w:type="dxa"/>
            <w:vAlign w:val="bottom"/>
          </w:tcPr>
          <w:p>
            <w:pPr>
              <w:ind w:left="40"/>
              <w:spacing w:after="0" w:line="183" w:lineRule="exact"/>
              <w:rPr>
                <w:sz w:val="20"/>
                <w:szCs w:val="20"/>
                <w:color w:val="auto"/>
              </w:rPr>
            </w:pPr>
            <w:r>
              <w:rPr>
                <w:rFonts w:ascii="Arial" w:cs="Arial" w:eastAsia="Arial" w:hAnsi="Arial"/>
                <w:sz w:val="16"/>
                <w:szCs w:val="16"/>
                <w:color w:val="auto"/>
              </w:rPr>
              <w:t>John Townsend</w:t>
            </w:r>
          </w:p>
        </w:tc>
        <w:tc>
          <w:tcPr>
            <w:tcW w:w="1600" w:type="dxa"/>
            <w:vAlign w:val="bottom"/>
            <w:vMerge w:val="restart"/>
          </w:tcPr>
          <w:p>
            <w:pPr>
              <w:ind w:left="1380"/>
              <w:spacing w:after="0"/>
              <w:rPr>
                <w:sz w:val="20"/>
                <w:szCs w:val="20"/>
                <w:color w:val="auto"/>
              </w:rPr>
            </w:pPr>
            <w:r>
              <w:rPr>
                <w:rFonts w:ascii="Arial" w:cs="Arial" w:eastAsia="Arial" w:hAnsi="Arial"/>
                <w:sz w:val="16"/>
                <w:szCs w:val="16"/>
                <w:color w:val="auto"/>
              </w:rPr>
              <w:t>​ ​</w:t>
            </w:r>
          </w:p>
        </w:tc>
        <w:tc>
          <w:tcPr>
            <w:tcW w:w="1040" w:type="dxa"/>
            <w:vAlign w:val="bottom"/>
            <w:vMerge w:val="restart"/>
          </w:tcPr>
          <w:p>
            <w:pPr>
              <w:ind w:left="9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59"/>
              <w:spacing w:after="0" w:line="183" w:lineRule="exact"/>
              <w:rPr>
                <w:sz w:val="20"/>
                <w:szCs w:val="20"/>
                <w:color w:val="auto"/>
              </w:rPr>
            </w:pPr>
            <w:r>
              <w:rPr>
                <w:rFonts w:ascii="Arial" w:cs="Arial" w:eastAsia="Arial" w:hAnsi="Arial"/>
                <w:sz w:val="16"/>
                <w:szCs w:val="16"/>
                <w:color w:val="auto"/>
              </w:rPr>
              <w:t>​230,769</w:t>
            </w:r>
            <w:r>
              <w:rPr>
                <w:rFonts w:ascii="Arial" w:cs="Arial" w:eastAsia="Arial" w:hAnsi="Arial"/>
                <w:sz w:val="19"/>
                <w:szCs w:val="19"/>
                <w:color w:val="auto"/>
                <w:vertAlign w:val="superscript"/>
              </w:rPr>
              <w:t>(1)</w:t>
            </w:r>
          </w:p>
        </w:tc>
        <w:tc>
          <w:tcPr>
            <w:tcW w:w="540" w:type="dxa"/>
            <w:vAlign w:val="bottom"/>
            <w:vMerge w:val="restart"/>
          </w:tcPr>
          <w:p>
            <w:pPr>
              <w:ind w:left="220"/>
              <w:spacing w:after="0"/>
              <w:rPr>
                <w:sz w:val="20"/>
                <w:szCs w:val="20"/>
                <w:color w:val="auto"/>
              </w:rPr>
            </w:pPr>
            <w:r>
              <w:rPr>
                <w:rFonts w:ascii="Arial" w:cs="Arial" w:eastAsia="Arial" w:hAnsi="Arial"/>
                <w:sz w:val="16"/>
                <w:szCs w:val="16"/>
                <w:color w:val="auto"/>
              </w:rPr>
              <w:t>​ ​ ​</w:t>
            </w:r>
          </w:p>
        </w:tc>
        <w:tc>
          <w:tcPr>
            <w:tcW w:w="620" w:type="dxa"/>
            <w:vAlign w:val="bottom"/>
          </w:tcPr>
          <w:p>
            <w:pPr>
              <w:ind w:left="20"/>
              <w:spacing w:after="0" w:line="183" w:lineRule="exact"/>
              <w:rPr>
                <w:sz w:val="20"/>
                <w:szCs w:val="20"/>
                <w:color w:val="auto"/>
              </w:rPr>
            </w:pPr>
            <w:r>
              <w:rPr>
                <w:rFonts w:ascii="Arial" w:cs="Arial" w:eastAsia="Arial" w:hAnsi="Arial"/>
                <w:sz w:val="16"/>
                <w:szCs w:val="16"/>
                <w:color w:val="auto"/>
              </w:rPr>
              <w:t>​230,769</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60" w:type="dxa"/>
            <w:vAlign w:val="bottom"/>
            <w:tcBorders>
              <w:bottom w:val="single" w:sz="8" w:color="E7417A"/>
            </w:tcBorders>
            <w:vMerge w:val="continue"/>
          </w:tcPr>
          <w:p>
            <w:pPr>
              <w:spacing w:after="0"/>
              <w:rPr>
                <w:sz w:val="5"/>
                <w:szCs w:val="5"/>
                <w:color w:val="auto"/>
              </w:rPr>
            </w:pPr>
          </w:p>
        </w:tc>
        <w:tc>
          <w:tcPr>
            <w:tcW w:w="3500" w:type="dxa"/>
            <w:vAlign w:val="bottom"/>
            <w:tcBorders>
              <w:bottom w:val="single" w:sz="8" w:color="E7417A"/>
            </w:tcBorders>
          </w:tcPr>
          <w:p>
            <w:pPr>
              <w:spacing w:after="0"/>
              <w:rPr>
                <w:sz w:val="5"/>
                <w:szCs w:val="5"/>
                <w:color w:val="auto"/>
              </w:rPr>
            </w:pPr>
          </w:p>
        </w:tc>
        <w:tc>
          <w:tcPr>
            <w:tcW w:w="1600" w:type="dxa"/>
            <w:vAlign w:val="bottom"/>
            <w:tcBorders>
              <w:bottom w:val="single" w:sz="8" w:color="E7417A"/>
            </w:tcBorders>
            <w:vMerge w:val="continue"/>
          </w:tcPr>
          <w:p>
            <w:pPr>
              <w:spacing w:after="0"/>
              <w:rPr>
                <w:sz w:val="5"/>
                <w:szCs w:val="5"/>
                <w:color w:val="auto"/>
              </w:rPr>
            </w:pPr>
          </w:p>
        </w:tc>
        <w:tc>
          <w:tcPr>
            <w:tcW w:w="1040" w:type="dxa"/>
            <w:vAlign w:val="bottom"/>
            <w:tcBorders>
              <w:bottom w:val="single" w:sz="8" w:color="E7417A"/>
            </w:tcBorders>
            <w:vMerge w:val="continue"/>
          </w:tcPr>
          <w:p>
            <w:pPr>
              <w:spacing w:after="0"/>
              <w:rPr>
                <w:sz w:val="5"/>
                <w:szCs w:val="5"/>
                <w:color w:val="auto"/>
              </w:rPr>
            </w:pPr>
          </w:p>
        </w:tc>
        <w:tc>
          <w:tcPr>
            <w:tcW w:w="1400" w:type="dxa"/>
            <w:vAlign w:val="bottom"/>
            <w:tcBorders>
              <w:bottom w:val="single" w:sz="8" w:color="E7417A"/>
            </w:tcBorders>
          </w:tcPr>
          <w:p>
            <w:pPr>
              <w:spacing w:after="0"/>
              <w:rPr>
                <w:sz w:val="5"/>
                <w:szCs w:val="5"/>
                <w:color w:val="auto"/>
              </w:rPr>
            </w:pPr>
          </w:p>
        </w:tc>
        <w:tc>
          <w:tcPr>
            <w:tcW w:w="540" w:type="dxa"/>
            <w:vAlign w:val="bottom"/>
            <w:tcBorders>
              <w:bottom w:val="single" w:sz="8" w:color="E7417A"/>
            </w:tcBorders>
            <w:vMerge w:val="continue"/>
          </w:tcPr>
          <w:p>
            <w:pPr>
              <w:spacing w:after="0"/>
              <w:rPr>
                <w:sz w:val="5"/>
                <w:szCs w:val="5"/>
                <w:color w:val="auto"/>
              </w:rPr>
            </w:pPr>
          </w:p>
        </w:tc>
        <w:tc>
          <w:tcPr>
            <w:tcW w:w="620" w:type="dxa"/>
            <w:vAlign w:val="bottom"/>
            <w:tcBorders>
              <w:bottom w:val="single" w:sz="8" w:color="E7417A"/>
            </w:tcBorders>
          </w:tcPr>
          <w:p>
            <w:pPr>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E7417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E7417A"/>
            </w:tcBorders>
            <w:gridSpan w:val="2"/>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Sam Bucci</w:t>
            </w:r>
          </w:p>
        </w:tc>
        <w:tc>
          <w:tcPr>
            <w:tcW w:w="1600" w:type="dxa"/>
            <w:vAlign w:val="bottom"/>
            <w:tcBorders>
              <w:bottom w:val="single" w:sz="8" w:color="E7417A"/>
            </w:tcBorders>
          </w:tcPr>
          <w:p>
            <w:pPr>
              <w:ind w:left="1380"/>
              <w:spacing w:after="0"/>
              <w:rPr>
                <w:sz w:val="20"/>
                <w:szCs w:val="20"/>
                <w:color w:val="auto"/>
              </w:rPr>
            </w:pPr>
            <w:r>
              <w:rPr>
                <w:rFonts w:ascii="Arial" w:cs="Arial" w:eastAsia="Arial" w:hAnsi="Arial"/>
                <w:sz w:val="16"/>
                <w:szCs w:val="16"/>
                <w:color w:val="auto"/>
              </w:rPr>
              <w:t>​ ​</w:t>
            </w:r>
          </w:p>
        </w:tc>
        <w:tc>
          <w:tcPr>
            <w:tcW w:w="2440" w:type="dxa"/>
            <w:vAlign w:val="bottom"/>
            <w:tcBorders>
              <w:bottom w:val="single" w:sz="8" w:color="E7417A"/>
            </w:tcBorders>
            <w:gridSpan w:val="2"/>
          </w:tcPr>
          <w:p>
            <w:pPr>
              <w:jc w:val="right"/>
              <w:ind w:right="67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​121,308</w:t>
            </w:r>
          </w:p>
        </w:tc>
        <w:tc>
          <w:tcPr>
            <w:tcW w:w="1260" w:type="dxa"/>
            <w:vAlign w:val="bottom"/>
            <w:tcBorders>
              <w:bottom w:val="single" w:sz="8" w:color="E7417A"/>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 ​ ​ ​</w:t>
            </w:r>
            <w:r>
              <w:rPr>
                <w:rFonts w:ascii="Arial" w:cs="Arial" w:eastAsia="Arial" w:hAnsi="Arial"/>
                <w:sz w:val="15"/>
                <w:szCs w:val="15"/>
                <w:color w:val="auto"/>
              </w:rPr>
              <w:t>​ 52,742</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E7417A"/>
            </w:tcBorders>
            <w:gridSpan w:val="2"/>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Patrick Macken</w:t>
            </w:r>
          </w:p>
        </w:tc>
        <w:tc>
          <w:tcPr>
            <w:tcW w:w="1600" w:type="dxa"/>
            <w:vAlign w:val="bottom"/>
            <w:tcBorders>
              <w:bottom w:val="single" w:sz="8" w:color="E7417A"/>
            </w:tcBorders>
          </w:tcPr>
          <w:p>
            <w:pPr>
              <w:ind w:left="1380"/>
              <w:spacing w:after="0"/>
              <w:rPr>
                <w:sz w:val="20"/>
                <w:szCs w:val="20"/>
                <w:color w:val="auto"/>
              </w:rPr>
            </w:pPr>
            <w:r>
              <w:rPr>
                <w:rFonts w:ascii="Arial" w:cs="Arial" w:eastAsia="Arial" w:hAnsi="Arial"/>
                <w:sz w:val="16"/>
                <w:szCs w:val="16"/>
                <w:color w:val="auto"/>
              </w:rPr>
              <w:t>​ ​</w:t>
            </w:r>
          </w:p>
        </w:tc>
        <w:tc>
          <w:tcPr>
            <w:tcW w:w="2440" w:type="dxa"/>
            <w:vAlign w:val="bottom"/>
            <w:tcBorders>
              <w:bottom w:val="single" w:sz="8" w:color="E7417A"/>
            </w:tcBorders>
            <w:gridSpan w:val="2"/>
          </w:tcPr>
          <w:p>
            <w:pPr>
              <w:jc w:val="right"/>
              <w:ind w:right="67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103,111</w:t>
            </w:r>
          </w:p>
        </w:tc>
        <w:tc>
          <w:tcPr>
            <w:tcW w:w="1260" w:type="dxa"/>
            <w:vAlign w:val="bottom"/>
            <w:tcBorders>
              <w:bottom w:val="single" w:sz="8" w:color="E7417A"/>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 ​ ​ ​</w:t>
            </w:r>
            <w:r>
              <w:rPr>
                <w:rFonts w:ascii="Arial" w:cs="Arial" w:eastAsia="Arial" w:hAnsi="Arial"/>
                <w:sz w:val="15"/>
                <w:szCs w:val="15"/>
                <w:color w:val="auto"/>
              </w:rPr>
              <w:t>​ 44,831</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62259D"/>
            </w:tcBorders>
            <w:gridSpan w:val="2"/>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Dan Redington</w:t>
            </w:r>
          </w:p>
        </w:tc>
        <w:tc>
          <w:tcPr>
            <w:tcW w:w="1600" w:type="dxa"/>
            <w:vAlign w:val="bottom"/>
            <w:tcBorders>
              <w:bottom w:val="single" w:sz="8" w:color="62259D"/>
            </w:tcBorders>
          </w:tcPr>
          <w:p>
            <w:pPr>
              <w:ind w:left="1380"/>
              <w:spacing w:after="0"/>
              <w:rPr>
                <w:sz w:val="20"/>
                <w:szCs w:val="20"/>
                <w:color w:val="auto"/>
              </w:rPr>
            </w:pPr>
            <w:r>
              <w:rPr>
                <w:rFonts w:ascii="Arial" w:cs="Arial" w:eastAsia="Arial" w:hAnsi="Arial"/>
                <w:sz w:val="16"/>
                <w:szCs w:val="16"/>
                <w:color w:val="auto"/>
              </w:rPr>
              <w:t>​ ​</w:t>
            </w:r>
          </w:p>
        </w:tc>
        <w:tc>
          <w:tcPr>
            <w:tcW w:w="2440" w:type="dxa"/>
            <w:vAlign w:val="bottom"/>
            <w:tcBorders>
              <w:bottom w:val="single" w:sz="8" w:color="62259D"/>
            </w:tcBorders>
            <w:gridSpan w:val="2"/>
          </w:tcPr>
          <w:p>
            <w:pPr>
              <w:jc w:val="right"/>
              <w:ind w:right="67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97,046</w:t>
            </w:r>
          </w:p>
        </w:tc>
        <w:tc>
          <w:tcPr>
            <w:tcW w:w="1260" w:type="dxa"/>
            <w:vAlign w:val="bottom"/>
            <w:tcBorders>
              <w:bottom w:val="single" w:sz="8" w:color="62259D"/>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 ​ ​ ​</w:t>
            </w:r>
            <w:r>
              <w:rPr>
                <w:rFonts w:ascii="Arial" w:cs="Arial" w:eastAsia="Arial" w:hAnsi="Arial"/>
                <w:sz w:val="15"/>
                <w:szCs w:val="15"/>
                <w:color w:val="auto"/>
              </w:rPr>
              <w:t>​ 42,194</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400" w:right="119" w:hanging="368"/>
        <w:spacing w:after="0" w:line="266" w:lineRule="auto"/>
        <w:tabs>
          <w:tab w:leader="none" w:pos="14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Granted in 2024 in connection with appointment as CFO. The portion subject to performance conditions is based on performance metrics for 2025, 2026 and 2027 and the portion subject to relative total stockholder return will be based on the period from the date of the award through December 31, 2027.</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20"/>
          <w:szCs w:val="20"/>
          <w:color w:val="E7417A"/>
        </w:rPr>
        <w:t>PSUS</w:t>
      </w:r>
    </w:p>
    <w:p>
      <w:pPr>
        <w:spacing w:after="0" w:line="110" w:lineRule="exact"/>
        <w:rPr>
          <w:sz w:val="20"/>
          <w:szCs w:val="20"/>
          <w:color w:val="auto"/>
        </w:rPr>
      </w:pPr>
    </w:p>
    <w:p>
      <w:pPr>
        <w:ind w:left="920" w:right="119"/>
        <w:spacing w:after="0" w:line="245" w:lineRule="auto"/>
        <w:rPr>
          <w:sz w:val="20"/>
          <w:szCs w:val="20"/>
          <w:color w:val="auto"/>
        </w:rPr>
      </w:pPr>
      <w:r>
        <w:rPr>
          <w:rFonts w:ascii="Arial" w:cs="Arial" w:eastAsia="Arial" w:hAnsi="Arial"/>
          <w:sz w:val="18"/>
          <w:szCs w:val="18"/>
          <w:color w:val="auto"/>
        </w:rPr>
        <w:t>The annual PSU awards typically vest after three years and have both performance and service conditions. However, for the PSU awards made in 2024 (the “2024 Annual PSUs”), other than to Mr. Townsend, the</w:t>
      </w:r>
    </w:p>
    <w:p>
      <w:pPr>
        <w:ind w:left="920" w:right="139"/>
        <w:spacing w:after="0" w:line="226" w:lineRule="auto"/>
        <w:rPr>
          <w:sz w:val="20"/>
          <w:szCs w:val="20"/>
          <w:color w:val="auto"/>
        </w:rPr>
      </w:pPr>
      <w:r>
        <w:rPr>
          <w:rFonts w:ascii="Arial" w:cs="Arial" w:eastAsia="Arial" w:hAnsi="Arial"/>
          <w:sz w:val="18"/>
          <w:szCs w:val="18"/>
          <w:color w:val="auto"/>
        </w:rPr>
        <w:t>portion of the awards subject to vesting based on financial performance metrics, the vesting will occur over two years and the size of the awards were reduced, compared to prior years, to reflect the shorter vesting</w:t>
      </w:r>
    </w:p>
    <w:p>
      <w:pPr>
        <w:ind w:left="920"/>
        <w:spacing w:after="0" w:line="236" w:lineRule="auto"/>
        <w:rPr>
          <w:sz w:val="20"/>
          <w:szCs w:val="20"/>
          <w:color w:val="auto"/>
        </w:rPr>
      </w:pPr>
      <w:r>
        <w:rPr>
          <w:rFonts w:ascii="Arial" w:cs="Arial" w:eastAsia="Arial" w:hAnsi="Arial"/>
          <w:sz w:val="18"/>
          <w:szCs w:val="18"/>
          <w:color w:val="auto"/>
        </w:rPr>
        <w:t>period. The decision to shorten the vesting period for 2024 was made because the Company did not have</w:t>
      </w:r>
    </w:p>
    <w:p>
      <w:pPr>
        <w:spacing w:after="0" w:line="1" w:lineRule="exact"/>
        <w:rPr>
          <w:sz w:val="20"/>
          <w:szCs w:val="20"/>
          <w:color w:val="auto"/>
        </w:rPr>
      </w:pPr>
    </w:p>
    <w:p>
      <w:pPr>
        <w:ind w:left="920" w:right="259"/>
        <w:spacing w:after="0" w:line="226" w:lineRule="auto"/>
        <w:rPr>
          <w:sz w:val="20"/>
          <w:szCs w:val="20"/>
          <w:color w:val="auto"/>
        </w:rPr>
      </w:pPr>
      <w:r>
        <w:rPr>
          <w:rFonts w:ascii="Arial" w:cs="Arial" w:eastAsia="Arial" w:hAnsi="Arial"/>
          <w:sz w:val="18"/>
          <w:szCs w:val="18"/>
          <w:color w:val="auto"/>
        </w:rPr>
        <w:t>sufficient shares available under the Ribbon Communications Inc. Amended and Restated 2019 Incentive Award Plan (the “2019 Plan”) to make grants consistent with prior years. In addition to reducing the grant</w:t>
      </w:r>
    </w:p>
    <w:p>
      <w:pPr>
        <w:ind w:left="920"/>
        <w:spacing w:after="0" w:line="236" w:lineRule="auto"/>
        <w:rPr>
          <w:sz w:val="20"/>
          <w:szCs w:val="20"/>
          <w:color w:val="auto"/>
        </w:rPr>
      </w:pPr>
      <w:r>
        <w:rPr>
          <w:rFonts w:ascii="Arial" w:cs="Arial" w:eastAsia="Arial" w:hAnsi="Arial"/>
          <w:sz w:val="18"/>
          <w:szCs w:val="18"/>
          <w:color w:val="auto"/>
        </w:rPr>
        <w:t>size compared to prior years, the maximum number of shares issuable based on the achievement of the</w:t>
      </w:r>
    </w:p>
    <w:p>
      <w:pPr>
        <w:spacing w:after="0" w:line="1" w:lineRule="exact"/>
        <w:rPr>
          <w:sz w:val="20"/>
          <w:szCs w:val="20"/>
          <w:color w:val="auto"/>
        </w:rPr>
      </w:pPr>
    </w:p>
    <w:p>
      <w:pPr>
        <w:ind w:left="920" w:right="579"/>
        <w:spacing w:after="0" w:line="237" w:lineRule="auto"/>
        <w:rPr>
          <w:sz w:val="20"/>
          <w:szCs w:val="20"/>
          <w:color w:val="auto"/>
        </w:rPr>
      </w:pPr>
      <w:r>
        <w:rPr>
          <w:rFonts w:ascii="Arial" w:cs="Arial" w:eastAsia="Arial" w:hAnsi="Arial"/>
          <w:sz w:val="18"/>
          <w:szCs w:val="18"/>
          <w:color w:val="auto"/>
        </w:rPr>
        <w:t>identified financial metrics was also reduced from 200% of target to 150% of target. No changes were made to the portion of</w:t>
      </w:r>
    </w:p>
    <w:p>
      <w:pPr>
        <w:spacing w:after="0" w:line="18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2024 Annual PSUs subject to relative total stockholder return from prior years and those awards will</w:t>
      </w:r>
    </w:p>
    <w:p>
      <w:pPr>
        <w:spacing w:after="0" w:line="14" w:lineRule="exact"/>
        <w:rPr>
          <w:sz w:val="20"/>
          <w:szCs w:val="20"/>
          <w:color w:val="auto"/>
        </w:rPr>
      </w:pPr>
    </w:p>
    <w:p>
      <w:pPr>
        <w:ind w:left="920" w:right="179"/>
        <w:spacing w:after="0" w:line="226" w:lineRule="auto"/>
        <w:rPr>
          <w:sz w:val="20"/>
          <w:szCs w:val="20"/>
          <w:color w:val="auto"/>
        </w:rPr>
      </w:pPr>
      <w:r>
        <w:rPr>
          <w:rFonts w:ascii="Arial" w:cs="Arial" w:eastAsia="Arial" w:hAnsi="Arial"/>
          <w:sz w:val="18"/>
          <w:szCs w:val="18"/>
          <w:color w:val="auto"/>
        </w:rPr>
        <w:t>vest at the end of the three year performance period described below and can vest at up to 200% of target as discussed below. Subject to stockholder approval of the 2025 Incentive Award Plan at the 2025 Annual</w:t>
      </w:r>
    </w:p>
    <w:p>
      <w:pPr>
        <w:ind w:left="920"/>
        <w:spacing w:after="0" w:line="236" w:lineRule="auto"/>
        <w:rPr>
          <w:sz w:val="20"/>
          <w:szCs w:val="20"/>
          <w:color w:val="auto"/>
        </w:rPr>
      </w:pPr>
      <w:r>
        <w:rPr>
          <w:rFonts w:ascii="Arial" w:cs="Arial" w:eastAsia="Arial" w:hAnsi="Arial"/>
          <w:sz w:val="18"/>
          <w:szCs w:val="18"/>
          <w:color w:val="auto"/>
        </w:rPr>
        <w:t>Meeting, the portion of the annual PSUs granted in 2025 that are subject to vesting based on achievement</w:t>
      </w:r>
    </w:p>
    <w:p>
      <w:pPr>
        <w:spacing w:after="0" w:line="1" w:lineRule="exact"/>
        <w:rPr>
          <w:sz w:val="20"/>
          <w:szCs w:val="20"/>
          <w:color w:val="auto"/>
        </w:rPr>
      </w:pPr>
    </w:p>
    <w:p>
      <w:pPr>
        <w:ind w:left="920" w:right="259"/>
        <w:spacing w:after="0" w:line="237" w:lineRule="auto"/>
        <w:rPr>
          <w:sz w:val="20"/>
          <w:szCs w:val="20"/>
          <w:color w:val="auto"/>
        </w:rPr>
      </w:pPr>
      <w:r>
        <w:rPr>
          <w:rFonts w:ascii="Arial" w:cs="Arial" w:eastAsia="Arial" w:hAnsi="Arial"/>
          <w:sz w:val="18"/>
          <w:szCs w:val="18"/>
          <w:color w:val="auto"/>
        </w:rPr>
        <w:t>of financial metrics will again vest over three years, however the maximum number of shares that may be issued will continue to be capped at 150% of target.</w:t>
      </w:r>
    </w:p>
    <w:p>
      <w:pPr>
        <w:spacing w:after="0" w:line="86" w:lineRule="exact"/>
        <w:rPr>
          <w:sz w:val="20"/>
          <w:szCs w:val="20"/>
          <w:color w:val="auto"/>
        </w:rPr>
      </w:pPr>
    </w:p>
    <w:p>
      <w:pPr>
        <w:ind w:left="920" w:right="459"/>
        <w:spacing w:after="0" w:line="253" w:lineRule="auto"/>
        <w:rPr>
          <w:sz w:val="20"/>
          <w:szCs w:val="20"/>
          <w:color w:val="auto"/>
        </w:rPr>
      </w:pPr>
      <w:r>
        <w:rPr>
          <w:rFonts w:ascii="Arial" w:cs="Arial" w:eastAsia="Arial" w:hAnsi="Arial"/>
          <w:sz w:val="18"/>
          <w:szCs w:val="18"/>
          <w:color w:val="auto"/>
        </w:rPr>
        <w:t>The performance conditions for the 2024 Annual PSUs were again based on key financial performance metrics (60% of the total target award amount) and relative total stockholder return over a three-year period (40% of the total target award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1751330</wp:posOffset>
            </wp:positionH>
            <wp:positionV relativeFrom="paragraph">
              <wp:posOffset>76200</wp:posOffset>
            </wp:positionV>
            <wp:extent cx="3291840" cy="11658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29184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Performance Goals for Annual PSUs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Due to the challenge of setting multi-year goals in our industry, the Compensation Committee establishes</w:t>
      </w:r>
    </w:p>
    <w:p>
      <w:pPr>
        <w:spacing w:after="0" w:line="14" w:lineRule="exact"/>
        <w:rPr>
          <w:sz w:val="20"/>
          <w:szCs w:val="20"/>
          <w:color w:val="auto"/>
        </w:rPr>
      </w:pPr>
    </w:p>
    <w:p>
      <w:pPr>
        <w:ind w:left="920" w:right="119"/>
        <w:spacing w:after="0" w:line="226" w:lineRule="auto"/>
        <w:rPr>
          <w:sz w:val="20"/>
          <w:szCs w:val="20"/>
          <w:color w:val="auto"/>
        </w:rPr>
      </w:pPr>
      <w:r>
        <w:rPr>
          <w:rFonts w:ascii="Arial" w:cs="Arial" w:eastAsia="Arial" w:hAnsi="Arial"/>
          <w:sz w:val="18"/>
          <w:szCs w:val="18"/>
          <w:color w:val="auto"/>
        </w:rPr>
        <w:t>annual corporate performance goals at the start of each year of the two- or three-year period covered by the annual awards (60% total weighting of the target award value for the 2024 Annual PSUs). While shares</w:t>
      </w:r>
    </w:p>
    <w:p>
      <w:pPr>
        <w:spacing w:after="0" w:line="2" w:lineRule="exact"/>
        <w:rPr>
          <w:sz w:val="20"/>
          <w:szCs w:val="20"/>
          <w:color w:val="auto"/>
        </w:rPr>
      </w:pPr>
    </w:p>
    <w:p>
      <w:pPr>
        <w:ind w:left="920" w:right="119"/>
        <w:spacing w:after="0" w:line="250" w:lineRule="auto"/>
        <w:rPr>
          <w:sz w:val="20"/>
          <w:szCs w:val="20"/>
          <w:color w:val="auto"/>
        </w:rPr>
      </w:pPr>
      <w:r>
        <w:rPr>
          <w:rFonts w:ascii="Arial" w:cs="Arial" w:eastAsia="Arial" w:hAnsi="Arial"/>
          <w:sz w:val="18"/>
          <w:szCs w:val="18"/>
          <w:color w:val="auto"/>
        </w:rPr>
        <w:t>are earned at the end of each one-year performance period, they do not vest and become payable until the end of the full two-year period under the terms of the 2024 Annual PSU awards.</w:t>
      </w:r>
    </w:p>
    <w:p>
      <w:pPr>
        <w:spacing w:after="0" w:line="77" w:lineRule="exact"/>
        <w:rPr>
          <w:sz w:val="20"/>
          <w:szCs w:val="20"/>
          <w:color w:val="auto"/>
        </w:rPr>
      </w:pPr>
    </w:p>
    <w:p>
      <w:pPr>
        <w:ind w:left="920" w:right="859"/>
        <w:spacing w:after="0" w:line="237" w:lineRule="auto"/>
        <w:rPr>
          <w:sz w:val="20"/>
          <w:szCs w:val="20"/>
          <w:color w:val="auto"/>
        </w:rPr>
      </w:pPr>
      <w:r>
        <w:rPr>
          <w:rFonts w:ascii="Arial" w:cs="Arial" w:eastAsia="Arial" w:hAnsi="Arial"/>
          <w:sz w:val="18"/>
          <w:szCs w:val="18"/>
          <w:color w:val="auto"/>
        </w:rPr>
        <w:t>For the performance period beginning January 1, 2024 through December 31, 2024, the corporate performance goal established by the Compensation Committee for the 2024 Annual PSUs was</w:t>
      </w:r>
    </w:p>
    <w:p>
      <w:pPr>
        <w:ind w:left="920"/>
        <w:spacing w:after="0" w:line="235" w:lineRule="auto"/>
        <w:rPr>
          <w:sz w:val="20"/>
          <w:szCs w:val="20"/>
          <w:color w:val="auto"/>
        </w:rPr>
      </w:pPr>
      <w:r>
        <w:rPr>
          <w:rFonts w:ascii="Arial" w:cs="Arial" w:eastAsia="Arial" w:hAnsi="Arial"/>
          <w:sz w:val="18"/>
          <w:szCs w:val="18"/>
          <w:color w:val="auto"/>
        </w:rPr>
        <w:t>consolidated revenue (50% weighting) and Adjusted EBITDA (50% weighting). The revenue and Adjusted</w:t>
      </w:r>
    </w:p>
    <w:p>
      <w:pPr>
        <w:spacing w:after="0" w:line="1" w:lineRule="exact"/>
        <w:rPr>
          <w:sz w:val="20"/>
          <w:szCs w:val="20"/>
          <w:color w:val="auto"/>
        </w:rPr>
      </w:pPr>
    </w:p>
    <w:p>
      <w:pPr>
        <w:ind w:left="920" w:right="119"/>
        <w:spacing w:after="0" w:line="226" w:lineRule="auto"/>
        <w:rPr>
          <w:sz w:val="20"/>
          <w:szCs w:val="20"/>
          <w:color w:val="auto"/>
        </w:rPr>
      </w:pPr>
      <w:r>
        <w:rPr>
          <w:rFonts w:ascii="Arial" w:cs="Arial" w:eastAsia="Arial" w:hAnsi="Arial"/>
          <w:sz w:val="18"/>
          <w:szCs w:val="18"/>
          <w:color w:val="auto"/>
        </w:rPr>
        <w:t>EBITDA goals and potential payouts are set forth in the table below. These performance goals also applied to the 2024 performance period under PSUs granted to the NEOs in 2022 and 2023 (the “Previously</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Outstanding Annual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100330</wp:posOffset>
            </wp:positionV>
            <wp:extent cx="59690" cy="5740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9690" cy="574040"/>
                    </a:xfrm>
                    <a:prstGeom prst="rect">
                      <a:avLst/>
                    </a:prstGeom>
                    <a:noFill/>
                  </pic:spPr>
                </pic:pic>
              </a:graphicData>
            </a:graphic>
          </wp:anchor>
        </w:drawing>
      </w:r>
    </w:p>
    <w:p>
      <w:pPr>
        <w:spacing w:after="0" w:line="27" w:lineRule="exact"/>
        <w:rPr>
          <w:sz w:val="20"/>
          <w:szCs w:val="20"/>
          <w:color w:val="auto"/>
        </w:rPr>
      </w:pPr>
    </w:p>
    <w:tbl>
      <w:tblPr>
        <w:tblLayout w:type="fixed"/>
        <w:tblInd w:w="920" w:type="dxa"/>
        <w:tblCellMar>
          <w:top w:w="0" w:type="dxa"/>
          <w:left w:w="0" w:type="dxa"/>
          <w:bottom w:w="0" w:type="dxa"/>
          <w:right w:w="0" w:type="dxa"/>
        </w:tblCellMar>
      </w:tblPr>
      <w:tr>
        <w:trPr>
          <w:trHeight w:val="375"/>
        </w:trPr>
        <w:tc>
          <w:tcPr>
            <w:tcW w:w="3760" w:type="dxa"/>
            <w:vAlign w:val="bottom"/>
            <w:gridSpan w:val="2"/>
            <w:shd w:val="clear" w:color="auto" w:fill="62259D"/>
          </w:tcPr>
          <w:p>
            <w:pPr>
              <w:ind w:left="60"/>
              <w:spacing w:after="0"/>
              <w:rPr>
                <w:sz w:val="20"/>
                <w:szCs w:val="20"/>
                <w:color w:val="auto"/>
              </w:rPr>
            </w:pPr>
            <w:r>
              <w:rPr>
                <w:rFonts w:ascii="Arial" w:cs="Arial" w:eastAsia="Arial" w:hAnsi="Arial"/>
                <w:sz w:val="16"/>
                <w:szCs w:val="16"/>
                <w:b w:val="1"/>
                <w:bCs w:val="1"/>
                <w:color w:val="FEFEFE"/>
              </w:rPr>
              <w:t>​​</w:t>
            </w:r>
          </w:p>
        </w:tc>
        <w:tc>
          <w:tcPr>
            <w:tcW w:w="4020" w:type="dxa"/>
            <w:vAlign w:val="bottom"/>
            <w:gridSpan w:val="7"/>
            <w:shd w:val="clear" w:color="auto" w:fill="62259D"/>
          </w:tcPr>
          <w:p>
            <w:pPr>
              <w:ind w:left="60"/>
              <w:spacing w:after="0"/>
              <w:rPr>
                <w:sz w:val="20"/>
                <w:szCs w:val="20"/>
                <w:color w:val="auto"/>
              </w:rPr>
            </w:pPr>
            <w:r>
              <w:rPr>
                <w:rFonts w:ascii="Arial" w:cs="Arial" w:eastAsia="Arial" w:hAnsi="Arial"/>
                <w:sz w:val="32"/>
                <w:szCs w:val="32"/>
                <w:b w:val="1"/>
                <w:bCs w:val="1"/>
                <w:color w:val="FEFEFE"/>
                <w:vertAlign w:val="subscript"/>
              </w:rPr>
              <w:t>​ ​</w:t>
            </w:r>
            <w:r>
              <w:rPr>
                <w:rFonts w:ascii="Arial" w:cs="Arial" w:eastAsia="Arial" w:hAnsi="Arial"/>
                <w:sz w:val="16"/>
                <w:szCs w:val="16"/>
                <w:b w:val="1"/>
                <w:bCs w:val="1"/>
                <w:color w:val="FEFEFE"/>
              </w:rPr>
              <w:t xml:space="preserve">PSU 2024 Performance Metrics (in millions) </w:t>
            </w:r>
            <w:r>
              <w:rPr>
                <w:rFonts w:ascii="Arial" w:cs="Arial" w:eastAsia="Arial" w:hAnsi="Arial"/>
                <w:sz w:val="32"/>
                <w:szCs w:val="32"/>
                <w:b w:val="1"/>
                <w:bCs w:val="1"/>
                <w:color w:val="FEFEFE"/>
                <w:vertAlign w:val="subscript"/>
              </w:rPr>
              <w:t>​</w:t>
            </w:r>
          </w:p>
        </w:tc>
        <w:tc>
          <w:tcPr>
            <w:tcW w:w="240" w:type="dxa"/>
            <w:vAlign w:val="bottom"/>
            <w:shd w:val="clear" w:color="auto" w:fill="62259D"/>
          </w:tcPr>
          <w:p>
            <w:pPr>
              <w:spacing w:after="0"/>
              <w:rPr>
                <w:sz w:val="24"/>
                <w:szCs w:val="24"/>
                <w:color w:val="auto"/>
              </w:rPr>
            </w:pPr>
          </w:p>
        </w:tc>
        <w:tc>
          <w:tcPr>
            <w:tcW w:w="620" w:type="dxa"/>
            <w:vAlign w:val="bottom"/>
            <w:shd w:val="clear" w:color="auto" w:fill="62259D"/>
          </w:tcPr>
          <w:p>
            <w:pPr>
              <w:spacing w:after="0"/>
              <w:rPr>
                <w:sz w:val="24"/>
                <w:szCs w:val="24"/>
                <w:color w:val="auto"/>
              </w:rPr>
            </w:pPr>
          </w:p>
        </w:tc>
        <w:tc>
          <w:tcPr>
            <w:tcW w:w="220" w:type="dxa"/>
            <w:vAlign w:val="bottom"/>
            <w:shd w:val="clear" w:color="auto" w:fill="62259D"/>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3660" w:type="dxa"/>
            <w:vAlign w:val="bottom"/>
            <w:shd w:val="clear" w:color="auto" w:fill="62259D"/>
          </w:tcPr>
          <w:p>
            <w:pPr>
              <w:spacing w:after="0"/>
              <w:rPr>
                <w:sz w:val="19"/>
                <w:szCs w:val="19"/>
                <w:color w:val="auto"/>
              </w:rPr>
            </w:pPr>
          </w:p>
        </w:tc>
        <w:tc>
          <w:tcPr>
            <w:tcW w:w="220" w:type="dxa"/>
            <w:vAlign w:val="bottom"/>
            <w:shd w:val="clear" w:color="auto" w:fill="62259D"/>
          </w:tcPr>
          <w:p>
            <w:pPr>
              <w:spacing w:after="0"/>
              <w:rPr>
                <w:sz w:val="19"/>
                <w:szCs w:val="19"/>
                <w:color w:val="auto"/>
              </w:rPr>
            </w:pPr>
          </w:p>
        </w:tc>
        <w:tc>
          <w:tcPr>
            <w:tcW w:w="1120" w:type="dxa"/>
            <w:vAlign w:val="bottom"/>
            <w:shd w:val="clear" w:color="auto" w:fill="62259D"/>
          </w:tcPr>
          <w:p>
            <w:pPr>
              <w:spacing w:after="0"/>
              <w:rPr>
                <w:sz w:val="19"/>
                <w:szCs w:val="19"/>
                <w:color w:val="auto"/>
              </w:rPr>
            </w:pPr>
          </w:p>
        </w:tc>
        <w:tc>
          <w:tcPr>
            <w:tcW w:w="280" w:type="dxa"/>
            <w:vAlign w:val="bottom"/>
            <w:shd w:val="clear" w:color="auto" w:fill="62259D"/>
          </w:tcPr>
          <w:p>
            <w:pPr>
              <w:spacing w:after="0"/>
              <w:rPr>
                <w:sz w:val="19"/>
                <w:szCs w:val="19"/>
                <w:color w:val="auto"/>
              </w:rPr>
            </w:pPr>
          </w:p>
        </w:tc>
        <w:tc>
          <w:tcPr>
            <w:tcW w:w="1080" w:type="dxa"/>
            <w:vAlign w:val="bottom"/>
            <w:shd w:val="clear" w:color="auto" w:fill="62259D"/>
          </w:tcPr>
          <w:p>
            <w:pPr>
              <w:spacing w:after="0"/>
              <w:rPr>
                <w:sz w:val="19"/>
                <w:szCs w:val="19"/>
                <w:color w:val="auto"/>
              </w:rPr>
            </w:pPr>
          </w:p>
        </w:tc>
        <w:tc>
          <w:tcPr>
            <w:tcW w:w="280" w:type="dxa"/>
            <w:vAlign w:val="bottom"/>
            <w:shd w:val="clear" w:color="auto" w:fill="62259D"/>
          </w:tcPr>
          <w:p>
            <w:pPr>
              <w:spacing w:after="0"/>
              <w:rPr>
                <w:sz w:val="19"/>
                <w:szCs w:val="19"/>
                <w:color w:val="auto"/>
              </w:rPr>
            </w:pPr>
          </w:p>
        </w:tc>
        <w:tc>
          <w:tcPr>
            <w:tcW w:w="86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Maximum</w:t>
            </w:r>
          </w:p>
        </w:tc>
        <w:tc>
          <w:tcPr>
            <w:tcW w:w="180" w:type="dxa"/>
            <w:vAlign w:val="bottom"/>
            <w:shd w:val="clear" w:color="auto" w:fill="62259D"/>
          </w:tcPr>
          <w:p>
            <w:pPr>
              <w:spacing w:after="0"/>
              <w:rPr>
                <w:sz w:val="19"/>
                <w:szCs w:val="19"/>
                <w:color w:val="auto"/>
              </w:rPr>
            </w:pPr>
          </w:p>
        </w:tc>
        <w:tc>
          <w:tcPr>
            <w:tcW w:w="240" w:type="dxa"/>
            <w:vAlign w:val="bottom"/>
            <w:shd w:val="clear" w:color="auto" w:fill="62259D"/>
          </w:tcPr>
          <w:p>
            <w:pPr>
              <w:spacing w:after="0"/>
              <w:rPr>
                <w:sz w:val="19"/>
                <w:szCs w:val="19"/>
                <w:color w:val="auto"/>
              </w:rPr>
            </w:pPr>
          </w:p>
        </w:tc>
        <w:tc>
          <w:tcPr>
            <w:tcW w:w="620" w:type="dxa"/>
            <w:vAlign w:val="bottom"/>
            <w:shd w:val="clear" w:color="auto" w:fill="62259D"/>
          </w:tcPr>
          <w:p>
            <w:pPr>
              <w:spacing w:after="0"/>
              <w:rPr>
                <w:sz w:val="19"/>
                <w:szCs w:val="19"/>
                <w:color w:val="auto"/>
              </w:rPr>
            </w:pPr>
          </w:p>
        </w:tc>
        <w:tc>
          <w:tcPr>
            <w:tcW w:w="220" w:type="dxa"/>
            <w:vAlign w:val="bottom"/>
            <w:shd w:val="clear" w:color="auto" w:fill="62259D"/>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3660" w:type="dxa"/>
            <w:vAlign w:val="bottom"/>
            <w:shd w:val="clear" w:color="auto" w:fill="62259D"/>
          </w:tcPr>
          <w:p>
            <w:pPr>
              <w:spacing w:after="0"/>
              <w:rPr>
                <w:sz w:val="16"/>
                <w:szCs w:val="16"/>
                <w:color w:val="auto"/>
              </w:rPr>
            </w:pPr>
          </w:p>
        </w:tc>
        <w:tc>
          <w:tcPr>
            <w:tcW w:w="220" w:type="dxa"/>
            <w:vAlign w:val="bottom"/>
            <w:shd w:val="clear" w:color="auto" w:fill="62259D"/>
          </w:tcPr>
          <w:p>
            <w:pPr>
              <w:spacing w:after="0"/>
              <w:rPr>
                <w:sz w:val="16"/>
                <w:szCs w:val="16"/>
                <w:color w:val="auto"/>
              </w:rPr>
            </w:pPr>
          </w:p>
        </w:tc>
        <w:tc>
          <w:tcPr>
            <w:tcW w:w="112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Minimum 0%</w:t>
            </w:r>
          </w:p>
        </w:tc>
        <w:tc>
          <w:tcPr>
            <w:tcW w:w="280" w:type="dxa"/>
            <w:vAlign w:val="bottom"/>
            <w:shd w:val="clear" w:color="auto" w:fill="62259D"/>
          </w:tcPr>
          <w:p>
            <w:pPr>
              <w:spacing w:after="0"/>
              <w:rPr>
                <w:sz w:val="16"/>
                <w:szCs w:val="16"/>
                <w:color w:val="auto"/>
              </w:rPr>
            </w:pPr>
          </w:p>
        </w:tc>
        <w:tc>
          <w:tcPr>
            <w:tcW w:w="108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Target 100%</w:t>
            </w:r>
          </w:p>
        </w:tc>
        <w:tc>
          <w:tcPr>
            <w:tcW w:w="280" w:type="dxa"/>
            <w:vAlign w:val="bottom"/>
            <w:shd w:val="clear" w:color="auto" w:fill="62259D"/>
          </w:tcPr>
          <w:p>
            <w:pPr>
              <w:spacing w:after="0"/>
              <w:rPr>
                <w:sz w:val="16"/>
                <w:szCs w:val="16"/>
                <w:color w:val="auto"/>
              </w:rPr>
            </w:pPr>
          </w:p>
        </w:tc>
        <w:tc>
          <w:tcPr>
            <w:tcW w:w="860" w:type="dxa"/>
            <w:vAlign w:val="bottom"/>
            <w:shd w:val="clear" w:color="auto" w:fill="62259D"/>
          </w:tcPr>
          <w:p>
            <w:pPr>
              <w:ind w:left="200"/>
              <w:spacing w:after="0"/>
              <w:rPr>
                <w:sz w:val="20"/>
                <w:szCs w:val="20"/>
                <w:color w:val="auto"/>
              </w:rPr>
            </w:pPr>
            <w:r>
              <w:rPr>
                <w:rFonts w:ascii="Arial" w:cs="Arial" w:eastAsia="Arial" w:hAnsi="Arial"/>
                <w:sz w:val="16"/>
                <w:szCs w:val="16"/>
                <w:b w:val="1"/>
                <w:bCs w:val="1"/>
                <w:color w:val="FEFEFE"/>
              </w:rPr>
              <w:t>150%</w:t>
            </w:r>
          </w:p>
        </w:tc>
        <w:tc>
          <w:tcPr>
            <w:tcW w:w="180" w:type="dxa"/>
            <w:vAlign w:val="bottom"/>
            <w:shd w:val="clear" w:color="auto" w:fill="62259D"/>
          </w:tcPr>
          <w:p>
            <w:pPr>
              <w:spacing w:after="0"/>
              <w:rPr>
                <w:sz w:val="16"/>
                <w:szCs w:val="16"/>
                <w:color w:val="auto"/>
              </w:rPr>
            </w:pPr>
          </w:p>
        </w:tc>
        <w:tc>
          <w:tcPr>
            <w:tcW w:w="1080" w:type="dxa"/>
            <w:vAlign w:val="bottom"/>
            <w:gridSpan w:val="3"/>
            <w:vMerge w:val="restart"/>
            <w:shd w:val="clear" w:color="auto" w:fill="62259D"/>
          </w:tcPr>
          <w:p>
            <w:pPr>
              <w:ind w:left="60"/>
              <w:spacing w:after="0"/>
              <w:rPr>
                <w:sz w:val="20"/>
                <w:szCs w:val="20"/>
                <w:color w:val="auto"/>
              </w:rPr>
            </w:pPr>
            <w:r>
              <w:rPr>
                <w:rFonts w:ascii="Arial" w:cs="Arial" w:eastAsia="Arial" w:hAnsi="Arial"/>
                <w:sz w:val="32"/>
                <w:szCs w:val="32"/>
                <w:b w:val="1"/>
                <w:bCs w:val="1"/>
                <w:color w:val="FEFEFE"/>
                <w:vertAlign w:val="subscript"/>
              </w:rPr>
              <w:t>​</w:t>
            </w:r>
            <w:r>
              <w:rPr>
                <w:rFonts w:ascii="Arial" w:cs="Arial" w:eastAsia="Arial" w:hAnsi="Arial"/>
                <w:sz w:val="16"/>
                <w:szCs w:val="16"/>
                <w:b w:val="1"/>
                <w:bCs w:val="1"/>
                <w:color w:val="FEFEFE"/>
              </w:rPr>
              <w:t xml:space="preserve">Weighting </w:t>
            </w:r>
            <w:r>
              <w:rPr>
                <w:rFonts w:ascii="Arial" w:cs="Arial" w:eastAsia="Arial" w:hAnsi="Arial"/>
                <w:sz w:val="32"/>
                <w:szCs w:val="32"/>
                <w:b w:val="1"/>
                <w:bCs w:val="1"/>
                <w:color w:val="FEFEFE"/>
                <w:vertAlign w:val="subscript"/>
              </w:rPr>
              <w:t>​</w:t>
            </w:r>
          </w:p>
        </w:tc>
        <w:tc>
          <w:tcPr>
            <w:tcW w:w="0" w:type="dxa"/>
            <w:vAlign w:val="bottom"/>
          </w:tcPr>
          <w:p>
            <w:pPr>
              <w:spacing w:after="0"/>
              <w:rPr>
                <w:sz w:val="1"/>
                <w:szCs w:val="1"/>
                <w:color w:val="auto"/>
              </w:rPr>
            </w:pPr>
          </w:p>
        </w:tc>
      </w:tr>
      <w:tr>
        <w:trPr>
          <w:trHeight w:val="230"/>
        </w:trPr>
        <w:tc>
          <w:tcPr>
            <w:tcW w:w="100" w:type="dxa"/>
            <w:vAlign w:val="bottom"/>
          </w:tcPr>
          <w:p>
            <w:pPr>
              <w:ind w:left="60"/>
              <w:spacing w:after="0"/>
              <w:rPr>
                <w:sz w:val="20"/>
                <w:szCs w:val="20"/>
                <w:color w:val="auto"/>
              </w:rPr>
            </w:pPr>
            <w:r>
              <w:rPr>
                <w:rFonts w:ascii="Arial" w:cs="Arial" w:eastAsia="Arial" w:hAnsi="Arial"/>
                <w:sz w:val="16"/>
                <w:szCs w:val="16"/>
                <w:b w:val="1"/>
                <w:bCs w:val="1"/>
                <w:color w:val="FEFEFE"/>
              </w:rPr>
              <w:t>​</w:t>
            </w:r>
          </w:p>
        </w:tc>
        <w:tc>
          <w:tcPr>
            <w:tcW w:w="3660" w:type="dxa"/>
            <w:vAlign w:val="bottom"/>
            <w:shd w:val="clear" w:color="auto" w:fill="62259D"/>
          </w:tcPr>
          <w:p>
            <w:pPr>
              <w:spacing w:after="0"/>
              <w:rPr>
                <w:sz w:val="20"/>
                <w:szCs w:val="20"/>
                <w:color w:val="auto"/>
              </w:rPr>
            </w:pPr>
            <w:r>
              <w:rPr>
                <w:rFonts w:ascii="Arial" w:cs="Arial" w:eastAsia="Arial" w:hAnsi="Arial"/>
                <w:sz w:val="16"/>
                <w:szCs w:val="16"/>
                <w:b w:val="1"/>
                <w:bCs w:val="1"/>
                <w:color w:val="FEFEFE"/>
              </w:rPr>
              <w:t>Performance Metric</w:t>
            </w:r>
          </w:p>
        </w:tc>
        <w:tc>
          <w:tcPr>
            <w:tcW w:w="220" w:type="dxa"/>
            <w:vAlign w:val="bottom"/>
            <w:shd w:val="clear" w:color="auto" w:fill="62259D"/>
          </w:tcPr>
          <w:p>
            <w:pPr>
              <w:ind w:left="60"/>
              <w:spacing w:after="0"/>
              <w:rPr>
                <w:sz w:val="20"/>
                <w:szCs w:val="20"/>
                <w:color w:val="auto"/>
              </w:rPr>
            </w:pPr>
            <w:r>
              <w:rPr>
                <w:rFonts w:ascii="Arial" w:cs="Arial" w:eastAsia="Arial" w:hAnsi="Arial"/>
                <w:sz w:val="16"/>
                <w:szCs w:val="16"/>
                <w:b w:val="1"/>
                <w:bCs w:val="1"/>
                <w:color w:val="FEFEFE"/>
              </w:rPr>
              <w:t>​ ​</w:t>
            </w:r>
          </w:p>
        </w:tc>
        <w:tc>
          <w:tcPr>
            <w:tcW w:w="112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w:t>
            </w:r>
          </w:p>
        </w:tc>
        <w:tc>
          <w:tcPr>
            <w:tcW w:w="280" w:type="dxa"/>
            <w:vAlign w:val="bottom"/>
            <w:shd w:val="clear" w:color="auto" w:fill="62259D"/>
          </w:tcPr>
          <w:p>
            <w:pPr>
              <w:ind w:left="120"/>
              <w:spacing w:after="0"/>
              <w:rPr>
                <w:sz w:val="20"/>
                <w:szCs w:val="20"/>
                <w:color w:val="auto"/>
              </w:rPr>
            </w:pPr>
            <w:r>
              <w:rPr>
                <w:rFonts w:ascii="Arial" w:cs="Arial" w:eastAsia="Arial" w:hAnsi="Arial"/>
                <w:sz w:val="16"/>
                <w:szCs w:val="16"/>
                <w:b w:val="1"/>
                <w:bCs w:val="1"/>
                <w:color w:val="FEFEFE"/>
              </w:rPr>
              <w:t>​ ​</w:t>
            </w:r>
          </w:p>
        </w:tc>
        <w:tc>
          <w:tcPr>
            <w:tcW w:w="108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w:t>
            </w:r>
          </w:p>
        </w:tc>
        <w:tc>
          <w:tcPr>
            <w:tcW w:w="280" w:type="dxa"/>
            <w:vAlign w:val="bottom"/>
            <w:shd w:val="clear" w:color="auto" w:fill="62259D"/>
          </w:tcPr>
          <w:p>
            <w:pPr>
              <w:ind w:left="100"/>
              <w:spacing w:after="0"/>
              <w:rPr>
                <w:sz w:val="20"/>
                <w:szCs w:val="20"/>
                <w:color w:val="auto"/>
              </w:rPr>
            </w:pPr>
            <w:r>
              <w:rPr>
                <w:rFonts w:ascii="Arial" w:cs="Arial" w:eastAsia="Arial" w:hAnsi="Arial"/>
                <w:sz w:val="16"/>
                <w:szCs w:val="16"/>
                <w:b w:val="1"/>
                <w:bCs w:val="1"/>
                <w:color w:val="FEFEFE"/>
              </w:rPr>
              <w:t>​ ​</w:t>
            </w:r>
          </w:p>
        </w:tc>
        <w:tc>
          <w:tcPr>
            <w:tcW w:w="860" w:type="dxa"/>
            <w:vAlign w:val="bottom"/>
            <w:shd w:val="clear" w:color="auto" w:fill="62259D"/>
          </w:tcPr>
          <w:p>
            <w:pPr>
              <w:jc w:val="right"/>
              <w:ind w:right="221"/>
              <w:spacing w:after="0"/>
              <w:rPr>
                <w:sz w:val="20"/>
                <w:szCs w:val="20"/>
                <w:color w:val="auto"/>
              </w:rPr>
            </w:pPr>
            <w:r>
              <w:rPr>
                <w:rFonts w:ascii="Arial" w:cs="Arial" w:eastAsia="Arial" w:hAnsi="Arial"/>
                <w:sz w:val="16"/>
                <w:szCs w:val="16"/>
                <w:b w:val="1"/>
                <w:bCs w:val="1"/>
                <w:color w:val="FEFEFE"/>
              </w:rPr>
              <w:t>($)</w:t>
            </w:r>
          </w:p>
        </w:tc>
        <w:tc>
          <w:tcPr>
            <w:tcW w:w="180" w:type="dxa"/>
            <w:vAlign w:val="bottom"/>
            <w:shd w:val="clear" w:color="auto" w:fill="62259D"/>
          </w:tcPr>
          <w:p>
            <w:pPr>
              <w:jc w:val="center"/>
              <w:ind w:left="39"/>
              <w:spacing w:after="0"/>
              <w:rPr>
                <w:sz w:val="20"/>
                <w:szCs w:val="20"/>
                <w:color w:val="auto"/>
              </w:rPr>
            </w:pPr>
            <w:r>
              <w:rPr>
                <w:rFonts w:ascii="Arial" w:cs="Arial" w:eastAsia="Arial" w:hAnsi="Arial"/>
                <w:sz w:val="16"/>
                <w:szCs w:val="16"/>
                <w:b w:val="1"/>
                <w:bCs w:val="1"/>
                <w:color w:val="FEFEFE"/>
              </w:rPr>
              <w:t>​</w:t>
            </w:r>
          </w:p>
        </w:tc>
        <w:tc>
          <w:tcPr>
            <w:tcW w:w="1080" w:type="dxa"/>
            <w:vAlign w:val="bottom"/>
            <w:gridSpan w:val="3"/>
            <w:vMerge w:val="continue"/>
            <w:shd w:val="clear" w:color="auto" w:fill="62259D"/>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60" w:type="dxa"/>
            <w:vAlign w:val="bottom"/>
            <w:tcBorders>
              <w:bottom w:val="single" w:sz="8" w:color="E7417A"/>
            </w:tcBorders>
            <w:gridSpan w:val="2"/>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Revenue</w:t>
            </w:r>
          </w:p>
        </w:tc>
        <w:tc>
          <w:tcPr>
            <w:tcW w:w="22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 ​</w:t>
            </w:r>
          </w:p>
        </w:tc>
        <w:tc>
          <w:tcPr>
            <w:tcW w:w="1120" w:type="dxa"/>
            <w:vAlign w:val="bottom"/>
            <w:tcBorders>
              <w:bottom w:val="single" w:sz="8" w:color="E7417A"/>
            </w:tcBorders>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800.0</w:t>
            </w:r>
          </w:p>
        </w:tc>
        <w:tc>
          <w:tcPr>
            <w:tcW w:w="2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E7417A"/>
            </w:tcBorders>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880.0</w:t>
            </w:r>
          </w:p>
        </w:tc>
        <w:tc>
          <w:tcPr>
            <w:tcW w:w="28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 ​</w:t>
            </w:r>
          </w:p>
        </w:tc>
        <w:tc>
          <w:tcPr>
            <w:tcW w:w="860" w:type="dxa"/>
            <w:vAlign w:val="bottom"/>
            <w:tcBorders>
              <w:bottom w:val="single" w:sz="8" w:color="E7417A"/>
            </w:tcBorders>
          </w:tcPr>
          <w:p>
            <w:pPr>
              <w:ind w:left="2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925.0</w:t>
            </w:r>
          </w:p>
        </w:tc>
        <w:tc>
          <w:tcPr>
            <w:tcW w:w="420" w:type="dxa"/>
            <w:vAlign w:val="bottom"/>
            <w:tcBorders>
              <w:bottom w:val="single" w:sz="8" w:color="E7417A"/>
            </w:tcBorders>
            <w:gridSpan w:val="2"/>
          </w:tcPr>
          <w:p>
            <w:pPr>
              <w:jc w:val="center"/>
              <w:ind w:right="79"/>
              <w:spacing w:after="0"/>
              <w:rPr>
                <w:sz w:val="20"/>
                <w:szCs w:val="20"/>
                <w:color w:val="auto"/>
              </w:rPr>
            </w:pPr>
            <w:r>
              <w:rPr>
                <w:rFonts w:ascii="Arial" w:cs="Arial" w:eastAsia="Arial" w:hAnsi="Arial"/>
                <w:sz w:val="16"/>
                <w:szCs w:val="16"/>
                <w:color w:val="auto"/>
              </w:rPr>
              <w:t>​​ ​</w:t>
            </w:r>
          </w:p>
        </w:tc>
        <w:tc>
          <w:tcPr>
            <w:tcW w:w="620" w:type="dxa"/>
            <w:vAlign w:val="bottom"/>
            <w:tcBorders>
              <w:bottom w:val="single" w:sz="8" w:color="E7417A"/>
            </w:tcBorders>
          </w:tcPr>
          <w:p>
            <w:pPr>
              <w:ind w:left="20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50%</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62259D"/>
            </w:tcBorders>
            <w:gridSpan w:val="2"/>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Adjusted EBITDA (pre-bonus)</w:t>
            </w:r>
          </w:p>
        </w:tc>
        <w:tc>
          <w:tcPr>
            <w:tcW w:w="220" w:type="dxa"/>
            <w:vAlign w:val="bottom"/>
            <w:tcBorders>
              <w:bottom w:val="single" w:sz="8" w:color="62259D"/>
            </w:tcBorders>
          </w:tcPr>
          <w:p>
            <w:pPr>
              <w:ind w:left="20"/>
              <w:spacing w:after="0"/>
              <w:rPr>
                <w:sz w:val="20"/>
                <w:szCs w:val="20"/>
                <w:color w:val="auto"/>
              </w:rPr>
            </w:pPr>
            <w:r>
              <w:rPr>
                <w:rFonts w:ascii="Arial" w:cs="Arial" w:eastAsia="Arial" w:hAnsi="Arial"/>
                <w:sz w:val="16"/>
                <w:szCs w:val="16"/>
                <w:color w:val="auto"/>
              </w:rPr>
              <w:t>​ ​</w:t>
            </w:r>
          </w:p>
        </w:tc>
        <w:tc>
          <w:tcPr>
            <w:tcW w:w="1120" w:type="dxa"/>
            <w:vAlign w:val="bottom"/>
            <w:tcBorders>
              <w:bottom w:val="single" w:sz="8" w:color="62259D"/>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90.0</w:t>
            </w:r>
          </w:p>
        </w:tc>
        <w:tc>
          <w:tcPr>
            <w:tcW w:w="280" w:type="dxa"/>
            <w:vAlign w:val="bottom"/>
            <w:tcBorders>
              <w:bottom w:val="single" w:sz="8" w:color="62259D"/>
            </w:tcBorders>
          </w:tcPr>
          <w:p>
            <w:pPr>
              <w:ind w:left="20"/>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62259D"/>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137.0</w:t>
            </w:r>
          </w:p>
        </w:tc>
        <w:tc>
          <w:tcPr>
            <w:tcW w:w="280" w:type="dxa"/>
            <w:vAlign w:val="bottom"/>
            <w:tcBorders>
              <w:bottom w:val="single" w:sz="8" w:color="62259D"/>
            </w:tcBorders>
          </w:tcPr>
          <w:p>
            <w:pPr>
              <w:ind w:left="40"/>
              <w:spacing w:after="0"/>
              <w:rPr>
                <w:sz w:val="20"/>
                <w:szCs w:val="20"/>
                <w:color w:val="auto"/>
              </w:rPr>
            </w:pPr>
            <w:r>
              <w:rPr>
                <w:rFonts w:ascii="Arial" w:cs="Arial" w:eastAsia="Arial" w:hAnsi="Arial"/>
                <w:sz w:val="16"/>
                <w:szCs w:val="16"/>
                <w:color w:val="auto"/>
              </w:rPr>
              <w:t>​​ ​</w:t>
            </w:r>
          </w:p>
        </w:tc>
        <w:tc>
          <w:tcPr>
            <w:tcW w:w="860" w:type="dxa"/>
            <w:vAlign w:val="bottom"/>
            <w:tcBorders>
              <w:bottom w:val="single" w:sz="8" w:color="62259D"/>
            </w:tcBorders>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165.0</w:t>
            </w:r>
          </w:p>
        </w:tc>
        <w:tc>
          <w:tcPr>
            <w:tcW w:w="420" w:type="dxa"/>
            <w:vAlign w:val="bottom"/>
            <w:tcBorders>
              <w:bottom w:val="single" w:sz="8" w:color="62259D"/>
            </w:tcBorders>
            <w:gridSpan w:val="2"/>
          </w:tcPr>
          <w:p>
            <w:pPr>
              <w:jc w:val="center"/>
              <w:ind w:right="79"/>
              <w:spacing w:after="0"/>
              <w:rPr>
                <w:sz w:val="20"/>
                <w:szCs w:val="20"/>
                <w:color w:val="auto"/>
              </w:rPr>
            </w:pPr>
            <w:r>
              <w:rPr>
                <w:rFonts w:ascii="Arial" w:cs="Arial" w:eastAsia="Arial" w:hAnsi="Arial"/>
                <w:sz w:val="16"/>
                <w:szCs w:val="16"/>
                <w:color w:val="auto"/>
              </w:rPr>
              <w:t>​​ ​</w:t>
            </w:r>
          </w:p>
        </w:tc>
        <w:tc>
          <w:tcPr>
            <w:tcW w:w="620" w:type="dxa"/>
            <w:vAlign w:val="bottom"/>
            <w:tcBorders>
              <w:bottom w:val="single" w:sz="8" w:color="62259D"/>
            </w:tcBorders>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50%</w:t>
            </w:r>
          </w:p>
        </w:tc>
        <w:tc>
          <w:tcPr>
            <w:tcW w:w="220" w:type="dxa"/>
            <w:vAlign w:val="bottom"/>
            <w:tcBorders>
              <w:bottom w:val="single" w:sz="8" w:color="62259D"/>
            </w:tcBorders>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920" w:right="439"/>
        <w:spacing w:after="0" w:line="237" w:lineRule="auto"/>
        <w:rPr>
          <w:sz w:val="20"/>
          <w:szCs w:val="20"/>
          <w:color w:val="auto"/>
        </w:rPr>
      </w:pPr>
      <w:r>
        <w:rPr>
          <w:rFonts w:ascii="Arial" w:cs="Arial" w:eastAsia="Arial" w:hAnsi="Arial"/>
          <w:sz w:val="18"/>
          <w:szCs w:val="18"/>
          <w:color w:val="auto"/>
        </w:rPr>
        <w:t>For 2024, based on the results discussed above for the SMCIP, the Company’s 2024 revenue and Adjusted EBITDA would have resulted in shares equivalent to approximately 65% of the revenue target</w:t>
      </w:r>
    </w:p>
    <w:p>
      <w:pPr>
        <w:ind w:left="920"/>
        <w:spacing w:after="0" w:line="235" w:lineRule="auto"/>
        <w:rPr>
          <w:sz w:val="20"/>
          <w:szCs w:val="20"/>
          <w:color w:val="auto"/>
        </w:rPr>
      </w:pPr>
      <w:r>
        <w:rPr>
          <w:rFonts w:ascii="Arial" w:cs="Arial" w:eastAsia="Arial" w:hAnsi="Arial"/>
          <w:sz w:val="18"/>
          <w:szCs w:val="18"/>
          <w:color w:val="auto"/>
        </w:rPr>
        <w:t>being earned for the 2024 performance period. However, as with the SMCIP discussed above, based on</w:t>
      </w:r>
    </w:p>
    <w:p>
      <w:pPr>
        <w:spacing w:after="0" w:line="1" w:lineRule="exact"/>
        <w:rPr>
          <w:sz w:val="20"/>
          <w:szCs w:val="20"/>
          <w:color w:val="auto"/>
        </w:rPr>
      </w:pPr>
    </w:p>
    <w:p>
      <w:pPr>
        <w:ind w:left="920" w:right="219"/>
        <w:spacing w:after="0" w:line="226" w:lineRule="auto"/>
        <w:rPr>
          <w:sz w:val="20"/>
          <w:szCs w:val="20"/>
          <w:color w:val="auto"/>
        </w:rPr>
      </w:pPr>
      <w:r>
        <w:rPr>
          <w:rFonts w:ascii="Arial" w:cs="Arial" w:eastAsia="Arial" w:hAnsi="Arial"/>
          <w:sz w:val="18"/>
          <w:szCs w:val="18"/>
          <w:color w:val="auto"/>
        </w:rPr>
        <w:t>the Company’s 2024 achievements, the Compensation Committee used its discretion to increase the shares earned for the 2024 performance period to the number that would have been earned at 70% of the</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revenue target.</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20"/>
          <w:szCs w:val="20"/>
          <w:color w:val="E7417A"/>
        </w:rPr>
        <w:t>RELATIVE TSR</w:t>
      </w:r>
    </w:p>
    <w:p>
      <w:pPr>
        <w:spacing w:after="0" w:line="137" w:lineRule="exact"/>
        <w:rPr>
          <w:sz w:val="20"/>
          <w:szCs w:val="20"/>
          <w:color w:val="auto"/>
        </w:rPr>
      </w:pPr>
    </w:p>
    <w:p>
      <w:pPr>
        <w:ind w:left="920" w:right="339"/>
        <w:spacing w:after="0" w:line="248" w:lineRule="auto"/>
        <w:rPr>
          <w:sz w:val="20"/>
          <w:szCs w:val="20"/>
          <w:color w:val="auto"/>
        </w:rPr>
      </w:pPr>
      <w:r>
        <w:rPr>
          <w:rFonts w:ascii="Arial" w:cs="Arial" w:eastAsia="Arial" w:hAnsi="Arial"/>
          <w:sz w:val="18"/>
          <w:szCs w:val="18"/>
          <w:color w:val="auto"/>
        </w:rPr>
        <w:t xml:space="preserve">Relative total stockholder return (“Relative TSR”), which comprises 40% of the total target award, is the return on the Company’s stock taking into account the change in the stock price over the three - year measurement period and assuming any dividends are reinvested. Ribbon’s stock performance over the three-year period is compared on a </w:t>
      </w:r>
      <w:r>
        <w:rPr>
          <w:rFonts w:ascii="Arial" w:cs="Arial" w:eastAsia="Arial" w:hAnsi="Arial"/>
          <w:sz w:val="18"/>
          <w:szCs w:val="18"/>
          <w:i w:val="1"/>
          <w:iCs w:val="1"/>
          <w:color w:val="auto"/>
        </w:rPr>
        <w:t>relative</w:t>
      </w:r>
      <w:r>
        <w:rPr>
          <w:rFonts w:ascii="Arial" w:cs="Arial" w:eastAsia="Arial" w:hAnsi="Arial"/>
          <w:sz w:val="18"/>
          <w:szCs w:val="18"/>
          <w:color w:val="auto"/>
        </w:rPr>
        <w:t xml:space="preserve"> basis to a peer index and measured “point- to-point,” with the starting and ending points based on the average 20-trading day closing stock prices at the end of our fiscal years to smooth out any single day volatility. As noted above, for</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46</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right="179"/>
        <w:spacing w:after="0" w:line="262" w:lineRule="auto"/>
        <w:rPr>
          <w:sz w:val="20"/>
          <w:szCs w:val="20"/>
          <w:color w:val="auto"/>
        </w:rPr>
      </w:pPr>
      <w:r>
        <w:rPr>
          <w:rFonts w:ascii="Arial" w:cs="Arial" w:eastAsia="Arial" w:hAnsi="Arial"/>
          <w:sz w:val="18"/>
          <w:szCs w:val="18"/>
          <w:color w:val="auto"/>
        </w:rPr>
        <w:t>Mr. Townsend’s award made in connection with his appointment as CFO, the measurement period will run from the date of the award in 2024 through December 31, 2027. The Nasdaq Telecommunications Index is the peer index used to measure Relative TSR, which is the same peer index used for the “— Pay Versus Performance Disclosures.”</w:t>
      </w:r>
    </w:p>
    <w:p>
      <w:pPr>
        <w:spacing w:after="0" w:line="82" w:lineRule="exact"/>
        <w:rPr>
          <w:sz w:val="20"/>
          <w:szCs w:val="20"/>
          <w:color w:val="auto"/>
        </w:rPr>
      </w:pPr>
    </w:p>
    <w:p>
      <w:pPr>
        <w:ind w:left="920" w:right="459"/>
        <w:spacing w:after="0" w:line="262" w:lineRule="auto"/>
        <w:rPr>
          <w:sz w:val="20"/>
          <w:szCs w:val="20"/>
          <w:color w:val="auto"/>
        </w:rPr>
      </w:pPr>
      <w:r>
        <w:rPr>
          <w:rFonts w:ascii="Arial" w:cs="Arial" w:eastAsia="Arial" w:hAnsi="Arial"/>
          <w:sz w:val="18"/>
          <w:szCs w:val="18"/>
          <w:color w:val="auto"/>
        </w:rPr>
        <w:t>The table below provides the payout range for the Relative TSR portion of the 2024 Annual PSUs. This portion of the PSU awards cliff vest at the end of the three-year performance period with linear interpolation between each performance hurdle (e.g., 40th percentile Relative TSR performance yields 80% of target payout on this metric).</w:t>
      </w:r>
    </w:p>
    <w:p>
      <w:pPr>
        <w:spacing w:after="0" w:line="141" w:lineRule="exact"/>
        <w:rPr>
          <w:sz w:val="20"/>
          <w:szCs w:val="20"/>
          <w:color w:val="auto"/>
        </w:rPr>
      </w:pPr>
    </w:p>
    <w:tbl>
      <w:tblPr>
        <w:tblLayout w:type="fixed"/>
        <w:tblInd w:w="1640" w:type="dxa"/>
        <w:tblCellMar>
          <w:top w:w="0" w:type="dxa"/>
          <w:left w:w="0" w:type="dxa"/>
          <w:bottom w:w="0" w:type="dxa"/>
          <w:right w:w="0" w:type="dxa"/>
        </w:tblCellMar>
      </w:tblPr>
      <w:tr>
        <w:trPr>
          <w:trHeight w:val="215"/>
        </w:trPr>
        <w:tc>
          <w:tcPr>
            <w:tcW w:w="460" w:type="dxa"/>
            <w:vAlign w:val="bottom"/>
            <w:shd w:val="clear" w:color="auto" w:fill="62259D"/>
          </w:tcPr>
          <w:p>
            <w:pPr>
              <w:spacing w:after="0"/>
              <w:rPr>
                <w:sz w:val="18"/>
                <w:szCs w:val="18"/>
                <w:color w:val="auto"/>
              </w:rPr>
            </w:pPr>
          </w:p>
        </w:tc>
        <w:tc>
          <w:tcPr>
            <w:tcW w:w="278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Payout for Relative TSR</w:t>
            </w:r>
          </w:p>
        </w:tc>
        <w:tc>
          <w:tcPr>
            <w:tcW w:w="880" w:type="dxa"/>
            <w:vAlign w:val="bottom"/>
            <w:shd w:val="clear" w:color="auto" w:fill="62259D"/>
          </w:tcPr>
          <w:p>
            <w:pPr>
              <w:spacing w:after="0"/>
              <w:rPr>
                <w:sz w:val="18"/>
                <w:szCs w:val="18"/>
                <w:color w:val="auto"/>
              </w:rPr>
            </w:pPr>
          </w:p>
        </w:tc>
        <w:tc>
          <w:tcPr>
            <w:tcW w:w="2880" w:type="dxa"/>
            <w:vAlign w:val="bottom"/>
            <w:shd w:val="clear" w:color="auto" w:fill="62259D"/>
          </w:tcPr>
          <w:p>
            <w:pPr>
              <w:spacing w:after="0"/>
              <w:rPr>
                <w:sz w:val="18"/>
                <w:szCs w:val="18"/>
                <w:color w:val="auto"/>
              </w:rPr>
            </w:pPr>
          </w:p>
        </w:tc>
        <w:tc>
          <w:tcPr>
            <w:tcW w:w="400" w:type="dxa"/>
            <w:vAlign w:val="bottom"/>
            <w:shd w:val="clear" w:color="auto" w:fill="62259D"/>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shd w:val="clear" w:color="auto" w:fill="62259D"/>
          </w:tcPr>
          <w:p>
            <w:pPr>
              <w:ind w:left="60"/>
              <w:spacing w:after="0"/>
              <w:rPr>
                <w:sz w:val="20"/>
                <w:szCs w:val="20"/>
                <w:color w:val="auto"/>
              </w:rPr>
            </w:pPr>
            <w:r>
              <w:rPr>
                <w:rFonts w:ascii="Arial" w:cs="Arial" w:eastAsia="Arial" w:hAnsi="Arial"/>
                <w:sz w:val="16"/>
                <w:szCs w:val="16"/>
                <w:b w:val="1"/>
                <w:bCs w:val="1"/>
                <w:color w:val="FEFEFE"/>
              </w:rPr>
              <w:t>​</w:t>
            </w:r>
          </w:p>
        </w:tc>
        <w:tc>
          <w:tcPr>
            <w:tcW w:w="278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Achievement Metric</w:t>
            </w:r>
          </w:p>
        </w:tc>
        <w:tc>
          <w:tcPr>
            <w:tcW w:w="880" w:type="dxa"/>
            <w:vAlign w:val="bottom"/>
            <w:shd w:val="clear" w:color="auto" w:fill="62259D"/>
          </w:tcPr>
          <w:p>
            <w:pPr>
              <w:ind w:left="400"/>
              <w:spacing w:after="0"/>
              <w:rPr>
                <w:sz w:val="20"/>
                <w:szCs w:val="20"/>
                <w:color w:val="auto"/>
              </w:rPr>
            </w:pPr>
            <w:r>
              <w:rPr>
                <w:rFonts w:ascii="Arial" w:cs="Arial" w:eastAsia="Arial" w:hAnsi="Arial"/>
                <w:sz w:val="16"/>
                <w:szCs w:val="16"/>
                <w:b w:val="1"/>
                <w:bCs w:val="1"/>
                <w:color w:val="FEFEFE"/>
              </w:rPr>
              <w:t>​ ​</w:t>
            </w:r>
          </w:p>
        </w:tc>
        <w:tc>
          <w:tcPr>
            <w:tcW w:w="288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Relative TSR Achievement</w:t>
            </w:r>
          </w:p>
        </w:tc>
        <w:tc>
          <w:tcPr>
            <w:tcW w:w="400" w:type="dxa"/>
            <w:vAlign w:val="bottom"/>
            <w:shd w:val="clear" w:color="auto" w:fill="62259D"/>
          </w:tcPr>
          <w:p>
            <w:pPr>
              <w:ind w:left="36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189"/>
        </w:trPr>
        <w:tc>
          <w:tcPr>
            <w:tcW w:w="460" w:type="dxa"/>
            <w:vAlign w:val="bottom"/>
          </w:tcPr>
          <w:p>
            <w:pPr>
              <w:ind w:left="60"/>
              <w:spacing w:after="0"/>
              <w:rPr>
                <w:sz w:val="20"/>
                <w:szCs w:val="20"/>
                <w:color w:val="auto"/>
              </w:rPr>
            </w:pPr>
            <w:r>
              <w:rPr>
                <w:rFonts w:ascii="Arial" w:cs="Arial" w:eastAsia="Arial" w:hAnsi="Arial"/>
                <w:sz w:val="16"/>
                <w:szCs w:val="16"/>
                <w:color w:val="auto"/>
              </w:rPr>
              <w:t>​</w:t>
            </w:r>
          </w:p>
        </w:tc>
        <w:tc>
          <w:tcPr>
            <w:tcW w:w="2780" w:type="dxa"/>
            <w:vAlign w:val="bottom"/>
            <w:vMerge w:val="restart"/>
          </w:tcPr>
          <w:p>
            <w:pPr>
              <w:jc w:val="center"/>
              <w:spacing w:after="0"/>
              <w:rPr>
                <w:sz w:val="20"/>
                <w:szCs w:val="20"/>
                <w:color w:val="auto"/>
              </w:rPr>
            </w:pPr>
            <w:r>
              <w:rPr>
                <w:rFonts w:ascii="Arial" w:cs="Arial" w:eastAsia="Arial" w:hAnsi="Arial"/>
                <w:sz w:val="16"/>
                <w:szCs w:val="16"/>
                <w:color w:val="auto"/>
              </w:rPr>
              <w:t>200%</w:t>
            </w:r>
          </w:p>
        </w:tc>
        <w:tc>
          <w:tcPr>
            <w:tcW w:w="880" w:type="dxa"/>
            <w:vAlign w:val="bottom"/>
          </w:tcPr>
          <w:p>
            <w:pPr>
              <w:ind w:left="400"/>
              <w:spacing w:after="0"/>
              <w:rPr>
                <w:sz w:val="20"/>
                <w:szCs w:val="20"/>
                <w:color w:val="auto"/>
              </w:rPr>
            </w:pPr>
            <w:r>
              <w:rPr>
                <w:rFonts w:ascii="Arial" w:cs="Arial" w:eastAsia="Arial" w:hAnsi="Arial"/>
                <w:sz w:val="16"/>
                <w:szCs w:val="16"/>
                <w:color w:val="auto"/>
              </w:rPr>
              <w:t>​ ​</w:t>
            </w:r>
          </w:p>
        </w:tc>
        <w:tc>
          <w:tcPr>
            <w:tcW w:w="2880" w:type="dxa"/>
            <w:vAlign w:val="bottom"/>
            <w:vMerge w:val="restart"/>
          </w:tcPr>
          <w:p>
            <w:pPr>
              <w:jc w:val="center"/>
              <w:spacing w:after="0"/>
              <w:rPr>
                <w:sz w:val="20"/>
                <w:szCs w:val="20"/>
                <w:color w:val="auto"/>
              </w:rPr>
            </w:pPr>
            <w:r>
              <w:rPr>
                <w:rFonts w:ascii="Arial" w:cs="Arial" w:eastAsia="Arial" w:hAnsi="Arial"/>
                <w:sz w:val="16"/>
                <w:szCs w:val="16"/>
                <w:color w:val="auto"/>
              </w:rPr>
              <w:t>75th percentile</w:t>
            </w:r>
          </w:p>
        </w:tc>
        <w:tc>
          <w:tcPr>
            <w:tcW w:w="400" w:type="dxa"/>
            <w:vAlign w:val="bottom"/>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1"/>
        </w:trPr>
        <w:tc>
          <w:tcPr>
            <w:tcW w:w="460" w:type="dxa"/>
            <w:vAlign w:val="bottom"/>
            <w:tcBorders>
              <w:bottom w:val="single" w:sz="8" w:color="E7417A"/>
            </w:tcBorders>
          </w:tcPr>
          <w:p>
            <w:pPr>
              <w:spacing w:after="0"/>
              <w:rPr>
                <w:sz w:val="5"/>
                <w:szCs w:val="5"/>
                <w:color w:val="auto"/>
              </w:rPr>
            </w:pPr>
          </w:p>
        </w:tc>
        <w:tc>
          <w:tcPr>
            <w:tcW w:w="2780" w:type="dxa"/>
            <w:vAlign w:val="bottom"/>
            <w:tcBorders>
              <w:bottom w:val="single" w:sz="8" w:color="E7417A"/>
            </w:tcBorders>
            <w:vMerge w:val="continue"/>
          </w:tcPr>
          <w:p>
            <w:pPr>
              <w:spacing w:after="0"/>
              <w:rPr>
                <w:sz w:val="5"/>
                <w:szCs w:val="5"/>
                <w:color w:val="auto"/>
              </w:rPr>
            </w:pPr>
          </w:p>
        </w:tc>
        <w:tc>
          <w:tcPr>
            <w:tcW w:w="880" w:type="dxa"/>
            <w:vAlign w:val="bottom"/>
            <w:tcBorders>
              <w:bottom w:val="single" w:sz="8" w:color="E7417A"/>
            </w:tcBorders>
          </w:tcPr>
          <w:p>
            <w:pPr>
              <w:spacing w:after="0"/>
              <w:rPr>
                <w:sz w:val="5"/>
                <w:szCs w:val="5"/>
                <w:color w:val="auto"/>
              </w:rPr>
            </w:pPr>
          </w:p>
        </w:tc>
        <w:tc>
          <w:tcPr>
            <w:tcW w:w="2880" w:type="dxa"/>
            <w:vAlign w:val="bottom"/>
            <w:tcBorders>
              <w:bottom w:val="single" w:sz="8" w:color="E7417A"/>
            </w:tcBorders>
            <w:vMerge w:val="continue"/>
          </w:tcPr>
          <w:p>
            <w:pPr>
              <w:spacing w:after="0"/>
              <w:rPr>
                <w:sz w:val="5"/>
                <w:szCs w:val="5"/>
                <w:color w:val="auto"/>
              </w:rPr>
            </w:pPr>
          </w:p>
        </w:tc>
        <w:tc>
          <w:tcPr>
            <w:tcW w:w="400" w:type="dxa"/>
            <w:vAlign w:val="bottom"/>
            <w:tcBorders>
              <w:bottom w:val="single" w:sz="8" w:color="E7417A"/>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0" w:type="dxa"/>
            <w:vAlign w:val="bottom"/>
          </w:tcPr>
          <w:p>
            <w:pPr>
              <w:ind w:left="60"/>
              <w:spacing w:after="0"/>
              <w:rPr>
                <w:sz w:val="20"/>
                <w:szCs w:val="20"/>
                <w:color w:val="auto"/>
              </w:rPr>
            </w:pPr>
            <w:r>
              <w:rPr>
                <w:rFonts w:ascii="Arial" w:cs="Arial" w:eastAsia="Arial" w:hAnsi="Arial"/>
                <w:sz w:val="16"/>
                <w:szCs w:val="16"/>
                <w:color w:val="auto"/>
              </w:rPr>
              <w:t>​</w:t>
            </w:r>
          </w:p>
        </w:tc>
        <w:tc>
          <w:tcPr>
            <w:tcW w:w="2780" w:type="dxa"/>
            <w:vAlign w:val="bottom"/>
            <w:vMerge w:val="restart"/>
          </w:tcPr>
          <w:p>
            <w:pPr>
              <w:jc w:val="center"/>
              <w:spacing w:after="0"/>
              <w:rPr>
                <w:sz w:val="20"/>
                <w:szCs w:val="20"/>
                <w:color w:val="auto"/>
              </w:rPr>
            </w:pPr>
            <w:r>
              <w:rPr>
                <w:rFonts w:ascii="Arial" w:cs="Arial" w:eastAsia="Arial" w:hAnsi="Arial"/>
                <w:sz w:val="16"/>
                <w:szCs w:val="16"/>
                <w:color w:val="auto"/>
              </w:rPr>
              <w:t>100%</w:t>
            </w:r>
          </w:p>
        </w:tc>
        <w:tc>
          <w:tcPr>
            <w:tcW w:w="880" w:type="dxa"/>
            <w:vAlign w:val="bottom"/>
          </w:tcPr>
          <w:p>
            <w:pPr>
              <w:ind w:left="400"/>
              <w:spacing w:after="0"/>
              <w:rPr>
                <w:sz w:val="20"/>
                <w:szCs w:val="20"/>
                <w:color w:val="auto"/>
              </w:rPr>
            </w:pPr>
            <w:r>
              <w:rPr>
                <w:rFonts w:ascii="Arial" w:cs="Arial" w:eastAsia="Arial" w:hAnsi="Arial"/>
                <w:sz w:val="16"/>
                <w:szCs w:val="16"/>
                <w:color w:val="auto"/>
              </w:rPr>
              <w:t>​ ​</w:t>
            </w:r>
          </w:p>
        </w:tc>
        <w:tc>
          <w:tcPr>
            <w:tcW w:w="2880" w:type="dxa"/>
            <w:vAlign w:val="bottom"/>
            <w:vMerge w:val="restart"/>
          </w:tcPr>
          <w:p>
            <w:pPr>
              <w:jc w:val="center"/>
              <w:spacing w:after="0"/>
              <w:rPr>
                <w:sz w:val="20"/>
                <w:szCs w:val="20"/>
                <w:color w:val="auto"/>
              </w:rPr>
            </w:pPr>
            <w:r>
              <w:rPr>
                <w:rFonts w:ascii="Arial" w:cs="Arial" w:eastAsia="Arial" w:hAnsi="Arial"/>
                <w:sz w:val="16"/>
                <w:szCs w:val="16"/>
                <w:color w:val="auto"/>
              </w:rPr>
              <w:t>50th percentile</w:t>
            </w:r>
          </w:p>
        </w:tc>
        <w:tc>
          <w:tcPr>
            <w:tcW w:w="400" w:type="dxa"/>
            <w:vAlign w:val="bottom"/>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1"/>
        </w:trPr>
        <w:tc>
          <w:tcPr>
            <w:tcW w:w="460" w:type="dxa"/>
            <w:vAlign w:val="bottom"/>
            <w:tcBorders>
              <w:bottom w:val="single" w:sz="8" w:color="E7417A"/>
            </w:tcBorders>
          </w:tcPr>
          <w:p>
            <w:pPr>
              <w:spacing w:after="0"/>
              <w:rPr>
                <w:sz w:val="5"/>
                <w:szCs w:val="5"/>
                <w:color w:val="auto"/>
              </w:rPr>
            </w:pPr>
          </w:p>
        </w:tc>
        <w:tc>
          <w:tcPr>
            <w:tcW w:w="2780" w:type="dxa"/>
            <w:vAlign w:val="bottom"/>
            <w:tcBorders>
              <w:bottom w:val="single" w:sz="8" w:color="E7417A"/>
            </w:tcBorders>
            <w:vMerge w:val="continue"/>
          </w:tcPr>
          <w:p>
            <w:pPr>
              <w:spacing w:after="0"/>
              <w:rPr>
                <w:sz w:val="5"/>
                <w:szCs w:val="5"/>
                <w:color w:val="auto"/>
              </w:rPr>
            </w:pPr>
          </w:p>
        </w:tc>
        <w:tc>
          <w:tcPr>
            <w:tcW w:w="880" w:type="dxa"/>
            <w:vAlign w:val="bottom"/>
            <w:tcBorders>
              <w:bottom w:val="single" w:sz="8" w:color="E7417A"/>
            </w:tcBorders>
          </w:tcPr>
          <w:p>
            <w:pPr>
              <w:spacing w:after="0"/>
              <w:rPr>
                <w:sz w:val="5"/>
                <w:szCs w:val="5"/>
                <w:color w:val="auto"/>
              </w:rPr>
            </w:pPr>
          </w:p>
        </w:tc>
        <w:tc>
          <w:tcPr>
            <w:tcW w:w="2880" w:type="dxa"/>
            <w:vAlign w:val="bottom"/>
            <w:tcBorders>
              <w:bottom w:val="single" w:sz="8" w:color="E7417A"/>
            </w:tcBorders>
            <w:vMerge w:val="continue"/>
          </w:tcPr>
          <w:p>
            <w:pPr>
              <w:spacing w:after="0"/>
              <w:rPr>
                <w:sz w:val="5"/>
                <w:szCs w:val="5"/>
                <w:color w:val="auto"/>
              </w:rPr>
            </w:pPr>
          </w:p>
        </w:tc>
        <w:tc>
          <w:tcPr>
            <w:tcW w:w="400" w:type="dxa"/>
            <w:vAlign w:val="bottom"/>
            <w:tcBorders>
              <w:bottom w:val="single" w:sz="8" w:color="E7417A"/>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0" w:type="dxa"/>
            <w:vAlign w:val="bottom"/>
          </w:tcPr>
          <w:p>
            <w:pPr>
              <w:ind w:left="60"/>
              <w:spacing w:after="0"/>
              <w:rPr>
                <w:sz w:val="20"/>
                <w:szCs w:val="20"/>
                <w:color w:val="auto"/>
              </w:rPr>
            </w:pPr>
            <w:r>
              <w:rPr>
                <w:rFonts w:ascii="Arial" w:cs="Arial" w:eastAsia="Arial" w:hAnsi="Arial"/>
                <w:sz w:val="16"/>
                <w:szCs w:val="16"/>
                <w:color w:val="auto"/>
              </w:rPr>
              <w:t>​</w:t>
            </w:r>
          </w:p>
        </w:tc>
        <w:tc>
          <w:tcPr>
            <w:tcW w:w="2780" w:type="dxa"/>
            <w:vAlign w:val="bottom"/>
            <w:vMerge w:val="restart"/>
          </w:tcPr>
          <w:p>
            <w:pPr>
              <w:jc w:val="center"/>
              <w:spacing w:after="0"/>
              <w:rPr>
                <w:sz w:val="20"/>
                <w:szCs w:val="20"/>
                <w:color w:val="auto"/>
              </w:rPr>
            </w:pPr>
            <w:r>
              <w:rPr>
                <w:rFonts w:ascii="Arial" w:cs="Arial" w:eastAsia="Arial" w:hAnsi="Arial"/>
                <w:sz w:val="16"/>
                <w:szCs w:val="16"/>
                <w:color w:val="auto"/>
              </w:rPr>
              <w:t>50%</w:t>
            </w:r>
          </w:p>
        </w:tc>
        <w:tc>
          <w:tcPr>
            <w:tcW w:w="880" w:type="dxa"/>
            <w:vAlign w:val="bottom"/>
          </w:tcPr>
          <w:p>
            <w:pPr>
              <w:ind w:left="400"/>
              <w:spacing w:after="0"/>
              <w:rPr>
                <w:sz w:val="20"/>
                <w:szCs w:val="20"/>
                <w:color w:val="auto"/>
              </w:rPr>
            </w:pPr>
            <w:r>
              <w:rPr>
                <w:rFonts w:ascii="Arial" w:cs="Arial" w:eastAsia="Arial" w:hAnsi="Arial"/>
                <w:sz w:val="16"/>
                <w:szCs w:val="16"/>
                <w:color w:val="auto"/>
              </w:rPr>
              <w:t>​ ​</w:t>
            </w:r>
          </w:p>
        </w:tc>
        <w:tc>
          <w:tcPr>
            <w:tcW w:w="2880" w:type="dxa"/>
            <w:vAlign w:val="bottom"/>
            <w:vMerge w:val="restart"/>
          </w:tcPr>
          <w:p>
            <w:pPr>
              <w:jc w:val="center"/>
              <w:spacing w:after="0"/>
              <w:rPr>
                <w:sz w:val="20"/>
                <w:szCs w:val="20"/>
                <w:color w:val="auto"/>
              </w:rPr>
            </w:pPr>
            <w:r>
              <w:rPr>
                <w:rFonts w:ascii="Arial" w:cs="Arial" w:eastAsia="Arial" w:hAnsi="Arial"/>
                <w:sz w:val="16"/>
                <w:szCs w:val="16"/>
                <w:color w:val="auto"/>
              </w:rPr>
              <w:t>25th percentile</w:t>
            </w:r>
          </w:p>
        </w:tc>
        <w:tc>
          <w:tcPr>
            <w:tcW w:w="400" w:type="dxa"/>
            <w:vAlign w:val="bottom"/>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1"/>
        </w:trPr>
        <w:tc>
          <w:tcPr>
            <w:tcW w:w="460" w:type="dxa"/>
            <w:vAlign w:val="bottom"/>
            <w:tcBorders>
              <w:bottom w:val="single" w:sz="8" w:color="62259D"/>
            </w:tcBorders>
          </w:tcPr>
          <w:p>
            <w:pPr>
              <w:spacing w:after="0"/>
              <w:rPr>
                <w:sz w:val="5"/>
                <w:szCs w:val="5"/>
                <w:color w:val="auto"/>
              </w:rPr>
            </w:pPr>
          </w:p>
        </w:tc>
        <w:tc>
          <w:tcPr>
            <w:tcW w:w="2780" w:type="dxa"/>
            <w:vAlign w:val="bottom"/>
            <w:tcBorders>
              <w:bottom w:val="single" w:sz="8" w:color="62259D"/>
            </w:tcBorders>
            <w:vMerge w:val="continue"/>
          </w:tcPr>
          <w:p>
            <w:pPr>
              <w:spacing w:after="0"/>
              <w:rPr>
                <w:sz w:val="5"/>
                <w:szCs w:val="5"/>
                <w:color w:val="auto"/>
              </w:rPr>
            </w:pPr>
          </w:p>
        </w:tc>
        <w:tc>
          <w:tcPr>
            <w:tcW w:w="880" w:type="dxa"/>
            <w:vAlign w:val="bottom"/>
            <w:tcBorders>
              <w:bottom w:val="single" w:sz="8" w:color="62259D"/>
            </w:tcBorders>
          </w:tcPr>
          <w:p>
            <w:pPr>
              <w:spacing w:after="0"/>
              <w:rPr>
                <w:sz w:val="5"/>
                <w:szCs w:val="5"/>
                <w:color w:val="auto"/>
              </w:rPr>
            </w:pPr>
          </w:p>
        </w:tc>
        <w:tc>
          <w:tcPr>
            <w:tcW w:w="2880" w:type="dxa"/>
            <w:vAlign w:val="bottom"/>
            <w:tcBorders>
              <w:bottom w:val="single" w:sz="8" w:color="62259D"/>
            </w:tcBorders>
            <w:vMerge w:val="continue"/>
          </w:tcPr>
          <w:p>
            <w:pPr>
              <w:spacing w:after="0"/>
              <w:rPr>
                <w:sz w:val="5"/>
                <w:szCs w:val="5"/>
                <w:color w:val="auto"/>
              </w:rPr>
            </w:pPr>
          </w:p>
        </w:tc>
        <w:tc>
          <w:tcPr>
            <w:tcW w:w="400" w:type="dxa"/>
            <w:vAlign w:val="bottom"/>
            <w:tcBorders>
              <w:bottom w:val="single" w:sz="8" w:color="62259D"/>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920"/>
        <w:spacing w:after="0"/>
        <w:rPr>
          <w:sz w:val="20"/>
          <w:szCs w:val="20"/>
          <w:color w:val="auto"/>
        </w:rPr>
      </w:pPr>
      <w:r>
        <w:rPr>
          <w:rFonts w:ascii="Arial" w:cs="Arial" w:eastAsia="Arial" w:hAnsi="Arial"/>
          <w:sz w:val="20"/>
          <w:szCs w:val="20"/>
          <w:color w:val="E7417A"/>
        </w:rPr>
        <w:t>RSUS</w:t>
      </w:r>
    </w:p>
    <w:p>
      <w:pPr>
        <w:spacing w:after="0" w:line="124" w:lineRule="exact"/>
        <w:rPr>
          <w:sz w:val="20"/>
          <w:szCs w:val="20"/>
          <w:color w:val="auto"/>
        </w:rPr>
      </w:pPr>
    </w:p>
    <w:p>
      <w:pPr>
        <w:ind w:left="920" w:right="179"/>
        <w:spacing w:after="0" w:line="255" w:lineRule="auto"/>
        <w:rPr>
          <w:sz w:val="20"/>
          <w:szCs w:val="20"/>
          <w:color w:val="auto"/>
        </w:rPr>
      </w:pPr>
      <w:r>
        <w:rPr>
          <w:rFonts w:ascii="Arial" w:cs="Arial" w:eastAsia="Arial" w:hAnsi="Arial"/>
          <w:sz w:val="18"/>
          <w:szCs w:val="18"/>
          <w:color w:val="auto"/>
        </w:rPr>
        <w:t>The annual RSUs granted to the NEOs in 2024, other than Mr. Townsend, cliff vest on the first anniversary of the grant date. As discussed above in connection with the 2024 Annual PSUs, given the constraints on the number of shares available for grant under the Company’s Amended and Restated 2019 Stock Incentive Plan, the Compensation Committee elected to reduce the size of the RSU awards made to the NEOs and shorten the vesting period to one year. If the 2025 Incentive Award Plan is approved by stockholders at the 2025 Annual Meeting, RSUs granted to NEOs in 2025 will again vest over a three-year period with one-third of the award vesting on the first anniversary of the grant date and one- sixth of the RSUs vesting every six months thereafter, subject to the NEO’s continued employment with the Company.</w:t>
      </w:r>
    </w:p>
    <w:p>
      <w:pPr>
        <w:spacing w:after="0" w:line="104" w:lineRule="exact"/>
        <w:rPr>
          <w:sz w:val="20"/>
          <w:szCs w:val="20"/>
          <w:color w:val="auto"/>
        </w:rPr>
      </w:pPr>
    </w:p>
    <w:p>
      <w:pPr>
        <w:ind w:left="920" w:right="219"/>
        <w:spacing w:after="0" w:line="268" w:lineRule="auto"/>
        <w:rPr>
          <w:sz w:val="20"/>
          <w:szCs w:val="20"/>
          <w:color w:val="auto"/>
        </w:rPr>
      </w:pPr>
      <w:r>
        <w:rPr>
          <w:rFonts w:ascii="Arial" w:cs="Arial" w:eastAsia="Arial" w:hAnsi="Arial"/>
          <w:sz w:val="18"/>
          <w:szCs w:val="18"/>
          <w:color w:val="auto"/>
        </w:rPr>
        <w:t>The RSUs granted to Mr. Townsend in connection with his appointment as CFO will vest over a three-year period with one-third of the award vesting on the first anniversary of the grant date and one-sixth of the RSUs vesting every six months thereafter, subject to his continued employment with the Company.</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20"/>
          <w:szCs w:val="20"/>
          <w:color w:val="E7417A"/>
        </w:rPr>
        <w:t>TOWNSEND SIGN-ON AWARDS</w:t>
      </w:r>
    </w:p>
    <w:p>
      <w:pPr>
        <w:spacing w:after="0" w:line="124" w:lineRule="exact"/>
        <w:rPr>
          <w:sz w:val="20"/>
          <w:szCs w:val="20"/>
          <w:color w:val="auto"/>
        </w:rPr>
      </w:pPr>
    </w:p>
    <w:p>
      <w:pPr>
        <w:ind w:left="920" w:right="619"/>
        <w:spacing w:after="0" w:line="260" w:lineRule="auto"/>
        <w:rPr>
          <w:sz w:val="20"/>
          <w:szCs w:val="20"/>
          <w:color w:val="auto"/>
        </w:rPr>
      </w:pPr>
      <w:r>
        <w:rPr>
          <w:rFonts w:ascii="Arial" w:cs="Arial" w:eastAsia="Arial" w:hAnsi="Arial"/>
          <w:sz w:val="18"/>
          <w:szCs w:val="18"/>
          <w:color w:val="auto"/>
        </w:rPr>
        <w:t>In connection with his appointment as Executive Vice President and Chief Financial Officer of Ribbon effective November 1, 2024, in addition to the 2024 Annual PSUs and RSUs discussed above,</w:t>
      </w:r>
    </w:p>
    <w:p>
      <w:pPr>
        <w:spacing w:after="0" w:line="2" w:lineRule="exact"/>
        <w:rPr>
          <w:sz w:val="20"/>
          <w:szCs w:val="20"/>
          <w:color w:val="auto"/>
        </w:rPr>
      </w:pPr>
    </w:p>
    <w:p>
      <w:pPr>
        <w:ind w:left="920" w:right="119"/>
        <w:spacing w:after="0" w:line="253" w:lineRule="auto"/>
        <w:rPr>
          <w:sz w:val="20"/>
          <w:szCs w:val="20"/>
          <w:color w:val="auto"/>
        </w:rPr>
      </w:pPr>
      <w:r>
        <w:rPr>
          <w:rFonts w:ascii="Arial" w:cs="Arial" w:eastAsia="Arial" w:hAnsi="Arial"/>
          <w:sz w:val="18"/>
          <w:szCs w:val="18"/>
          <w:color w:val="auto"/>
        </w:rPr>
        <w:t>Mr. Townsend was awarded Performance Share Units (the “Townsend Sign-On PSUs”) that are subject to vesting based on both (i) a continued service requirement and (ii) achievement of specified volume-weighted average trading prices of the Company’s common stock for 60 consecutive days (each a “Target VWAP”). Once the Target VWAP for a tranche is achieved, the shares subject to that tranche will vest upon the continued service requirement for the tranche being met, regardless if the stock price falls below the Target VWAP. In addition, if the Target VWAP for a tranche is not met prior to the continued service date for such tranche, then the PSUs for that tranche will be forfeited.</w:t>
      </w:r>
    </w:p>
    <w:p>
      <w:pPr>
        <w:spacing w:after="0" w:line="1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the event that a Change in Control (as defined in the Executive Severance Agreement with</w:t>
      </w:r>
    </w:p>
    <w:p>
      <w:pPr>
        <w:spacing w:after="0" w:line="14" w:lineRule="exact"/>
        <w:rPr>
          <w:sz w:val="20"/>
          <w:szCs w:val="20"/>
          <w:color w:val="auto"/>
        </w:rPr>
      </w:pPr>
    </w:p>
    <w:p>
      <w:pPr>
        <w:ind w:left="920" w:right="139"/>
        <w:spacing w:after="0" w:line="242" w:lineRule="auto"/>
        <w:rPr>
          <w:sz w:val="20"/>
          <w:szCs w:val="20"/>
          <w:color w:val="auto"/>
        </w:rPr>
      </w:pPr>
      <w:r>
        <w:rPr>
          <w:rFonts w:ascii="Arial" w:cs="Arial" w:eastAsia="Arial" w:hAnsi="Arial"/>
          <w:sz w:val="18"/>
          <w:szCs w:val="18"/>
          <w:color w:val="auto"/>
        </w:rPr>
        <w:t>Mr. Townsend described below), the PSUs subject to a vesting tranche will be eligible to vest following the Change in Control subject only to the continued service requirement, but only to the extent that (i) the Target VWAP condition for such vesting tranche has been satisfied prior to the date of such Change in Control or (ii) the fair market value per share of the Company’s common stock as of the consummation of such Change in Control, as determined by the Company’s Board of Directors in its sole discretion, equals or exceeds the applicable Target VWAP condition for such vesting tranche in connection with such Change in Control, without regard to the 60 consecutive calendar day average requirement and any portion of the PSUs that remain unvested such accelerated vesting will be automatically forfeited for no consideration as of the consummation of such Change in Control.</w:t>
      </w:r>
    </w:p>
    <w:p>
      <w:pPr>
        <w:spacing w:after="0" w:line="169"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73" w:lineRule="exact"/>
        <w:rPr>
          <w:sz w:val="20"/>
          <w:szCs w:val="20"/>
          <w:color w:val="auto"/>
        </w:rPr>
      </w:pPr>
    </w:p>
    <w:tbl>
      <w:tblPr>
        <w:tblLayout w:type="fixed"/>
        <w:tblInd w:w="920" w:type="dxa"/>
        <w:tblCellMar>
          <w:top w:w="0" w:type="dxa"/>
          <w:left w:w="0" w:type="dxa"/>
          <w:bottom w:w="0" w:type="dxa"/>
          <w:right w:w="0" w:type="dxa"/>
        </w:tblCellMar>
      </w:tblPr>
      <w:tr>
        <w:trPr>
          <w:trHeight w:val="215"/>
        </w:trPr>
        <w:tc>
          <w:tcPr>
            <w:tcW w:w="60" w:type="dxa"/>
            <w:vAlign w:val="bottom"/>
            <w:shd w:val="clear" w:color="auto" w:fill="62259D"/>
          </w:tcPr>
          <w:p>
            <w:pPr>
              <w:spacing w:after="0"/>
              <w:rPr>
                <w:sz w:val="18"/>
                <w:szCs w:val="18"/>
                <w:color w:val="auto"/>
              </w:rPr>
            </w:pPr>
          </w:p>
        </w:tc>
        <w:tc>
          <w:tcPr>
            <w:tcW w:w="2780" w:type="dxa"/>
            <w:vAlign w:val="bottom"/>
            <w:shd w:val="clear" w:color="auto" w:fill="62259D"/>
          </w:tcPr>
          <w:p>
            <w:pPr>
              <w:spacing w:after="0"/>
              <w:rPr>
                <w:sz w:val="18"/>
                <w:szCs w:val="18"/>
                <w:color w:val="auto"/>
              </w:rPr>
            </w:pPr>
          </w:p>
        </w:tc>
        <w:tc>
          <w:tcPr>
            <w:tcW w:w="1140" w:type="dxa"/>
            <w:vAlign w:val="bottom"/>
            <w:shd w:val="clear" w:color="auto" w:fill="62259D"/>
          </w:tcPr>
          <w:p>
            <w:pPr>
              <w:spacing w:after="0"/>
              <w:rPr>
                <w:sz w:val="18"/>
                <w:szCs w:val="18"/>
                <w:color w:val="auto"/>
              </w:rPr>
            </w:pPr>
          </w:p>
        </w:tc>
        <w:tc>
          <w:tcPr>
            <w:tcW w:w="1600" w:type="dxa"/>
            <w:vAlign w:val="bottom"/>
            <w:shd w:val="clear" w:color="auto" w:fill="62259D"/>
          </w:tcPr>
          <w:p>
            <w:pPr>
              <w:ind w:left="20"/>
              <w:spacing w:after="0"/>
              <w:rPr>
                <w:sz w:val="20"/>
                <w:szCs w:val="20"/>
                <w:color w:val="auto"/>
              </w:rPr>
            </w:pPr>
            <w:r>
              <w:rPr>
                <w:rFonts w:ascii="Arial" w:cs="Arial" w:eastAsia="Arial" w:hAnsi="Arial"/>
                <w:sz w:val="16"/>
                <w:szCs w:val="16"/>
                <w:b w:val="1"/>
                <w:bCs w:val="1"/>
                <w:color w:val="FEFEFE"/>
              </w:rPr>
              <w:t>Continued Service</w:t>
            </w:r>
          </w:p>
        </w:tc>
        <w:tc>
          <w:tcPr>
            <w:tcW w:w="240" w:type="dxa"/>
            <w:vAlign w:val="bottom"/>
            <w:shd w:val="clear" w:color="auto" w:fill="62259D"/>
          </w:tcPr>
          <w:p>
            <w:pPr>
              <w:spacing w:after="0"/>
              <w:rPr>
                <w:sz w:val="18"/>
                <w:szCs w:val="18"/>
                <w:color w:val="auto"/>
              </w:rPr>
            </w:pPr>
          </w:p>
        </w:tc>
        <w:tc>
          <w:tcPr>
            <w:tcW w:w="110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Target VWAP</w:t>
            </w:r>
          </w:p>
        </w:tc>
        <w:tc>
          <w:tcPr>
            <w:tcW w:w="260" w:type="dxa"/>
            <w:vAlign w:val="bottom"/>
            <w:shd w:val="clear" w:color="auto" w:fill="62259D"/>
          </w:tcPr>
          <w:p>
            <w:pPr>
              <w:spacing w:after="0"/>
              <w:rPr>
                <w:sz w:val="18"/>
                <w:szCs w:val="18"/>
                <w:color w:val="auto"/>
              </w:rPr>
            </w:pPr>
          </w:p>
        </w:tc>
        <w:tc>
          <w:tcPr>
            <w:tcW w:w="150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Number of PSUs</w:t>
            </w:r>
          </w:p>
        </w:tc>
        <w:tc>
          <w:tcPr>
            <w:tcW w:w="180" w:type="dxa"/>
            <w:vAlign w:val="bottom"/>
            <w:shd w:val="clear" w:color="auto" w:fill="62259D"/>
          </w:tcPr>
          <w:p>
            <w:pPr>
              <w:spacing w:after="0"/>
              <w:rPr>
                <w:sz w:val="18"/>
                <w:szCs w:val="18"/>
                <w:color w:val="auto"/>
              </w:rPr>
            </w:pPr>
          </w:p>
        </w:tc>
      </w:tr>
      <w:tr>
        <w:trPr>
          <w:trHeight w:val="230"/>
        </w:trPr>
        <w:tc>
          <w:tcPr>
            <w:tcW w:w="60" w:type="dxa"/>
            <w:vAlign w:val="bottom"/>
            <w:shd w:val="clear" w:color="auto" w:fill="62259D"/>
          </w:tcPr>
          <w:p>
            <w:pPr>
              <w:spacing w:after="0"/>
              <w:rPr>
                <w:sz w:val="20"/>
                <w:szCs w:val="20"/>
                <w:color w:val="auto"/>
              </w:rPr>
            </w:pPr>
          </w:p>
        </w:tc>
        <w:tc>
          <w:tcPr>
            <w:tcW w:w="2780" w:type="dxa"/>
            <w:vAlign w:val="bottom"/>
            <w:shd w:val="clear" w:color="auto" w:fill="62259D"/>
          </w:tcPr>
          <w:p>
            <w:pPr>
              <w:spacing w:after="0"/>
              <w:rPr>
                <w:sz w:val="20"/>
                <w:szCs w:val="20"/>
                <w:color w:val="auto"/>
              </w:rPr>
            </w:pPr>
            <w:r>
              <w:rPr>
                <w:rFonts w:ascii="Arial" w:cs="Arial" w:eastAsia="Arial" w:hAnsi="Arial"/>
                <w:sz w:val="16"/>
                <w:szCs w:val="16"/>
                <w:b w:val="1"/>
                <w:bCs w:val="1"/>
                <w:color w:val="FEFEFE"/>
              </w:rPr>
              <w:t>​Performance Tranche</w:t>
            </w:r>
          </w:p>
        </w:tc>
        <w:tc>
          <w:tcPr>
            <w:tcW w:w="1140" w:type="dxa"/>
            <w:vAlign w:val="bottom"/>
            <w:shd w:val="clear" w:color="auto" w:fill="62259D"/>
          </w:tcPr>
          <w:p>
            <w:pPr>
              <w:ind w:left="980"/>
              <w:spacing w:after="0"/>
              <w:rPr>
                <w:sz w:val="20"/>
                <w:szCs w:val="20"/>
                <w:color w:val="auto"/>
              </w:rPr>
            </w:pPr>
            <w:r>
              <w:rPr>
                <w:rFonts w:ascii="Arial" w:cs="Arial" w:eastAsia="Arial" w:hAnsi="Arial"/>
                <w:sz w:val="16"/>
                <w:szCs w:val="16"/>
                <w:b w:val="1"/>
                <w:bCs w:val="1"/>
                <w:color w:val="FEFEFE"/>
              </w:rPr>
              <w:t>​ ​</w:t>
            </w:r>
          </w:p>
        </w:tc>
        <w:tc>
          <w:tcPr>
            <w:tcW w:w="160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Period</w:t>
            </w:r>
          </w:p>
        </w:tc>
        <w:tc>
          <w:tcPr>
            <w:tcW w:w="240" w:type="dxa"/>
            <w:vAlign w:val="bottom"/>
            <w:shd w:val="clear" w:color="auto" w:fill="62259D"/>
          </w:tcPr>
          <w:p>
            <w:pPr>
              <w:ind w:left="80"/>
              <w:spacing w:after="0"/>
              <w:rPr>
                <w:sz w:val="20"/>
                <w:szCs w:val="20"/>
                <w:color w:val="auto"/>
              </w:rPr>
            </w:pPr>
            <w:r>
              <w:rPr>
                <w:rFonts w:ascii="Arial" w:cs="Arial" w:eastAsia="Arial" w:hAnsi="Arial"/>
                <w:sz w:val="16"/>
                <w:szCs w:val="16"/>
                <w:b w:val="1"/>
                <w:bCs w:val="1"/>
                <w:color w:val="FEFEFE"/>
              </w:rPr>
              <w:t>​ ​</w:t>
            </w:r>
          </w:p>
        </w:tc>
        <w:tc>
          <w:tcPr>
            <w:tcW w:w="1100" w:type="dxa"/>
            <w:vAlign w:val="bottom"/>
            <w:shd w:val="clear" w:color="auto" w:fill="62259D"/>
          </w:tcPr>
          <w:p>
            <w:pPr>
              <w:jc w:val="right"/>
              <w:ind w:right="343"/>
              <w:spacing w:after="0"/>
              <w:rPr>
                <w:sz w:val="20"/>
                <w:szCs w:val="20"/>
                <w:color w:val="auto"/>
              </w:rPr>
            </w:pPr>
            <w:r>
              <w:rPr>
                <w:rFonts w:ascii="Arial" w:cs="Arial" w:eastAsia="Arial" w:hAnsi="Arial"/>
                <w:sz w:val="16"/>
                <w:szCs w:val="16"/>
                <w:b w:val="1"/>
                <w:bCs w:val="1"/>
                <w:color w:val="FEFEFE"/>
              </w:rPr>
              <w:t>($)</w:t>
            </w:r>
          </w:p>
        </w:tc>
        <w:tc>
          <w:tcPr>
            <w:tcW w:w="1940" w:type="dxa"/>
            <w:vAlign w:val="bottom"/>
            <w:gridSpan w:val="3"/>
            <w:shd w:val="clear" w:color="auto" w:fill="62259D"/>
          </w:tcPr>
          <w:p>
            <w:pPr>
              <w:jc w:val="center"/>
              <w:ind w:left="19"/>
              <w:spacing w:after="0"/>
              <w:rPr>
                <w:sz w:val="20"/>
                <w:szCs w:val="20"/>
                <w:color w:val="auto"/>
              </w:rPr>
            </w:pPr>
            <w:r>
              <w:rPr>
                <w:rFonts w:ascii="Arial" w:cs="Arial" w:eastAsia="Arial" w:hAnsi="Arial"/>
                <w:sz w:val="16"/>
                <w:szCs w:val="16"/>
                <w:b w:val="1"/>
                <w:bCs w:val="1"/>
                <w:color w:val="FEFEFE"/>
              </w:rPr>
              <w:t>​ ​Eligible to Vest (#) ​</w:t>
            </w:r>
          </w:p>
        </w:tc>
      </w:tr>
      <w:tr>
        <w:trPr>
          <w:trHeight w:val="257"/>
        </w:trPr>
        <w:tc>
          <w:tcPr>
            <w:tcW w:w="2840" w:type="dxa"/>
            <w:vAlign w:val="bottom"/>
            <w:tcBorders>
              <w:bottom w:val="single" w:sz="8" w:color="E7417A"/>
            </w:tcBorders>
            <w:gridSpan w:val="2"/>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First Vesting Tranche</w:t>
            </w:r>
          </w:p>
        </w:tc>
        <w:tc>
          <w:tcPr>
            <w:tcW w:w="1140" w:type="dxa"/>
            <w:vAlign w:val="bottom"/>
            <w:tcBorders>
              <w:bottom w:val="single" w:sz="8" w:color="E7417A"/>
            </w:tcBorders>
          </w:tcPr>
          <w:p>
            <w:pPr>
              <w:ind w:left="940"/>
              <w:spacing w:after="0"/>
              <w:rPr>
                <w:sz w:val="20"/>
                <w:szCs w:val="20"/>
                <w:color w:val="auto"/>
              </w:rPr>
            </w:pPr>
            <w:r>
              <w:rPr>
                <w:rFonts w:ascii="Arial" w:cs="Arial" w:eastAsia="Arial" w:hAnsi="Arial"/>
                <w:sz w:val="16"/>
                <w:szCs w:val="16"/>
                <w:color w:val="auto"/>
              </w:rPr>
              <w:t>​ ​</w:t>
            </w:r>
          </w:p>
        </w:tc>
        <w:tc>
          <w:tcPr>
            <w:tcW w:w="16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October 15, 2025</w:t>
            </w:r>
          </w:p>
        </w:tc>
        <w:tc>
          <w:tcPr>
            <w:tcW w:w="24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 ​</w:t>
            </w:r>
          </w:p>
        </w:tc>
        <w:tc>
          <w:tcPr>
            <w:tcW w:w="1100" w:type="dxa"/>
            <w:vAlign w:val="bottom"/>
            <w:tcBorders>
              <w:bottom w:val="single" w:sz="8" w:color="E7417A"/>
            </w:tcBorders>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​4.00</w:t>
            </w:r>
          </w:p>
        </w:tc>
        <w:tc>
          <w:tcPr>
            <w:tcW w:w="26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 ​</w:t>
            </w:r>
          </w:p>
        </w:tc>
        <w:tc>
          <w:tcPr>
            <w:tcW w:w="1500" w:type="dxa"/>
            <w:vAlign w:val="bottom"/>
            <w:tcBorders>
              <w:bottom w:val="single" w:sz="8" w:color="E7417A"/>
            </w:tcBorders>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93,750</w:t>
            </w:r>
          </w:p>
        </w:tc>
        <w:tc>
          <w:tcPr>
            <w:tcW w:w="18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r>
      <w:tr>
        <w:trPr>
          <w:trHeight w:val="250"/>
        </w:trPr>
        <w:tc>
          <w:tcPr>
            <w:tcW w:w="2840" w:type="dxa"/>
            <w:vAlign w:val="bottom"/>
            <w:tcBorders>
              <w:bottom w:val="single" w:sz="8" w:color="E7417A"/>
            </w:tcBorders>
            <w:gridSpan w:val="2"/>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Second Vesting Tranche</w:t>
            </w:r>
          </w:p>
        </w:tc>
        <w:tc>
          <w:tcPr>
            <w:tcW w:w="1140" w:type="dxa"/>
            <w:vAlign w:val="bottom"/>
            <w:tcBorders>
              <w:bottom w:val="single" w:sz="8" w:color="E7417A"/>
            </w:tcBorders>
          </w:tcPr>
          <w:p>
            <w:pPr>
              <w:ind w:left="940"/>
              <w:spacing w:after="0"/>
              <w:rPr>
                <w:sz w:val="20"/>
                <w:szCs w:val="20"/>
                <w:color w:val="auto"/>
              </w:rPr>
            </w:pPr>
            <w:r>
              <w:rPr>
                <w:rFonts w:ascii="Arial" w:cs="Arial" w:eastAsia="Arial" w:hAnsi="Arial"/>
                <w:sz w:val="16"/>
                <w:szCs w:val="16"/>
                <w:color w:val="auto"/>
              </w:rPr>
              <w:t>​ ​</w:t>
            </w:r>
          </w:p>
        </w:tc>
        <w:tc>
          <w:tcPr>
            <w:tcW w:w="16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October 15, 2026</w:t>
            </w:r>
          </w:p>
        </w:tc>
        <w:tc>
          <w:tcPr>
            <w:tcW w:w="24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 ​</w:t>
            </w:r>
          </w:p>
        </w:tc>
        <w:tc>
          <w:tcPr>
            <w:tcW w:w="1100" w:type="dxa"/>
            <w:vAlign w:val="bottom"/>
            <w:tcBorders>
              <w:bottom w:val="single" w:sz="8" w:color="E7417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​4.50</w:t>
            </w:r>
          </w:p>
        </w:tc>
        <w:tc>
          <w:tcPr>
            <w:tcW w:w="26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 ​</w:t>
            </w:r>
          </w:p>
        </w:tc>
        <w:tc>
          <w:tcPr>
            <w:tcW w:w="1500" w:type="dxa"/>
            <w:vAlign w:val="bottom"/>
            <w:tcBorders>
              <w:bottom w:val="single" w:sz="8" w:color="E7417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83,333</w:t>
            </w:r>
          </w:p>
        </w:tc>
        <w:tc>
          <w:tcPr>
            <w:tcW w:w="18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r>
      <w:tr>
        <w:trPr>
          <w:trHeight w:val="250"/>
        </w:trPr>
        <w:tc>
          <w:tcPr>
            <w:tcW w:w="2840" w:type="dxa"/>
            <w:vAlign w:val="bottom"/>
            <w:tcBorders>
              <w:bottom w:val="single" w:sz="8" w:color="E7417A"/>
            </w:tcBorders>
            <w:gridSpan w:val="2"/>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Third Vesting Tranche</w:t>
            </w:r>
          </w:p>
        </w:tc>
        <w:tc>
          <w:tcPr>
            <w:tcW w:w="1140" w:type="dxa"/>
            <w:vAlign w:val="bottom"/>
            <w:tcBorders>
              <w:bottom w:val="single" w:sz="8" w:color="E7417A"/>
            </w:tcBorders>
          </w:tcPr>
          <w:p>
            <w:pPr>
              <w:ind w:left="940"/>
              <w:spacing w:after="0"/>
              <w:rPr>
                <w:sz w:val="20"/>
                <w:szCs w:val="20"/>
                <w:color w:val="auto"/>
              </w:rPr>
            </w:pPr>
            <w:r>
              <w:rPr>
                <w:rFonts w:ascii="Arial" w:cs="Arial" w:eastAsia="Arial" w:hAnsi="Arial"/>
                <w:sz w:val="16"/>
                <w:szCs w:val="16"/>
                <w:color w:val="auto"/>
              </w:rPr>
              <w:t>​ ​</w:t>
            </w:r>
          </w:p>
        </w:tc>
        <w:tc>
          <w:tcPr>
            <w:tcW w:w="16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October 15, 2027</w:t>
            </w:r>
          </w:p>
        </w:tc>
        <w:tc>
          <w:tcPr>
            <w:tcW w:w="24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 ​</w:t>
            </w:r>
          </w:p>
        </w:tc>
        <w:tc>
          <w:tcPr>
            <w:tcW w:w="1100" w:type="dxa"/>
            <w:vAlign w:val="bottom"/>
            <w:tcBorders>
              <w:bottom w:val="single" w:sz="8" w:color="E7417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​5.00</w:t>
            </w:r>
          </w:p>
        </w:tc>
        <w:tc>
          <w:tcPr>
            <w:tcW w:w="26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 ​</w:t>
            </w:r>
          </w:p>
        </w:tc>
        <w:tc>
          <w:tcPr>
            <w:tcW w:w="1500" w:type="dxa"/>
            <w:vAlign w:val="bottom"/>
            <w:tcBorders>
              <w:bottom w:val="single" w:sz="8" w:color="E7417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75,000</w:t>
            </w:r>
          </w:p>
        </w:tc>
        <w:tc>
          <w:tcPr>
            <w:tcW w:w="18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r>
      <w:tr>
        <w:trPr>
          <w:trHeight w:val="250"/>
        </w:trPr>
        <w:tc>
          <w:tcPr>
            <w:tcW w:w="2840" w:type="dxa"/>
            <w:vAlign w:val="bottom"/>
            <w:tcBorders>
              <w:bottom w:val="single" w:sz="8" w:color="E7417A"/>
            </w:tcBorders>
            <w:gridSpan w:val="2"/>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Fourth Vesting Tranche</w:t>
            </w:r>
          </w:p>
        </w:tc>
        <w:tc>
          <w:tcPr>
            <w:tcW w:w="1140" w:type="dxa"/>
            <w:vAlign w:val="bottom"/>
            <w:tcBorders>
              <w:bottom w:val="single" w:sz="8" w:color="E7417A"/>
            </w:tcBorders>
          </w:tcPr>
          <w:p>
            <w:pPr>
              <w:ind w:left="940"/>
              <w:spacing w:after="0"/>
              <w:rPr>
                <w:sz w:val="20"/>
                <w:szCs w:val="20"/>
                <w:color w:val="auto"/>
              </w:rPr>
            </w:pPr>
            <w:r>
              <w:rPr>
                <w:rFonts w:ascii="Arial" w:cs="Arial" w:eastAsia="Arial" w:hAnsi="Arial"/>
                <w:sz w:val="16"/>
                <w:szCs w:val="16"/>
                <w:color w:val="auto"/>
              </w:rPr>
              <w:t>​ ​</w:t>
            </w:r>
          </w:p>
        </w:tc>
        <w:tc>
          <w:tcPr>
            <w:tcW w:w="16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October 15, 2028</w:t>
            </w:r>
          </w:p>
        </w:tc>
        <w:tc>
          <w:tcPr>
            <w:tcW w:w="24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 ​</w:t>
            </w:r>
          </w:p>
        </w:tc>
        <w:tc>
          <w:tcPr>
            <w:tcW w:w="1100" w:type="dxa"/>
            <w:vAlign w:val="bottom"/>
            <w:tcBorders>
              <w:bottom w:val="single" w:sz="8" w:color="E7417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​6.00</w:t>
            </w:r>
          </w:p>
        </w:tc>
        <w:tc>
          <w:tcPr>
            <w:tcW w:w="26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 ​</w:t>
            </w:r>
          </w:p>
        </w:tc>
        <w:tc>
          <w:tcPr>
            <w:tcW w:w="1500" w:type="dxa"/>
            <w:vAlign w:val="bottom"/>
            <w:tcBorders>
              <w:bottom w:val="single" w:sz="8" w:color="E7417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62,500</w:t>
            </w:r>
          </w:p>
        </w:tc>
        <w:tc>
          <w:tcPr>
            <w:tcW w:w="18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r>
      <w:tr>
        <w:trPr>
          <w:trHeight w:val="250"/>
        </w:trPr>
        <w:tc>
          <w:tcPr>
            <w:tcW w:w="60" w:type="dxa"/>
            <w:vAlign w:val="bottom"/>
            <w:tcBorders>
              <w:bottom w:val="single" w:sz="8" w:color="62259D"/>
            </w:tcBorders>
            <w:shd w:val="clear" w:color="auto" w:fill="F2F2F2"/>
          </w:tcPr>
          <w:p>
            <w:pPr>
              <w:spacing w:after="0"/>
              <w:rPr>
                <w:sz w:val="20"/>
                <w:szCs w:val="20"/>
                <w:color w:val="auto"/>
              </w:rPr>
            </w:pPr>
            <w:r>
              <w:rPr>
                <w:rFonts w:ascii="Arial" w:cs="Arial" w:eastAsia="Arial" w:hAnsi="Arial"/>
                <w:sz w:val="16"/>
                <w:szCs w:val="16"/>
                <w:b w:val="1"/>
                <w:bCs w:val="1"/>
                <w:color w:val="auto"/>
              </w:rPr>
              <w:t>​</w:t>
            </w:r>
          </w:p>
        </w:tc>
        <w:tc>
          <w:tcPr>
            <w:tcW w:w="7120" w:type="dxa"/>
            <w:vAlign w:val="bottom"/>
            <w:tcBorders>
              <w:bottom w:val="single" w:sz="8" w:color="62259D"/>
            </w:tcBorders>
            <w:gridSpan w:val="6"/>
            <w:shd w:val="clear" w:color="auto" w:fill="F2F2F2"/>
          </w:tcPr>
          <w:p>
            <w:pPr>
              <w:jc w:val="right"/>
              <w:spacing w:after="0" w:line="250" w:lineRule="exact"/>
              <w:rPr>
                <w:sz w:val="20"/>
                <w:szCs w:val="20"/>
                <w:color w:val="auto"/>
              </w:rPr>
            </w:pPr>
            <w:r>
              <w:rPr>
                <w:rFonts w:ascii="Arial" w:cs="Arial" w:eastAsia="Arial" w:hAnsi="Arial"/>
                <w:sz w:val="15"/>
                <w:szCs w:val="15"/>
                <w:b w:val="1"/>
                <w:bCs w:val="1"/>
                <w:color w:val="auto"/>
              </w:rPr>
              <w:t>Maximum Aggregate Number of Shares Eligible to Be Received:</w:t>
            </w:r>
            <w:r>
              <w:rPr>
                <w:rFonts w:ascii="Arial" w:cs="Arial" w:eastAsia="Arial" w:hAnsi="Arial"/>
                <w:sz w:val="28"/>
                <w:szCs w:val="28"/>
                <w:b w:val="1"/>
                <w:bCs w:val="1"/>
                <w:color w:val="auto"/>
                <w:vertAlign w:val="subscript"/>
              </w:rPr>
              <w:t>​ ​</w:t>
            </w:r>
          </w:p>
        </w:tc>
        <w:tc>
          <w:tcPr>
            <w:tcW w:w="1500" w:type="dxa"/>
            <w:vAlign w:val="bottom"/>
            <w:tcBorders>
              <w:bottom w:val="single" w:sz="8" w:color="62259D"/>
            </w:tcBorders>
            <w:shd w:val="clear" w:color="auto" w:fill="F2F2F2"/>
          </w:tcPr>
          <w:p>
            <w:pPr>
              <w:jc w:val="center"/>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​314,583</w:t>
            </w:r>
          </w:p>
        </w:tc>
        <w:tc>
          <w:tcPr>
            <w:tcW w:w="180" w:type="dxa"/>
            <w:vAlign w:val="bottom"/>
            <w:tcBorders>
              <w:bottom w:val="single" w:sz="8" w:color="62259D"/>
            </w:tcBorders>
            <w:shd w:val="clear" w:color="auto" w:fill="F2F2F2"/>
          </w:tcPr>
          <w:p>
            <w:pPr>
              <w:ind w:left="40"/>
              <w:spacing w:after="0"/>
              <w:rPr>
                <w:sz w:val="20"/>
                <w:szCs w:val="20"/>
                <w:color w:val="auto"/>
              </w:rPr>
            </w:pPr>
            <w:r>
              <w:rPr>
                <w:rFonts w:ascii="Arial" w:cs="Arial" w:eastAsia="Arial" w:hAnsi="Arial"/>
                <w:sz w:val="16"/>
                <w:szCs w:val="16"/>
                <w:b w:val="1"/>
                <w:bCs w:val="1"/>
                <w:color w:val="auto"/>
              </w:rPr>
              <w:t>​​</w:t>
            </w:r>
          </w:p>
        </w:tc>
      </w:tr>
    </w:tbl>
    <w:p>
      <w:pPr>
        <w:spacing w:after="0" w:line="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April 14, 2025, the Target VWAP for the first vesting tranche has not yet been met.</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Benefits and Other Compensation</w:t>
      </w:r>
    </w:p>
    <w:p>
      <w:pPr>
        <w:spacing w:after="0" w:line="112" w:lineRule="exact"/>
        <w:rPr>
          <w:sz w:val="20"/>
          <w:szCs w:val="20"/>
          <w:color w:val="auto"/>
        </w:rPr>
      </w:pPr>
    </w:p>
    <w:p>
      <w:pPr>
        <w:ind w:left="920" w:right="359"/>
        <w:spacing w:after="0" w:line="271" w:lineRule="auto"/>
        <w:rPr>
          <w:sz w:val="20"/>
          <w:szCs w:val="20"/>
          <w:color w:val="auto"/>
        </w:rPr>
      </w:pPr>
      <w:r>
        <w:rPr>
          <w:rFonts w:ascii="Arial" w:cs="Arial" w:eastAsia="Arial" w:hAnsi="Arial"/>
          <w:sz w:val="18"/>
          <w:szCs w:val="18"/>
          <w:color w:val="auto"/>
        </w:rPr>
        <w:t>We have various broad-based employee benefit plans. We do not typically offer perquisites or employee benefits to executive officers that are not also made available to employees on a broad basis.</w:t>
      </w:r>
    </w:p>
    <w:p>
      <w:pPr>
        <w:spacing w:after="0" w:line="59" w:lineRule="exact"/>
        <w:rPr>
          <w:sz w:val="20"/>
          <w:szCs w:val="20"/>
          <w:color w:val="auto"/>
        </w:rPr>
      </w:pPr>
    </w:p>
    <w:p>
      <w:pPr>
        <w:ind w:left="920" w:right="99"/>
        <w:spacing w:after="0" w:line="237" w:lineRule="auto"/>
        <w:rPr>
          <w:sz w:val="20"/>
          <w:szCs w:val="20"/>
          <w:color w:val="auto"/>
        </w:rPr>
      </w:pPr>
      <w:r>
        <w:rPr>
          <w:rFonts w:ascii="Arial" w:cs="Arial" w:eastAsia="Arial" w:hAnsi="Arial"/>
          <w:sz w:val="18"/>
          <w:szCs w:val="18"/>
          <w:color w:val="auto"/>
        </w:rPr>
        <w:t>Our executive officers generally are eligible for the same benefits that are available to all employees, which include group health, dental and vision insurance, life and disability insurance, discretionary 401(k)</w:t>
      </w:r>
    </w:p>
    <w:p>
      <w:pPr>
        <w:ind w:left="920"/>
        <w:spacing w:after="0" w:line="235" w:lineRule="auto"/>
        <w:rPr>
          <w:sz w:val="20"/>
          <w:szCs w:val="20"/>
          <w:color w:val="auto"/>
        </w:rPr>
      </w:pPr>
      <w:r>
        <w:rPr>
          <w:rFonts w:ascii="Arial" w:cs="Arial" w:eastAsia="Arial" w:hAnsi="Arial"/>
          <w:sz w:val="18"/>
          <w:szCs w:val="18"/>
          <w:color w:val="auto"/>
        </w:rPr>
        <w:t>matching contributions and paid holidays. We offer a 401(k) plan, which allows our employees to invest in</w:t>
      </w:r>
    </w:p>
    <w:p>
      <w:pPr>
        <w:spacing w:after="0" w:line="1" w:lineRule="exact"/>
        <w:rPr>
          <w:sz w:val="20"/>
          <w:szCs w:val="20"/>
          <w:color w:val="auto"/>
        </w:rPr>
      </w:pPr>
    </w:p>
    <w:p>
      <w:pPr>
        <w:ind w:left="920" w:right="179"/>
        <w:spacing w:after="0" w:line="226" w:lineRule="auto"/>
        <w:rPr>
          <w:sz w:val="20"/>
          <w:szCs w:val="20"/>
          <w:color w:val="auto"/>
        </w:rPr>
      </w:pPr>
      <w:r>
        <w:rPr>
          <w:rFonts w:ascii="Arial" w:cs="Arial" w:eastAsia="Arial" w:hAnsi="Arial"/>
          <w:sz w:val="18"/>
          <w:szCs w:val="18"/>
          <w:color w:val="auto"/>
        </w:rPr>
        <w:t>a wide array of funds. Except for certain post-termination benefits in connection with severance, we do not provide pension arrangements or post-retirement health coverage for our NEOs. We have entered into</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indemnification agreements with our executive officers and directors.</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Severance and Separation Arrangements</w:t>
      </w:r>
    </w:p>
    <w:p>
      <w:pPr>
        <w:spacing w:after="0" w:line="125" w:lineRule="exact"/>
        <w:rPr>
          <w:sz w:val="20"/>
          <w:szCs w:val="20"/>
          <w:color w:val="auto"/>
        </w:rPr>
      </w:pPr>
    </w:p>
    <w:p>
      <w:pPr>
        <w:ind w:left="920" w:right="119"/>
        <w:spacing w:after="0" w:line="237" w:lineRule="auto"/>
        <w:rPr>
          <w:sz w:val="20"/>
          <w:szCs w:val="20"/>
          <w:color w:val="auto"/>
        </w:rPr>
      </w:pPr>
      <w:r>
        <w:rPr>
          <w:rFonts w:ascii="Arial" w:cs="Arial" w:eastAsia="Arial" w:hAnsi="Arial"/>
          <w:sz w:val="18"/>
          <w:szCs w:val="18"/>
          <w:color w:val="auto"/>
        </w:rPr>
        <w:t>We are party to agreements with each of our NEOs, which generally provide that, upon a termination of the NEO’s employment by the Company without “cause” ​(as defined in the applicable NEO’s employment</w:t>
      </w:r>
    </w:p>
    <w:p>
      <w:pPr>
        <w:ind w:left="920"/>
        <w:spacing w:after="0" w:line="235" w:lineRule="auto"/>
        <w:rPr>
          <w:sz w:val="20"/>
          <w:szCs w:val="20"/>
          <w:color w:val="auto"/>
        </w:rPr>
      </w:pPr>
      <w:r>
        <w:rPr>
          <w:rFonts w:ascii="Arial" w:cs="Arial" w:eastAsia="Arial" w:hAnsi="Arial"/>
          <w:sz w:val="18"/>
          <w:szCs w:val="18"/>
          <w:color w:val="auto"/>
        </w:rPr>
        <w:t>agreement), due to a resignation by the NEO for “good reason” ​(as defined in the applicable NEO’s</w:t>
      </w:r>
    </w:p>
    <w:p>
      <w:pPr>
        <w:spacing w:after="0" w:line="1" w:lineRule="exact"/>
        <w:rPr>
          <w:sz w:val="20"/>
          <w:szCs w:val="20"/>
          <w:color w:val="auto"/>
        </w:rPr>
      </w:pPr>
    </w:p>
    <w:p>
      <w:pPr>
        <w:ind w:left="920" w:right="259"/>
        <w:spacing w:after="0" w:line="226" w:lineRule="auto"/>
        <w:rPr>
          <w:sz w:val="20"/>
          <w:szCs w:val="20"/>
          <w:color w:val="auto"/>
        </w:rPr>
      </w:pPr>
      <w:r>
        <w:rPr>
          <w:rFonts w:ascii="Arial" w:cs="Arial" w:eastAsia="Arial" w:hAnsi="Arial"/>
          <w:sz w:val="18"/>
          <w:szCs w:val="18"/>
          <w:color w:val="auto"/>
        </w:rPr>
        <w:t>employment agreement) or due to death or disability of the NEO, the NEO is entitled to certain severance payments and benefits. We believe the entry into such severance arrangements by Ribbon (or our</w:t>
      </w:r>
    </w:p>
    <w:p>
      <w:pPr>
        <w:spacing w:after="0" w:line="2" w:lineRule="exact"/>
        <w:rPr>
          <w:sz w:val="20"/>
          <w:szCs w:val="20"/>
          <w:color w:val="auto"/>
        </w:rPr>
      </w:pPr>
    </w:p>
    <w:p>
      <w:pPr>
        <w:ind w:left="920" w:right="159"/>
        <w:spacing w:after="0" w:line="250" w:lineRule="auto"/>
        <w:rPr>
          <w:sz w:val="20"/>
          <w:szCs w:val="20"/>
          <w:color w:val="auto"/>
        </w:rPr>
      </w:pPr>
      <w:r>
        <w:rPr>
          <w:rFonts w:ascii="Arial" w:cs="Arial" w:eastAsia="Arial" w:hAnsi="Arial"/>
          <w:sz w:val="18"/>
          <w:szCs w:val="18"/>
          <w:color w:val="auto"/>
        </w:rPr>
        <w:t>predecessors) is generally consistent with market practice and allows our executives to remain focused on the Company’s objectives in times of potential uncertainty.</w:t>
      </w:r>
    </w:p>
    <w:p>
      <w:pPr>
        <w:spacing w:after="0" w:line="77" w:lineRule="exact"/>
        <w:rPr>
          <w:sz w:val="20"/>
          <w:szCs w:val="20"/>
          <w:color w:val="auto"/>
        </w:rPr>
      </w:pPr>
    </w:p>
    <w:p>
      <w:pPr>
        <w:ind w:left="920" w:right="799"/>
        <w:spacing w:after="0" w:line="256" w:lineRule="auto"/>
        <w:rPr>
          <w:sz w:val="20"/>
          <w:szCs w:val="20"/>
          <w:color w:val="auto"/>
        </w:rPr>
      </w:pPr>
      <w:r>
        <w:rPr>
          <w:rFonts w:ascii="Arial" w:cs="Arial" w:eastAsia="Arial" w:hAnsi="Arial"/>
          <w:sz w:val="18"/>
          <w:szCs w:val="18"/>
          <w:color w:val="auto"/>
        </w:rPr>
        <w:t>For further discussion regarding the severance and separation agreements and arrangements, see “</w:t>
      </w:r>
      <w:r>
        <w:rPr>
          <w:rFonts w:ascii="Arial" w:cs="Arial" w:eastAsia="Arial" w:hAnsi="Arial"/>
          <w:sz w:val="18"/>
          <w:szCs w:val="18"/>
          <w:i w:val="1"/>
          <w:iCs w:val="1"/>
          <w:color w:val="auto"/>
        </w:rPr>
        <w:t>Severance and Change in Control Benefits</w:t>
      </w:r>
      <w:r>
        <w:rPr>
          <w:rFonts w:ascii="Arial" w:cs="Arial" w:eastAsia="Arial" w:hAnsi="Arial"/>
          <w:sz w:val="18"/>
          <w:szCs w:val="18"/>
          <w:color w:val="auto"/>
        </w:rPr>
        <w:t>” below.</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Compensation Policies and Practices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Stock Ownership Requirements</w:t>
      </w:r>
    </w:p>
    <w:p>
      <w:pPr>
        <w:spacing w:after="0" w:line="121" w:lineRule="exact"/>
        <w:rPr>
          <w:sz w:val="20"/>
          <w:szCs w:val="20"/>
          <w:color w:val="auto"/>
        </w:rPr>
      </w:pPr>
    </w:p>
    <w:p>
      <w:pPr>
        <w:ind w:left="920" w:right="519"/>
        <w:spacing w:after="0" w:line="245" w:lineRule="auto"/>
        <w:rPr>
          <w:sz w:val="20"/>
          <w:szCs w:val="20"/>
          <w:color w:val="auto"/>
        </w:rPr>
      </w:pPr>
      <w:r>
        <w:rPr>
          <w:rFonts w:ascii="Arial" w:cs="Arial" w:eastAsia="Arial" w:hAnsi="Arial"/>
          <w:sz w:val="18"/>
          <w:szCs w:val="18"/>
          <w:color w:val="auto"/>
        </w:rPr>
        <w:t>The Board believes that it is important to link the interests of our NEOs, among others, to those of our stockholders. Our stock ownership guidelines require our Chief Executive Officer and other Section 16</w:t>
      </w:r>
    </w:p>
    <w:p>
      <w:pPr>
        <w:ind w:left="920" w:right="339"/>
        <w:spacing w:after="0" w:line="226" w:lineRule="auto"/>
        <w:rPr>
          <w:sz w:val="20"/>
          <w:szCs w:val="20"/>
          <w:color w:val="auto"/>
        </w:rPr>
      </w:pPr>
      <w:r>
        <w:rPr>
          <w:rFonts w:ascii="Arial" w:cs="Arial" w:eastAsia="Arial" w:hAnsi="Arial"/>
          <w:sz w:val="18"/>
          <w:szCs w:val="18"/>
          <w:color w:val="auto"/>
        </w:rPr>
        <w:t>reporting officers to accumulate and hold a minimum amount of Company common stock within a certain number of years of joining the Company. Any Section 16 reporting officer who is subject to our stock</w:t>
      </w:r>
    </w:p>
    <w:p>
      <w:pPr>
        <w:ind w:left="920"/>
        <w:spacing w:after="0" w:line="236" w:lineRule="auto"/>
        <w:rPr>
          <w:sz w:val="20"/>
          <w:szCs w:val="20"/>
          <w:color w:val="auto"/>
        </w:rPr>
      </w:pPr>
      <w:r>
        <w:rPr>
          <w:rFonts w:ascii="Arial" w:cs="Arial" w:eastAsia="Arial" w:hAnsi="Arial"/>
          <w:sz w:val="18"/>
          <w:szCs w:val="18"/>
          <w:color w:val="auto"/>
        </w:rPr>
        <w:t>ownership guidelines must satisfy these ownership guidelines within five years from the date he or she is</w:t>
      </w:r>
    </w:p>
    <w:p>
      <w:pPr>
        <w:spacing w:after="0" w:line="1" w:lineRule="exact"/>
        <w:rPr>
          <w:sz w:val="20"/>
          <w:szCs w:val="20"/>
          <w:color w:val="auto"/>
        </w:rPr>
      </w:pPr>
    </w:p>
    <w:p>
      <w:pPr>
        <w:ind w:left="920" w:right="399"/>
        <w:spacing w:after="0" w:line="226" w:lineRule="auto"/>
        <w:rPr>
          <w:sz w:val="20"/>
          <w:szCs w:val="20"/>
          <w:color w:val="auto"/>
        </w:rPr>
      </w:pPr>
      <w:r>
        <w:rPr>
          <w:rFonts w:ascii="Arial" w:cs="Arial" w:eastAsia="Arial" w:hAnsi="Arial"/>
          <w:sz w:val="18"/>
          <w:szCs w:val="18"/>
          <w:color w:val="auto"/>
        </w:rPr>
        <w:t>appointed as a Section 16 reporting officer. Further, our non -employee directors, other than those who elect not to receive the cash retainer or annual equity grant, must maintain an amount of common stock</w:t>
      </w:r>
    </w:p>
    <w:p>
      <w:pPr>
        <w:ind w:left="920"/>
        <w:spacing w:after="0" w:line="236" w:lineRule="auto"/>
        <w:rPr>
          <w:sz w:val="20"/>
          <w:szCs w:val="20"/>
          <w:color w:val="auto"/>
        </w:rPr>
      </w:pPr>
      <w:r>
        <w:rPr>
          <w:rFonts w:ascii="Arial" w:cs="Arial" w:eastAsia="Arial" w:hAnsi="Arial"/>
          <w:sz w:val="18"/>
          <w:szCs w:val="18"/>
          <w:color w:val="auto"/>
        </w:rPr>
        <w:t>equal to at least five times the amount of the annual cash retainer provided to the non-employee directors.</w:t>
      </w:r>
    </w:p>
    <w:p>
      <w:pPr>
        <w:spacing w:after="0" w:line="1" w:lineRule="exact"/>
        <w:rPr>
          <w:sz w:val="20"/>
          <w:szCs w:val="20"/>
          <w:color w:val="auto"/>
        </w:rPr>
      </w:pPr>
    </w:p>
    <w:p>
      <w:pPr>
        <w:ind w:left="920" w:right="259"/>
        <w:spacing w:after="0" w:line="237" w:lineRule="auto"/>
        <w:rPr>
          <w:sz w:val="20"/>
          <w:szCs w:val="20"/>
          <w:color w:val="auto"/>
        </w:rPr>
      </w:pPr>
      <w:r>
        <w:rPr>
          <w:rFonts w:ascii="Arial" w:cs="Arial" w:eastAsia="Arial" w:hAnsi="Arial"/>
          <w:sz w:val="18"/>
          <w:szCs w:val="18"/>
          <w:color w:val="auto"/>
        </w:rPr>
        <w:t>In determining compliance with this requirement, the following are included in the determination of shares owned:</w:t>
      </w:r>
    </w:p>
    <w:p>
      <w:pPr>
        <w:spacing w:after="0" w:line="100" w:lineRule="exact"/>
        <w:rPr>
          <w:sz w:val="20"/>
          <w:szCs w:val="20"/>
          <w:color w:val="auto"/>
        </w:rPr>
      </w:pPr>
    </w:p>
    <w:p>
      <w:pPr>
        <w:ind w:left="1280" w:hanging="356"/>
        <w:spacing w:after="0"/>
        <w:tabs>
          <w:tab w:leader="none" w:pos="1280" w:val="left"/>
        </w:tabs>
        <w:numPr>
          <w:ilvl w:val="0"/>
          <w:numId w:val="109"/>
        </w:numPr>
        <w:rPr>
          <w:rFonts w:ascii="Arial" w:cs="Arial" w:eastAsia="Arial" w:hAnsi="Arial"/>
          <w:sz w:val="18"/>
          <w:szCs w:val="18"/>
          <w:color w:val="62259D"/>
        </w:rPr>
      </w:pPr>
      <w:r>
        <w:rPr>
          <w:rFonts w:ascii="Arial" w:cs="Arial" w:eastAsia="Arial" w:hAnsi="Arial"/>
          <w:sz w:val="18"/>
          <w:szCs w:val="18"/>
          <w:color w:val="auto"/>
        </w:rPr>
        <w:t>shares directly owned by the director or NEO;</w:t>
      </w:r>
    </w:p>
    <w:p>
      <w:pPr>
        <w:spacing w:after="0" w:line="63" w:lineRule="exact"/>
        <w:rPr>
          <w:rFonts w:ascii="Arial" w:cs="Arial" w:eastAsia="Arial" w:hAnsi="Arial"/>
          <w:sz w:val="18"/>
          <w:szCs w:val="18"/>
          <w:color w:val="62259D"/>
        </w:rPr>
      </w:pPr>
    </w:p>
    <w:p>
      <w:pPr>
        <w:ind w:left="1280" w:right="459" w:hanging="356"/>
        <w:spacing w:after="0" w:line="281" w:lineRule="auto"/>
        <w:tabs>
          <w:tab w:leader="none" w:pos="1280" w:val="left"/>
        </w:tabs>
        <w:numPr>
          <w:ilvl w:val="0"/>
          <w:numId w:val="109"/>
        </w:numPr>
        <w:rPr>
          <w:rFonts w:ascii="Arial" w:cs="Arial" w:eastAsia="Arial" w:hAnsi="Arial"/>
          <w:sz w:val="18"/>
          <w:szCs w:val="18"/>
          <w:color w:val="62259D"/>
        </w:rPr>
      </w:pPr>
      <w:r>
        <w:rPr>
          <w:rFonts w:ascii="Arial" w:cs="Arial" w:eastAsia="Arial" w:hAnsi="Arial"/>
          <w:sz w:val="18"/>
          <w:szCs w:val="18"/>
          <w:color w:val="auto"/>
        </w:rPr>
        <w:t>shares held in trust, limited partnerships, or similar entities for the benefit of the director or NEO or shares held by immediate family members of the director or NEO;</w:t>
      </w:r>
    </w:p>
    <w:p>
      <w:pPr>
        <w:spacing w:after="0" w:line="1" w:lineRule="exact"/>
        <w:rPr>
          <w:rFonts w:ascii="Arial" w:cs="Arial" w:eastAsia="Arial" w:hAnsi="Arial"/>
          <w:sz w:val="18"/>
          <w:szCs w:val="18"/>
          <w:color w:val="62259D"/>
        </w:rPr>
      </w:pPr>
    </w:p>
    <w:p>
      <w:pPr>
        <w:ind w:left="1280" w:hanging="356"/>
        <w:spacing w:after="0"/>
        <w:tabs>
          <w:tab w:leader="none" w:pos="1280" w:val="left"/>
        </w:tabs>
        <w:numPr>
          <w:ilvl w:val="0"/>
          <w:numId w:val="109"/>
        </w:numPr>
        <w:rPr>
          <w:rFonts w:ascii="Arial" w:cs="Arial" w:eastAsia="Arial" w:hAnsi="Arial"/>
          <w:sz w:val="18"/>
          <w:szCs w:val="18"/>
          <w:color w:val="62259D"/>
        </w:rPr>
      </w:pPr>
      <w:r>
        <w:rPr>
          <w:rFonts w:ascii="Arial" w:cs="Arial" w:eastAsia="Arial" w:hAnsi="Arial"/>
          <w:sz w:val="18"/>
          <w:szCs w:val="18"/>
          <w:color w:val="auto"/>
        </w:rPr>
        <w:t>shares underlying unvested RSUs subject to only time-based vesting;</w:t>
      </w:r>
    </w:p>
    <w:p>
      <w:pPr>
        <w:spacing w:after="0" w:line="76" w:lineRule="exact"/>
        <w:rPr>
          <w:rFonts w:ascii="Arial" w:cs="Arial" w:eastAsia="Arial" w:hAnsi="Arial"/>
          <w:sz w:val="18"/>
          <w:szCs w:val="18"/>
          <w:color w:val="62259D"/>
        </w:rPr>
      </w:pPr>
    </w:p>
    <w:p>
      <w:pPr>
        <w:ind w:left="1280" w:right="279" w:hanging="356"/>
        <w:spacing w:after="0" w:line="271" w:lineRule="auto"/>
        <w:tabs>
          <w:tab w:leader="none" w:pos="1280" w:val="left"/>
        </w:tabs>
        <w:numPr>
          <w:ilvl w:val="0"/>
          <w:numId w:val="109"/>
        </w:numPr>
        <w:rPr>
          <w:rFonts w:ascii="Arial" w:cs="Arial" w:eastAsia="Arial" w:hAnsi="Arial"/>
          <w:sz w:val="18"/>
          <w:szCs w:val="18"/>
          <w:color w:val="62259D"/>
        </w:rPr>
      </w:pPr>
      <w:r>
        <w:rPr>
          <w:rFonts w:ascii="Arial" w:cs="Arial" w:eastAsia="Arial" w:hAnsi="Arial"/>
          <w:sz w:val="18"/>
          <w:szCs w:val="18"/>
          <w:color w:val="auto"/>
        </w:rPr>
        <w:t>shares “earned” under PSUs or subject to stock performance conditions that will vest at a future date subject to continued employment; and</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48</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1280" w:hanging="356"/>
        <w:spacing w:after="0"/>
        <w:tabs>
          <w:tab w:leader="none" w:pos="1280" w:val="left"/>
        </w:tabs>
        <w:numPr>
          <w:ilvl w:val="0"/>
          <w:numId w:val="110"/>
        </w:numPr>
        <w:rPr>
          <w:rFonts w:ascii="Arial" w:cs="Arial" w:eastAsia="Arial" w:hAnsi="Arial"/>
          <w:sz w:val="18"/>
          <w:szCs w:val="18"/>
          <w:color w:val="62259D"/>
        </w:rPr>
      </w:pPr>
      <w:r>
        <w:rPr>
          <w:rFonts w:ascii="Arial" w:cs="Arial" w:eastAsia="Arial" w:hAnsi="Arial"/>
          <w:sz w:val="18"/>
          <w:szCs w:val="18"/>
          <w:color w:val="auto"/>
        </w:rPr>
        <w:t>any other vested grants or account balances under share-based Company compensation plans.</w:t>
      </w:r>
    </w:p>
    <w:p>
      <w:pPr>
        <w:spacing w:after="0" w:line="117" w:lineRule="exact"/>
        <w:rPr>
          <w:sz w:val="20"/>
          <w:szCs w:val="20"/>
          <w:color w:val="auto"/>
        </w:rPr>
      </w:pPr>
    </w:p>
    <w:p>
      <w:pPr>
        <w:ind w:left="920" w:right="459"/>
        <w:spacing w:after="0" w:line="237" w:lineRule="auto"/>
        <w:rPr>
          <w:sz w:val="20"/>
          <w:szCs w:val="20"/>
          <w:color w:val="auto"/>
        </w:rPr>
      </w:pPr>
      <w:r>
        <w:rPr>
          <w:rFonts w:ascii="Arial" w:cs="Arial" w:eastAsia="Arial" w:hAnsi="Arial"/>
          <w:sz w:val="18"/>
          <w:szCs w:val="18"/>
          <w:color w:val="auto"/>
        </w:rPr>
        <w:t>As of the last measurement date under the policy, each of our non -employee directors, Chief Executive Officer and the other Section 16 reporting officers of the Company has either satisfied these ownership</w:t>
      </w:r>
    </w:p>
    <w:p>
      <w:pPr>
        <w:ind w:left="920"/>
        <w:spacing w:after="0" w:line="235" w:lineRule="auto"/>
        <w:rPr>
          <w:sz w:val="20"/>
          <w:szCs w:val="20"/>
          <w:color w:val="auto"/>
        </w:rPr>
      </w:pPr>
      <w:r>
        <w:rPr>
          <w:rFonts w:ascii="Arial" w:cs="Arial" w:eastAsia="Arial" w:hAnsi="Arial"/>
          <w:sz w:val="18"/>
          <w:szCs w:val="18"/>
          <w:color w:val="auto"/>
        </w:rPr>
        <w:t>guidelines or were on track to satisfy the requirement in the time remaining to do so. The specific stock</w:t>
      </w:r>
    </w:p>
    <w:p>
      <w:pPr>
        <w:spacing w:after="0" w:line="1" w:lineRule="exact"/>
        <w:rPr>
          <w:sz w:val="20"/>
          <w:szCs w:val="20"/>
          <w:color w:val="auto"/>
        </w:rPr>
      </w:pPr>
    </w:p>
    <w:p>
      <w:pPr>
        <w:ind w:left="920" w:right="359"/>
        <w:spacing w:after="0" w:line="237" w:lineRule="auto"/>
        <w:rPr>
          <w:sz w:val="20"/>
          <w:szCs w:val="20"/>
          <w:color w:val="auto"/>
        </w:rPr>
      </w:pPr>
      <w:r>
        <w:rPr>
          <w:rFonts w:ascii="Arial" w:cs="Arial" w:eastAsia="Arial" w:hAnsi="Arial"/>
          <w:sz w:val="18"/>
          <w:szCs w:val="18"/>
          <w:color w:val="auto"/>
        </w:rPr>
        <w:t>ownership requirements for our directors, Chief Executive Officer and other Section 16 reporting officers are as follows:</w:t>
      </w:r>
    </w:p>
    <w:p>
      <w:pPr>
        <w:spacing w:after="0" w:line="34" w:lineRule="exact"/>
        <w:rPr>
          <w:sz w:val="20"/>
          <w:szCs w:val="20"/>
          <w:color w:val="auto"/>
        </w:rPr>
      </w:pPr>
    </w:p>
    <w:tbl>
      <w:tblPr>
        <w:tblLayout w:type="fixed"/>
        <w:tblInd w:w="920" w:type="dxa"/>
        <w:tblCellMar>
          <w:top w:w="0" w:type="dxa"/>
          <w:left w:w="0" w:type="dxa"/>
          <w:bottom w:w="0" w:type="dxa"/>
          <w:right w:w="0" w:type="dxa"/>
        </w:tblCellMar>
      </w:tblPr>
      <w:tr>
        <w:trPr>
          <w:trHeight w:val="368"/>
        </w:trPr>
        <w:tc>
          <w:tcPr>
            <w:tcW w:w="2580" w:type="dxa"/>
            <w:vAlign w:val="bottom"/>
            <w:shd w:val="clear" w:color="auto" w:fill="62259D"/>
          </w:tcPr>
          <w:p>
            <w:pPr>
              <w:ind w:left="40"/>
              <w:spacing w:after="0"/>
              <w:rPr>
                <w:sz w:val="20"/>
                <w:szCs w:val="20"/>
                <w:color w:val="auto"/>
              </w:rPr>
            </w:pPr>
            <w:r>
              <w:rPr>
                <w:rFonts w:ascii="Arial" w:cs="Arial" w:eastAsia="Arial" w:hAnsi="Arial"/>
                <w:sz w:val="32"/>
                <w:szCs w:val="32"/>
                <w:b w:val="1"/>
                <w:bCs w:val="1"/>
                <w:color w:val="FEFEFE"/>
                <w:vertAlign w:val="subscript"/>
              </w:rPr>
              <w:t>​</w:t>
            </w:r>
            <w:r>
              <w:rPr>
                <w:rFonts w:ascii="Arial" w:cs="Arial" w:eastAsia="Arial" w:hAnsi="Arial"/>
                <w:sz w:val="16"/>
                <w:szCs w:val="16"/>
                <w:b w:val="1"/>
                <w:bCs w:val="1"/>
                <w:color w:val="FEFEFE"/>
              </w:rPr>
              <w:t>Title</w:t>
            </w:r>
          </w:p>
        </w:tc>
        <w:tc>
          <w:tcPr>
            <w:tcW w:w="780" w:type="dxa"/>
            <w:vAlign w:val="bottom"/>
            <w:shd w:val="clear" w:color="auto" w:fill="62259D"/>
          </w:tcPr>
          <w:p>
            <w:pPr>
              <w:ind w:left="320"/>
              <w:spacing w:after="0"/>
              <w:rPr>
                <w:sz w:val="20"/>
                <w:szCs w:val="20"/>
                <w:color w:val="auto"/>
              </w:rPr>
            </w:pPr>
            <w:r>
              <w:rPr>
                <w:rFonts w:ascii="Arial" w:cs="Arial" w:eastAsia="Arial" w:hAnsi="Arial"/>
                <w:sz w:val="16"/>
                <w:szCs w:val="16"/>
                <w:b w:val="1"/>
                <w:bCs w:val="1"/>
                <w:color w:val="FEFEFE"/>
              </w:rPr>
              <w:t>​ ​</w:t>
            </w:r>
          </w:p>
        </w:tc>
        <w:tc>
          <w:tcPr>
            <w:tcW w:w="2980" w:type="dxa"/>
            <w:vAlign w:val="bottom"/>
            <w:gridSpan w:val="2"/>
            <w:shd w:val="clear" w:color="auto" w:fill="62259D"/>
          </w:tcPr>
          <w:p>
            <w:pPr>
              <w:jc w:val="right"/>
              <w:ind w:right="226"/>
              <w:spacing w:after="0"/>
              <w:rPr>
                <w:sz w:val="20"/>
                <w:szCs w:val="20"/>
                <w:color w:val="auto"/>
              </w:rPr>
            </w:pPr>
            <w:r>
              <w:rPr>
                <w:rFonts w:ascii="Arial" w:cs="Arial" w:eastAsia="Arial" w:hAnsi="Arial"/>
                <w:sz w:val="16"/>
                <w:szCs w:val="16"/>
                <w:b w:val="1"/>
                <w:bCs w:val="1"/>
                <w:color w:val="FEFEFE"/>
              </w:rPr>
              <w:t>Stock Ownership Requirement</w:t>
            </w:r>
          </w:p>
        </w:tc>
        <w:tc>
          <w:tcPr>
            <w:tcW w:w="280" w:type="dxa"/>
            <w:vAlign w:val="bottom"/>
            <w:shd w:val="clear" w:color="auto" w:fill="62259D"/>
          </w:tcPr>
          <w:p>
            <w:pPr>
              <w:jc w:val="right"/>
              <w:spacing w:after="0"/>
              <w:rPr>
                <w:sz w:val="20"/>
                <w:szCs w:val="20"/>
                <w:color w:val="auto"/>
              </w:rPr>
            </w:pPr>
            <w:r>
              <w:rPr>
                <w:rFonts w:ascii="Arial" w:cs="Arial" w:eastAsia="Arial" w:hAnsi="Arial"/>
                <w:sz w:val="16"/>
                <w:szCs w:val="16"/>
                <w:b w:val="1"/>
                <w:bCs w:val="1"/>
                <w:color w:val="FEFEFE"/>
              </w:rPr>
              <w:t>​ ​</w:t>
            </w:r>
          </w:p>
        </w:tc>
        <w:tc>
          <w:tcPr>
            <w:tcW w:w="2040" w:type="dxa"/>
            <w:vAlign w:val="bottom"/>
            <w:shd w:val="clear" w:color="auto" w:fill="62259D"/>
          </w:tcPr>
          <w:p>
            <w:pPr>
              <w:ind w:left="260"/>
              <w:spacing w:after="0"/>
              <w:rPr>
                <w:sz w:val="20"/>
                <w:szCs w:val="20"/>
                <w:color w:val="auto"/>
              </w:rPr>
            </w:pPr>
            <w:r>
              <w:rPr>
                <w:rFonts w:ascii="Arial" w:cs="Arial" w:eastAsia="Arial" w:hAnsi="Arial"/>
                <w:sz w:val="16"/>
                <w:szCs w:val="16"/>
                <w:b w:val="1"/>
                <w:bCs w:val="1"/>
                <w:color w:val="FEFEFE"/>
              </w:rPr>
              <w:t>Compliance Period</w:t>
            </w:r>
          </w:p>
        </w:tc>
        <w:tc>
          <w:tcPr>
            <w:tcW w:w="200" w:type="dxa"/>
            <w:vAlign w:val="bottom"/>
            <w:shd w:val="clear" w:color="auto" w:fill="62259D"/>
          </w:tcPr>
          <w:p>
            <w:pPr>
              <w:ind w:left="140"/>
              <w:spacing w:after="0"/>
              <w:rPr>
                <w:sz w:val="20"/>
                <w:szCs w:val="20"/>
                <w:color w:val="auto"/>
              </w:rPr>
            </w:pPr>
            <w:r>
              <w:rPr>
                <w:rFonts w:ascii="Arial" w:cs="Arial" w:eastAsia="Arial" w:hAnsi="Arial"/>
                <w:sz w:val="16"/>
                <w:szCs w:val="16"/>
                <w:b w:val="1"/>
                <w:bCs w:val="1"/>
                <w:color w:val="FEFEFE"/>
              </w:rPr>
              <w:t>​</w:t>
            </w:r>
          </w:p>
        </w:tc>
      </w:tr>
      <w:tr>
        <w:trPr>
          <w:trHeight w:val="283"/>
        </w:trPr>
        <w:tc>
          <w:tcPr>
            <w:tcW w:w="2580" w:type="dxa"/>
            <w:vAlign w:val="bottom"/>
          </w:tcPr>
          <w:p>
            <w:pPr>
              <w:spacing w:after="0"/>
              <w:rPr>
                <w:sz w:val="20"/>
                <w:szCs w:val="20"/>
                <w:color w:val="auto"/>
              </w:rPr>
            </w:pPr>
            <w:r>
              <w:rPr>
                <w:rFonts w:ascii="Arial" w:cs="Arial" w:eastAsia="Arial" w:hAnsi="Arial"/>
                <w:sz w:val="16"/>
                <w:szCs w:val="16"/>
                <w:color w:val="auto"/>
              </w:rPr>
              <w:t>​ Chief Executive Officer</w:t>
            </w:r>
          </w:p>
        </w:tc>
        <w:tc>
          <w:tcPr>
            <w:tcW w:w="3760" w:type="dxa"/>
            <w:vAlign w:val="bottom"/>
            <w:gridSpan w:val="3"/>
          </w:tcPr>
          <w:p>
            <w:pPr>
              <w:jc w:val="right"/>
              <w:spacing w:after="0"/>
              <w:rPr>
                <w:sz w:val="20"/>
                <w:szCs w:val="20"/>
                <w:color w:val="auto"/>
              </w:rPr>
            </w:pPr>
            <w:r>
              <w:rPr>
                <w:rFonts w:ascii="Arial" w:cs="Arial" w:eastAsia="Arial" w:hAnsi="Arial"/>
                <w:sz w:val="16"/>
                <w:szCs w:val="16"/>
                <w:color w:val="auto"/>
              </w:rPr>
              <w:t xml:space="preserve">​ ​                       ​ ​ </w:t>
            </w:r>
            <w:r>
              <w:rPr>
                <w:rFonts w:ascii="Arial" w:cs="Arial" w:eastAsia="Arial" w:hAnsi="Arial"/>
                <w:sz w:val="21"/>
                <w:szCs w:val="21"/>
                <w:b w:val="1"/>
                <w:bCs w:val="1"/>
                <w:color w:val="62259D"/>
              </w:rPr>
              <w:t>6x</w:t>
            </w:r>
            <w:r>
              <w:rPr>
                <w:rFonts w:ascii="Arial" w:cs="Arial" w:eastAsia="Arial" w:hAnsi="Arial"/>
                <w:sz w:val="16"/>
                <w:szCs w:val="16"/>
                <w:color w:val="auto"/>
              </w:rPr>
              <w:t xml:space="preserve"> annual base salary</w:t>
            </w:r>
          </w:p>
        </w:tc>
        <w:tc>
          <w:tcPr>
            <w:tcW w:w="280" w:type="dxa"/>
            <w:vAlign w:val="bottom"/>
          </w:tcPr>
          <w:p>
            <w:pPr>
              <w:jc w:val="right"/>
              <w:spacing w:after="0"/>
              <w:rPr>
                <w:sz w:val="20"/>
                <w:szCs w:val="20"/>
                <w:color w:val="auto"/>
              </w:rPr>
            </w:pPr>
            <w:r>
              <w:rPr>
                <w:rFonts w:ascii="Arial" w:cs="Arial" w:eastAsia="Arial" w:hAnsi="Arial"/>
                <w:sz w:val="16"/>
                <w:szCs w:val="16"/>
                <w:color w:val="auto"/>
              </w:rPr>
              <w:t>​ ​</w:t>
            </w:r>
          </w:p>
        </w:tc>
        <w:tc>
          <w:tcPr>
            <w:tcW w:w="2040" w:type="dxa"/>
            <w:vAlign w:val="bottom"/>
          </w:tcPr>
          <w:p>
            <w:pPr>
              <w:ind w:left="20"/>
              <w:spacing w:after="0"/>
              <w:rPr>
                <w:sz w:val="20"/>
                <w:szCs w:val="20"/>
                <w:color w:val="auto"/>
              </w:rPr>
            </w:pPr>
            <w:r>
              <w:rPr>
                <w:rFonts w:ascii="Arial" w:cs="Arial" w:eastAsia="Arial" w:hAnsi="Arial"/>
                <w:sz w:val="16"/>
                <w:szCs w:val="16"/>
                <w:color w:val="auto"/>
              </w:rPr>
              <w:t>5 years from appointment,</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r>
      <w:tr>
        <w:trPr>
          <w:trHeight w:val="162"/>
        </w:trPr>
        <w:tc>
          <w:tcPr>
            <w:tcW w:w="2580" w:type="dxa"/>
            <w:vAlign w:val="bottom"/>
            <w:tcBorders>
              <w:bottom w:val="single" w:sz="8" w:color="E7417A"/>
            </w:tcBorders>
          </w:tcPr>
          <w:p>
            <w:pPr>
              <w:spacing w:after="0"/>
              <w:rPr>
                <w:sz w:val="14"/>
                <w:szCs w:val="14"/>
                <w:color w:val="auto"/>
              </w:rPr>
            </w:pPr>
          </w:p>
        </w:tc>
        <w:tc>
          <w:tcPr>
            <w:tcW w:w="780" w:type="dxa"/>
            <w:vAlign w:val="bottom"/>
            <w:tcBorders>
              <w:bottom w:val="single" w:sz="8" w:color="E7417A"/>
            </w:tcBorders>
          </w:tcPr>
          <w:p>
            <w:pPr>
              <w:spacing w:after="0"/>
              <w:rPr>
                <w:sz w:val="14"/>
                <w:szCs w:val="14"/>
                <w:color w:val="auto"/>
              </w:rPr>
            </w:pPr>
          </w:p>
        </w:tc>
        <w:tc>
          <w:tcPr>
            <w:tcW w:w="760" w:type="dxa"/>
            <w:vAlign w:val="bottom"/>
            <w:tcBorders>
              <w:bottom w:val="single" w:sz="8" w:color="E7417A"/>
            </w:tcBorders>
          </w:tcPr>
          <w:p>
            <w:pPr>
              <w:spacing w:after="0"/>
              <w:rPr>
                <w:sz w:val="14"/>
                <w:szCs w:val="14"/>
                <w:color w:val="auto"/>
              </w:rPr>
            </w:pPr>
          </w:p>
        </w:tc>
        <w:tc>
          <w:tcPr>
            <w:tcW w:w="2220" w:type="dxa"/>
            <w:vAlign w:val="bottom"/>
            <w:tcBorders>
              <w:bottom w:val="single" w:sz="8" w:color="E7417A"/>
            </w:tcBorders>
          </w:tcPr>
          <w:p>
            <w:pPr>
              <w:spacing w:after="0"/>
              <w:rPr>
                <w:sz w:val="14"/>
                <w:szCs w:val="14"/>
                <w:color w:val="auto"/>
              </w:rPr>
            </w:pPr>
          </w:p>
        </w:tc>
        <w:tc>
          <w:tcPr>
            <w:tcW w:w="280" w:type="dxa"/>
            <w:vAlign w:val="bottom"/>
            <w:tcBorders>
              <w:bottom w:val="single" w:sz="8" w:color="E7417A"/>
            </w:tcBorders>
          </w:tcPr>
          <w:p>
            <w:pPr>
              <w:spacing w:after="0"/>
              <w:rPr>
                <w:sz w:val="14"/>
                <w:szCs w:val="14"/>
                <w:color w:val="auto"/>
              </w:rPr>
            </w:pPr>
          </w:p>
        </w:tc>
        <w:tc>
          <w:tcPr>
            <w:tcW w:w="2040" w:type="dxa"/>
            <w:vAlign w:val="bottom"/>
            <w:tcBorders>
              <w:bottom w:val="single" w:sz="8" w:color="E7417A"/>
            </w:tcBorders>
          </w:tcPr>
          <w:p>
            <w:pPr>
              <w:ind w:left="20"/>
              <w:spacing w:after="0" w:line="162" w:lineRule="exact"/>
              <w:rPr>
                <w:sz w:val="20"/>
                <w:szCs w:val="20"/>
                <w:color w:val="auto"/>
              </w:rPr>
            </w:pPr>
            <w:r>
              <w:rPr>
                <w:rFonts w:ascii="Arial" w:cs="Arial" w:eastAsia="Arial" w:hAnsi="Arial"/>
                <w:sz w:val="16"/>
                <w:szCs w:val="16"/>
                <w:color w:val="auto"/>
              </w:rPr>
              <w:t>subject to the guidelines</w:t>
            </w:r>
          </w:p>
        </w:tc>
        <w:tc>
          <w:tcPr>
            <w:tcW w:w="200" w:type="dxa"/>
            <w:vAlign w:val="bottom"/>
            <w:tcBorders>
              <w:bottom w:val="single" w:sz="8" w:color="E7417A"/>
            </w:tcBorders>
          </w:tcPr>
          <w:p>
            <w:pPr>
              <w:spacing w:after="0"/>
              <w:rPr>
                <w:sz w:val="14"/>
                <w:szCs w:val="14"/>
                <w:color w:val="auto"/>
              </w:rPr>
            </w:pPr>
          </w:p>
        </w:tc>
      </w:tr>
      <w:tr>
        <w:trPr>
          <w:trHeight w:val="277"/>
        </w:trPr>
        <w:tc>
          <w:tcPr>
            <w:tcW w:w="2580" w:type="dxa"/>
            <w:vAlign w:val="bottom"/>
          </w:tcPr>
          <w:p>
            <w:pPr>
              <w:spacing w:after="0"/>
              <w:rPr>
                <w:sz w:val="20"/>
                <w:szCs w:val="20"/>
                <w:color w:val="auto"/>
              </w:rPr>
            </w:pPr>
            <w:r>
              <w:rPr>
                <w:rFonts w:ascii="Arial" w:cs="Arial" w:eastAsia="Arial" w:hAnsi="Arial"/>
                <w:sz w:val="16"/>
                <w:szCs w:val="16"/>
                <w:color w:val="auto"/>
              </w:rPr>
              <w:t>​ Section 16 Reporting Officers</w:t>
            </w:r>
          </w:p>
        </w:tc>
        <w:tc>
          <w:tcPr>
            <w:tcW w:w="780" w:type="dxa"/>
            <w:vAlign w:val="bottom"/>
          </w:tcPr>
          <w:p>
            <w:pPr>
              <w:ind w:left="280"/>
              <w:spacing w:after="0"/>
              <w:rPr>
                <w:sz w:val="20"/>
                <w:szCs w:val="20"/>
                <w:color w:val="auto"/>
              </w:rPr>
            </w:pPr>
            <w:r>
              <w:rPr>
                <w:rFonts w:ascii="Arial" w:cs="Arial" w:eastAsia="Arial" w:hAnsi="Arial"/>
                <w:sz w:val="16"/>
                <w:szCs w:val="16"/>
                <w:color w:val="auto"/>
              </w:rPr>
              <w:t xml:space="preserve">​ ​     </w:t>
            </w:r>
          </w:p>
        </w:tc>
        <w:tc>
          <w:tcPr>
            <w:tcW w:w="7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21"/>
                <w:szCs w:val="21"/>
                <w:b w:val="1"/>
                <w:bCs w:val="1"/>
                <w:color w:val="62259D"/>
              </w:rPr>
              <w:t>2x</w:t>
            </w:r>
            <w:r>
              <w:rPr>
                <w:rFonts w:ascii="Arial" w:cs="Arial" w:eastAsia="Arial" w:hAnsi="Arial"/>
                <w:sz w:val="16"/>
                <w:szCs w:val="16"/>
                <w:color w:val="auto"/>
              </w:rPr>
              <w:t xml:space="preserve"> annual base salary</w:t>
            </w:r>
          </w:p>
        </w:tc>
        <w:tc>
          <w:tcPr>
            <w:tcW w:w="280" w:type="dxa"/>
            <w:vAlign w:val="bottom"/>
          </w:tcPr>
          <w:p>
            <w:pPr>
              <w:jc w:val="right"/>
              <w:spacing w:after="0"/>
              <w:rPr>
                <w:sz w:val="20"/>
                <w:szCs w:val="20"/>
                <w:color w:val="auto"/>
              </w:rPr>
            </w:pPr>
            <w:r>
              <w:rPr>
                <w:rFonts w:ascii="Arial" w:cs="Arial" w:eastAsia="Arial" w:hAnsi="Arial"/>
                <w:sz w:val="16"/>
                <w:szCs w:val="16"/>
                <w:color w:val="auto"/>
              </w:rPr>
              <w:t>​ ​</w:t>
            </w:r>
          </w:p>
        </w:tc>
        <w:tc>
          <w:tcPr>
            <w:tcW w:w="2040" w:type="dxa"/>
            <w:vAlign w:val="bottom"/>
          </w:tcPr>
          <w:p>
            <w:pPr>
              <w:ind w:left="20"/>
              <w:spacing w:after="0"/>
              <w:rPr>
                <w:sz w:val="20"/>
                <w:szCs w:val="20"/>
                <w:color w:val="auto"/>
              </w:rPr>
            </w:pPr>
            <w:r>
              <w:rPr>
                <w:rFonts w:ascii="Arial" w:cs="Arial" w:eastAsia="Arial" w:hAnsi="Arial"/>
                <w:sz w:val="16"/>
                <w:szCs w:val="16"/>
                <w:color w:val="auto"/>
              </w:rPr>
              <w:t>5 years from appointment,</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r>
      <w:tr>
        <w:trPr>
          <w:trHeight w:val="148"/>
        </w:trPr>
        <w:tc>
          <w:tcPr>
            <w:tcW w:w="2580" w:type="dxa"/>
            <w:vAlign w:val="bottom"/>
            <w:tcBorders>
              <w:bottom w:val="single" w:sz="8" w:color="E7417A"/>
            </w:tcBorders>
          </w:tcPr>
          <w:p>
            <w:pPr>
              <w:spacing w:after="0"/>
              <w:rPr>
                <w:sz w:val="12"/>
                <w:szCs w:val="12"/>
                <w:color w:val="auto"/>
              </w:rPr>
            </w:pPr>
          </w:p>
        </w:tc>
        <w:tc>
          <w:tcPr>
            <w:tcW w:w="780" w:type="dxa"/>
            <w:vAlign w:val="bottom"/>
            <w:tcBorders>
              <w:bottom w:val="single" w:sz="8" w:color="E7417A"/>
            </w:tcBorders>
          </w:tcPr>
          <w:p>
            <w:pPr>
              <w:spacing w:after="0"/>
              <w:rPr>
                <w:sz w:val="12"/>
                <w:szCs w:val="12"/>
                <w:color w:val="auto"/>
              </w:rPr>
            </w:pPr>
          </w:p>
        </w:tc>
        <w:tc>
          <w:tcPr>
            <w:tcW w:w="760" w:type="dxa"/>
            <w:vAlign w:val="bottom"/>
            <w:tcBorders>
              <w:bottom w:val="single" w:sz="8" w:color="E7417A"/>
            </w:tcBorders>
          </w:tcPr>
          <w:p>
            <w:pPr>
              <w:spacing w:after="0"/>
              <w:rPr>
                <w:sz w:val="12"/>
                <w:szCs w:val="12"/>
                <w:color w:val="auto"/>
              </w:rPr>
            </w:pPr>
          </w:p>
        </w:tc>
        <w:tc>
          <w:tcPr>
            <w:tcW w:w="2220" w:type="dxa"/>
            <w:vAlign w:val="bottom"/>
            <w:tcBorders>
              <w:bottom w:val="single" w:sz="8" w:color="E7417A"/>
            </w:tcBorders>
          </w:tcPr>
          <w:p>
            <w:pPr>
              <w:spacing w:after="0"/>
              <w:rPr>
                <w:sz w:val="12"/>
                <w:szCs w:val="12"/>
                <w:color w:val="auto"/>
              </w:rPr>
            </w:pPr>
          </w:p>
        </w:tc>
        <w:tc>
          <w:tcPr>
            <w:tcW w:w="280" w:type="dxa"/>
            <w:vAlign w:val="bottom"/>
            <w:tcBorders>
              <w:bottom w:val="single" w:sz="8" w:color="E7417A"/>
            </w:tcBorders>
          </w:tcPr>
          <w:p>
            <w:pPr>
              <w:spacing w:after="0"/>
              <w:rPr>
                <w:sz w:val="12"/>
                <w:szCs w:val="12"/>
                <w:color w:val="auto"/>
              </w:rPr>
            </w:pPr>
          </w:p>
        </w:tc>
        <w:tc>
          <w:tcPr>
            <w:tcW w:w="2040" w:type="dxa"/>
            <w:vAlign w:val="bottom"/>
            <w:tcBorders>
              <w:bottom w:val="single" w:sz="8" w:color="E7417A"/>
            </w:tcBorders>
          </w:tcPr>
          <w:p>
            <w:pPr>
              <w:ind w:left="20"/>
              <w:spacing w:after="0" w:line="148" w:lineRule="exact"/>
              <w:rPr>
                <w:sz w:val="20"/>
                <w:szCs w:val="20"/>
                <w:color w:val="auto"/>
              </w:rPr>
            </w:pPr>
            <w:r>
              <w:rPr>
                <w:rFonts w:ascii="Arial" w:cs="Arial" w:eastAsia="Arial" w:hAnsi="Arial"/>
                <w:sz w:val="16"/>
                <w:szCs w:val="16"/>
                <w:color w:val="auto"/>
              </w:rPr>
              <w:t>subject to the guidelines</w:t>
            </w:r>
          </w:p>
        </w:tc>
        <w:tc>
          <w:tcPr>
            <w:tcW w:w="200" w:type="dxa"/>
            <w:vAlign w:val="bottom"/>
            <w:tcBorders>
              <w:bottom w:val="single" w:sz="8" w:color="E7417A"/>
            </w:tcBorders>
          </w:tcPr>
          <w:p>
            <w:pPr>
              <w:spacing w:after="0"/>
              <w:rPr>
                <w:sz w:val="12"/>
                <w:szCs w:val="12"/>
                <w:color w:val="auto"/>
              </w:rPr>
            </w:pPr>
          </w:p>
        </w:tc>
      </w:tr>
      <w:tr>
        <w:trPr>
          <w:trHeight w:val="277"/>
        </w:trPr>
        <w:tc>
          <w:tcPr>
            <w:tcW w:w="2580" w:type="dxa"/>
            <w:vAlign w:val="bottom"/>
            <w:tcBorders>
              <w:bottom w:val="single" w:sz="8" w:color="62259D"/>
            </w:tcBorders>
          </w:tcPr>
          <w:p>
            <w:pPr>
              <w:spacing w:after="0"/>
              <w:rPr>
                <w:sz w:val="20"/>
                <w:szCs w:val="20"/>
                <w:color w:val="auto"/>
              </w:rPr>
            </w:pPr>
            <w:r>
              <w:rPr>
                <w:rFonts w:ascii="Arial" w:cs="Arial" w:eastAsia="Arial" w:hAnsi="Arial"/>
                <w:sz w:val="16"/>
                <w:szCs w:val="16"/>
                <w:color w:val="auto"/>
              </w:rPr>
              <w:t>​ Non-Employee Directors</w:t>
            </w:r>
          </w:p>
        </w:tc>
        <w:tc>
          <w:tcPr>
            <w:tcW w:w="1540" w:type="dxa"/>
            <w:vAlign w:val="bottom"/>
            <w:tcBorders>
              <w:bottom w:val="single" w:sz="8" w:color="62259D"/>
            </w:tcBorders>
            <w:gridSpan w:val="2"/>
          </w:tcPr>
          <w:p>
            <w:pPr>
              <w:ind w:left="280"/>
              <w:spacing w:after="0"/>
              <w:rPr>
                <w:sz w:val="20"/>
                <w:szCs w:val="20"/>
                <w:color w:val="auto"/>
              </w:rPr>
            </w:pPr>
            <w:r>
              <w:rPr>
                <w:rFonts w:ascii="Arial" w:cs="Arial" w:eastAsia="Arial" w:hAnsi="Arial"/>
                <w:sz w:val="16"/>
                <w:szCs w:val="16"/>
                <w:color w:val="auto"/>
              </w:rPr>
              <w:t xml:space="preserve">​ ​                 </w:t>
            </w:r>
          </w:p>
        </w:tc>
        <w:tc>
          <w:tcPr>
            <w:tcW w:w="2500" w:type="dxa"/>
            <w:vAlign w:val="bottom"/>
            <w:tcBorders>
              <w:bottom w:val="single" w:sz="8" w:color="62259D"/>
            </w:tcBorders>
            <w:gridSpan w:val="2"/>
          </w:tcPr>
          <w:p>
            <w:pPr>
              <w:jc w:val="right"/>
              <w:spacing w:after="0" w:line="276" w:lineRule="exact"/>
              <w:rPr>
                <w:sz w:val="20"/>
                <w:szCs w:val="20"/>
                <w:color w:val="auto"/>
              </w:rPr>
            </w:pPr>
            <w:r>
              <w:rPr>
                <w:rFonts w:ascii="Arial" w:cs="Arial" w:eastAsia="Arial" w:hAnsi="Arial"/>
                <w:sz w:val="32"/>
                <w:szCs w:val="32"/>
                <w:color w:val="000000"/>
                <w:vertAlign w:val="superscript"/>
              </w:rPr>
              <w:t>​ ​</w:t>
            </w:r>
            <w:r>
              <w:rPr>
                <w:rFonts w:ascii="Arial" w:cs="Arial" w:eastAsia="Arial" w:hAnsi="Arial"/>
                <w:sz w:val="22"/>
                <w:szCs w:val="22"/>
                <w:b w:val="1"/>
                <w:bCs w:val="1"/>
                <w:color w:val="62259D"/>
              </w:rPr>
              <w:t xml:space="preserve"> 5x </w:t>
            </w:r>
            <w:r>
              <w:rPr>
                <w:rFonts w:ascii="Arial" w:cs="Arial" w:eastAsia="Arial" w:hAnsi="Arial"/>
                <w:sz w:val="16"/>
                <w:szCs w:val="16"/>
                <w:color w:val="000000"/>
              </w:rPr>
              <w:t>annual cash retainer</w:t>
            </w:r>
            <w:r>
              <w:rPr>
                <w:rFonts w:ascii="Arial" w:cs="Arial" w:eastAsia="Arial" w:hAnsi="Arial"/>
                <w:sz w:val="22"/>
                <w:szCs w:val="22"/>
                <w:b w:val="1"/>
                <w:bCs w:val="1"/>
                <w:color w:val="62259D"/>
              </w:rPr>
              <w:t xml:space="preserve"> </w:t>
            </w:r>
            <w:r>
              <w:rPr>
                <w:rFonts w:ascii="Arial" w:cs="Arial" w:eastAsia="Arial" w:hAnsi="Arial"/>
                <w:sz w:val="32"/>
                <w:szCs w:val="32"/>
                <w:color w:val="000000"/>
                <w:vertAlign w:val="superscript"/>
              </w:rPr>
              <w:t>​ ​</w:t>
            </w:r>
          </w:p>
        </w:tc>
        <w:tc>
          <w:tcPr>
            <w:tcW w:w="2040" w:type="dxa"/>
            <w:vAlign w:val="bottom"/>
            <w:tcBorders>
              <w:bottom w:val="single" w:sz="8" w:color="62259D"/>
            </w:tcBorders>
          </w:tcPr>
          <w:p>
            <w:pPr>
              <w:ind w:left="20"/>
              <w:spacing w:after="0"/>
              <w:rPr>
                <w:sz w:val="20"/>
                <w:szCs w:val="20"/>
                <w:color w:val="auto"/>
              </w:rPr>
            </w:pPr>
            <w:r>
              <w:rPr>
                <w:rFonts w:ascii="Arial" w:cs="Arial" w:eastAsia="Arial" w:hAnsi="Arial"/>
                <w:sz w:val="16"/>
                <w:szCs w:val="16"/>
                <w:color w:val="auto"/>
              </w:rPr>
              <w:t>5 years from appointment</w:t>
            </w:r>
          </w:p>
        </w:tc>
        <w:tc>
          <w:tcPr>
            <w:tcW w:w="200" w:type="dxa"/>
            <w:vAlign w:val="bottom"/>
            <w:tcBorders>
              <w:bottom w:val="single" w:sz="8" w:color="62259D"/>
            </w:tcBorders>
          </w:tcPr>
          <w:p>
            <w:pPr>
              <w:ind w:left="1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-676910</wp:posOffset>
            </wp:positionV>
            <wp:extent cx="779780" cy="8572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79780" cy="85725"/>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-385445</wp:posOffset>
            </wp:positionV>
            <wp:extent cx="222885" cy="8572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22885" cy="85725"/>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-153670</wp:posOffset>
            </wp:positionV>
            <wp:extent cx="643255" cy="8572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43255" cy="85725"/>
                    </a:xfrm>
                    <a:prstGeom prst="rect">
                      <a:avLst/>
                    </a:prstGeom>
                    <a:noFill/>
                  </pic:spPr>
                </pic:pic>
              </a:graphicData>
            </a:graphic>
          </wp:anchor>
        </w:drawing>
      </w:r>
    </w:p>
    <w:p>
      <w:pPr>
        <w:spacing w:after="0" w:line="42" w:lineRule="exact"/>
        <w:rPr>
          <w:sz w:val="20"/>
          <w:szCs w:val="20"/>
          <w:color w:val="auto"/>
        </w:rPr>
      </w:pPr>
    </w:p>
    <w:p>
      <w:pPr>
        <w:ind w:left="920" w:right="1279"/>
        <w:spacing w:after="0" w:line="256" w:lineRule="auto"/>
        <w:rPr>
          <w:sz w:val="20"/>
          <w:szCs w:val="20"/>
          <w:color w:val="auto"/>
        </w:rPr>
      </w:pPr>
      <w:r>
        <w:rPr>
          <w:rFonts w:ascii="Arial" w:cs="Arial" w:eastAsia="Arial" w:hAnsi="Arial"/>
          <w:sz w:val="18"/>
          <w:szCs w:val="18"/>
          <w:color w:val="auto"/>
        </w:rPr>
        <w:t>The value of each such individual’s stock ownership measured annually as of April 1st by the Compensation Committee.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Clawback Policy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awards granted under our equity plans are subject to clawback pursuant to the Company’s Clawback</w:t>
      </w:r>
    </w:p>
    <w:p>
      <w:pPr>
        <w:spacing w:after="0" w:line="14" w:lineRule="exact"/>
        <w:rPr>
          <w:sz w:val="20"/>
          <w:szCs w:val="20"/>
          <w:color w:val="auto"/>
        </w:rPr>
      </w:pPr>
    </w:p>
    <w:p>
      <w:pPr>
        <w:ind w:left="920" w:right="199"/>
        <w:spacing w:after="0" w:line="226" w:lineRule="auto"/>
        <w:rPr>
          <w:sz w:val="20"/>
          <w:szCs w:val="20"/>
          <w:color w:val="auto"/>
        </w:rPr>
      </w:pPr>
      <w:r>
        <w:rPr>
          <w:rFonts w:ascii="Arial" w:cs="Arial" w:eastAsia="Arial" w:hAnsi="Arial"/>
          <w:sz w:val="18"/>
          <w:szCs w:val="18"/>
          <w:color w:val="auto"/>
        </w:rPr>
        <w:t>Policy and any other clawback policy that the Company may adopt in the future. The Clawback Policy was amended in 2023 by the Board to comply with the final rule adopted by the SEC that implements the</w:t>
      </w:r>
    </w:p>
    <w:p>
      <w:pPr>
        <w:spacing w:after="0" w:line="2" w:lineRule="exact"/>
        <w:rPr>
          <w:sz w:val="20"/>
          <w:szCs w:val="20"/>
          <w:color w:val="auto"/>
        </w:rPr>
      </w:pPr>
    </w:p>
    <w:p>
      <w:pPr>
        <w:ind w:left="920" w:right="459"/>
        <w:spacing w:after="0" w:line="250" w:lineRule="auto"/>
        <w:rPr>
          <w:sz w:val="20"/>
          <w:szCs w:val="20"/>
          <w:color w:val="auto"/>
        </w:rPr>
      </w:pPr>
      <w:r>
        <w:rPr>
          <w:rFonts w:ascii="Arial" w:cs="Arial" w:eastAsia="Arial" w:hAnsi="Arial"/>
          <w:sz w:val="18"/>
          <w:szCs w:val="18"/>
          <w:color w:val="auto"/>
        </w:rPr>
        <w:t>applicable provision of the Dodd-Frank Wall Street Reform and Consumer Protection Act and Nasdaq’s related listing standard, in each case relating to recoupment of incentive-based compensation.</w:t>
      </w:r>
    </w:p>
    <w:p>
      <w:pPr>
        <w:spacing w:after="0" w:line="162" w:lineRule="exact"/>
        <w:rPr>
          <w:sz w:val="20"/>
          <w:szCs w:val="20"/>
          <w:color w:val="auto"/>
        </w:rPr>
      </w:pPr>
    </w:p>
    <w:p>
      <w:pPr>
        <w:ind w:left="920" w:right="259"/>
        <w:spacing w:after="0" w:line="272" w:lineRule="auto"/>
        <w:rPr>
          <w:sz w:val="20"/>
          <w:szCs w:val="20"/>
          <w:color w:val="auto"/>
        </w:rPr>
      </w:pPr>
      <w:r>
        <w:rPr>
          <w:rFonts w:ascii="Arial" w:cs="Arial" w:eastAsia="Arial" w:hAnsi="Arial"/>
          <w:sz w:val="22"/>
          <w:szCs w:val="22"/>
          <w:b w:val="1"/>
          <w:bCs w:val="1"/>
          <w:color w:val="auto"/>
        </w:rPr>
        <w:t>Insider Trading Policy and Policy Regarding Transactions Involving Hedging, Monetization, Margin Accounts and Pledges</w:t>
      </w:r>
    </w:p>
    <w:p>
      <w:pPr>
        <w:spacing w:after="0" w:line="17" w:lineRule="exact"/>
        <w:rPr>
          <w:sz w:val="20"/>
          <w:szCs w:val="20"/>
          <w:color w:val="auto"/>
        </w:rPr>
      </w:pPr>
    </w:p>
    <w:p>
      <w:pPr>
        <w:ind w:left="920" w:right="239"/>
        <w:spacing w:after="0" w:line="245" w:lineRule="auto"/>
        <w:rPr>
          <w:sz w:val="20"/>
          <w:szCs w:val="20"/>
          <w:color w:val="auto"/>
        </w:rPr>
      </w:pPr>
      <w:r>
        <w:rPr>
          <w:rFonts w:ascii="Arial" w:cs="Arial" w:eastAsia="Arial" w:hAnsi="Arial"/>
          <w:sz w:val="18"/>
          <w:szCs w:val="18"/>
          <w:color w:val="auto"/>
        </w:rPr>
        <w:t>Our Board has adopted insider trading policies and procedures governing the purchase, sale and/or other dispositions of our directors, officers and employees that are reasonably designed to promote compliance</w:t>
      </w:r>
    </w:p>
    <w:p>
      <w:pPr>
        <w:ind w:left="920" w:right="359"/>
        <w:spacing w:after="0" w:line="226" w:lineRule="auto"/>
        <w:rPr>
          <w:sz w:val="20"/>
          <w:szCs w:val="20"/>
          <w:color w:val="auto"/>
        </w:rPr>
      </w:pPr>
      <w:r>
        <w:rPr>
          <w:rFonts w:ascii="Arial" w:cs="Arial" w:eastAsia="Arial" w:hAnsi="Arial"/>
          <w:sz w:val="18"/>
          <w:szCs w:val="18"/>
          <w:color w:val="auto"/>
        </w:rPr>
        <w:t>with insider trading laws, rules and regulations, and any listing standards applicable to us (the “Insider Trading Policy”). It is also our policy to comply with all applicable securities laws when transacting in our</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own securities.</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Company’s Insider Trading Policy contains stringent restrictions on transactions in Company common</w:t>
      </w:r>
    </w:p>
    <w:p>
      <w:pPr>
        <w:spacing w:after="0" w:line="14" w:lineRule="exact"/>
        <w:rPr>
          <w:sz w:val="20"/>
          <w:szCs w:val="20"/>
          <w:color w:val="auto"/>
        </w:rPr>
      </w:pPr>
    </w:p>
    <w:p>
      <w:pPr>
        <w:ind w:left="920" w:right="119"/>
        <w:spacing w:after="0" w:line="226" w:lineRule="auto"/>
        <w:rPr>
          <w:sz w:val="20"/>
          <w:szCs w:val="20"/>
          <w:color w:val="auto"/>
        </w:rPr>
      </w:pPr>
      <w:r>
        <w:rPr>
          <w:rFonts w:ascii="Arial" w:cs="Arial" w:eastAsia="Arial" w:hAnsi="Arial"/>
          <w:sz w:val="18"/>
          <w:szCs w:val="18"/>
          <w:color w:val="auto"/>
        </w:rPr>
        <w:t>stock by directors and officers. All trades by directors and officers must be pre-approved by the Chief Legal Officer. In addition, our Insider Trading Policy prohibits all executive officers and directors from engaging in</w:t>
      </w:r>
    </w:p>
    <w:p>
      <w:pPr>
        <w:spacing w:after="0" w:line="2" w:lineRule="exact"/>
        <w:rPr>
          <w:sz w:val="20"/>
          <w:szCs w:val="20"/>
          <w:color w:val="auto"/>
        </w:rPr>
      </w:pPr>
    </w:p>
    <w:p>
      <w:pPr>
        <w:ind w:left="920" w:right="419"/>
        <w:spacing w:after="0" w:line="250" w:lineRule="auto"/>
        <w:rPr>
          <w:sz w:val="20"/>
          <w:szCs w:val="20"/>
          <w:color w:val="auto"/>
        </w:rPr>
      </w:pPr>
      <w:r>
        <w:rPr>
          <w:rFonts w:ascii="Arial" w:cs="Arial" w:eastAsia="Arial" w:hAnsi="Arial"/>
          <w:sz w:val="18"/>
          <w:szCs w:val="18"/>
          <w:color w:val="auto"/>
        </w:rPr>
        <w:t>transactions involving hedging, monetization, margin accounts, pledges, puts, calls and other derivative securities.</w:t>
      </w:r>
    </w:p>
    <w:p>
      <w:pPr>
        <w:spacing w:after="0" w:line="77" w:lineRule="exact"/>
        <w:rPr>
          <w:sz w:val="20"/>
          <w:szCs w:val="20"/>
          <w:color w:val="auto"/>
        </w:rPr>
      </w:pPr>
    </w:p>
    <w:p>
      <w:pPr>
        <w:ind w:left="920" w:right="299"/>
        <w:spacing w:after="0" w:line="256" w:lineRule="auto"/>
        <w:rPr>
          <w:sz w:val="20"/>
          <w:szCs w:val="20"/>
          <w:color w:val="auto"/>
        </w:rPr>
      </w:pPr>
      <w:r>
        <w:rPr>
          <w:rFonts w:ascii="Arial" w:cs="Arial" w:eastAsia="Arial" w:hAnsi="Arial"/>
          <w:sz w:val="18"/>
          <w:szCs w:val="18"/>
          <w:color w:val="auto"/>
        </w:rPr>
        <w:t>Our Insider Trading Policy was filed as Exhibit 19.1 to our Annual Report on Form 10-K filed on February 27, 2025.</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Timing of Stock Options and Other Equity Awards</w:t>
      </w:r>
    </w:p>
    <w:p>
      <w:pPr>
        <w:spacing w:after="0" w:line="108" w:lineRule="exact"/>
        <w:rPr>
          <w:sz w:val="20"/>
          <w:szCs w:val="20"/>
          <w:color w:val="auto"/>
        </w:rPr>
      </w:pPr>
    </w:p>
    <w:p>
      <w:pPr>
        <w:ind w:left="920" w:right="559"/>
        <w:spacing w:after="0" w:line="237" w:lineRule="auto"/>
        <w:rPr>
          <w:sz w:val="20"/>
          <w:szCs w:val="20"/>
          <w:color w:val="auto"/>
        </w:rPr>
      </w:pPr>
      <w:r>
        <w:rPr>
          <w:rFonts w:ascii="Arial" w:cs="Arial" w:eastAsia="Arial" w:hAnsi="Arial"/>
          <w:sz w:val="18"/>
          <w:szCs w:val="18"/>
          <w:color w:val="auto"/>
        </w:rPr>
        <w:t>Although we do not have a formal policy regarding the timing of awards of stock options, SARs and/or similar option-like instruments grants to our NEOs, we do not make these awards or any other form of</w:t>
      </w:r>
    </w:p>
    <w:p>
      <w:pPr>
        <w:ind w:left="920"/>
        <w:spacing w:after="0" w:line="235" w:lineRule="auto"/>
        <w:rPr>
          <w:sz w:val="20"/>
          <w:szCs w:val="20"/>
          <w:color w:val="auto"/>
        </w:rPr>
      </w:pPr>
      <w:r>
        <w:rPr>
          <w:rFonts w:ascii="Arial" w:cs="Arial" w:eastAsia="Arial" w:hAnsi="Arial"/>
          <w:sz w:val="18"/>
          <w:szCs w:val="18"/>
          <w:color w:val="auto"/>
        </w:rPr>
        <w:t>equity compensation in anticipation of the release of material, non-public information. Similarly, we do not</w:t>
      </w:r>
    </w:p>
    <w:p>
      <w:pPr>
        <w:spacing w:after="0" w:line="1" w:lineRule="exact"/>
        <w:rPr>
          <w:sz w:val="20"/>
          <w:szCs w:val="20"/>
          <w:color w:val="auto"/>
        </w:rPr>
      </w:pPr>
    </w:p>
    <w:p>
      <w:pPr>
        <w:ind w:left="920" w:right="479"/>
        <w:spacing w:after="0" w:line="226" w:lineRule="auto"/>
        <w:rPr>
          <w:sz w:val="20"/>
          <w:szCs w:val="20"/>
          <w:color w:val="auto"/>
        </w:rPr>
      </w:pPr>
      <w:r>
        <w:rPr>
          <w:rFonts w:ascii="Arial" w:cs="Arial" w:eastAsia="Arial" w:hAnsi="Arial"/>
          <w:sz w:val="18"/>
          <w:szCs w:val="18"/>
          <w:color w:val="auto"/>
        </w:rPr>
        <w:t>time the release of material, non-public information based on stock option, SARs or other equity award grant dates for the purpose of affecting the value of any NEO award. In 2024, none of our NEOs were</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granted any options to purchase shares of our common stock, SARs or similar option-like instruments.</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Tax and Accounting Considerations</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Accounting for Stock-Based Compensation</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account for stock-based compensation in accordance with ASC 718.</w:t>
      </w:r>
    </w:p>
    <w:p>
      <w:pPr>
        <w:spacing w:after="0" w:line="198"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Policy on Deductibility of Executive Compensation</w:t>
      </w:r>
    </w:p>
    <w:p>
      <w:pPr>
        <w:spacing w:after="0" w:line="135" w:lineRule="exact"/>
        <w:rPr>
          <w:sz w:val="20"/>
          <w:szCs w:val="20"/>
          <w:color w:val="auto"/>
        </w:rPr>
      </w:pPr>
    </w:p>
    <w:p>
      <w:pPr>
        <w:ind w:left="920" w:right="119"/>
        <w:spacing w:after="0" w:line="244" w:lineRule="auto"/>
        <w:rPr>
          <w:sz w:val="20"/>
          <w:szCs w:val="20"/>
          <w:color w:val="auto"/>
        </w:rPr>
      </w:pPr>
      <w:r>
        <w:rPr>
          <w:rFonts w:ascii="Arial" w:cs="Arial" w:eastAsia="Arial" w:hAnsi="Arial"/>
          <w:sz w:val="18"/>
          <w:szCs w:val="18"/>
          <w:color w:val="auto"/>
        </w:rPr>
        <w:t>Section 162(m) of the Internal Revenue Code of 1986, as amended (the “Code”), generally disallows a tax deduction for annual compensation in excess of $ 1.0 million paid to certain executive officers of the Company. The Compensation Committee reviews the potential effect of Section 162(m) of the Code on the Company’s compensation practices periodically. However, the Compensation Committee has no obligation to limit compensation to that which is deductible under Section 162(m) of the Code and may use its judgment to authorize compensation programs and payments (or the modification of existing compensation programs or payments) that may not be deductible when it believes such programs and payments are appropriate and in the Company’s and our stockholders’ best interests. Further, there is no guarantee that deductions claimed under Section 162(m) of the Code will not be challenged by the Internal Revenue Service and our ability to deduct compensation under Section 162(m) of the Code may be restricted.</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Risk Management and Our Executive Compensation Program</w:t>
      </w:r>
    </w:p>
    <w:p>
      <w:pPr>
        <w:spacing w:after="0" w:line="139" w:lineRule="exact"/>
        <w:rPr>
          <w:sz w:val="20"/>
          <w:szCs w:val="20"/>
          <w:color w:val="auto"/>
        </w:rPr>
      </w:pPr>
    </w:p>
    <w:p>
      <w:pPr>
        <w:ind w:left="920" w:right="119"/>
        <w:spacing w:after="0" w:line="252" w:lineRule="auto"/>
        <w:rPr>
          <w:sz w:val="20"/>
          <w:szCs w:val="20"/>
          <w:color w:val="auto"/>
        </w:rPr>
      </w:pPr>
      <w:r>
        <w:rPr>
          <w:rFonts w:ascii="Arial" w:cs="Arial" w:eastAsia="Arial" w:hAnsi="Arial"/>
          <w:sz w:val="18"/>
          <w:szCs w:val="18"/>
          <w:color w:val="auto"/>
        </w:rPr>
        <w:t>The Compensation Committee monitors and manages our executive compensation program to help ensure that it does not encourage excessive risk taking. The Compensation Committee reviewed, analyzed and considered whether the Company’s compensation policies and practices create risks that are reasonably likely to have a material adverse effect on us, and concluded that no such material risks exist.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50</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Compensation Committee Report</w:t>
      </w:r>
    </w:p>
    <w:p>
      <w:pPr>
        <w:spacing w:after="0" w:line="147" w:lineRule="exact"/>
        <w:rPr>
          <w:sz w:val="20"/>
          <w:szCs w:val="20"/>
          <w:color w:val="auto"/>
        </w:rPr>
      </w:pPr>
    </w:p>
    <w:p>
      <w:pPr>
        <w:ind w:left="920" w:right="139"/>
        <w:spacing w:after="0" w:line="247" w:lineRule="auto"/>
        <w:rPr>
          <w:sz w:val="20"/>
          <w:szCs w:val="20"/>
          <w:color w:val="auto"/>
        </w:rPr>
      </w:pPr>
      <w:r>
        <w:rPr>
          <w:rFonts w:ascii="Arial" w:cs="Arial" w:eastAsia="Arial" w:hAnsi="Arial"/>
          <w:sz w:val="18"/>
          <w:szCs w:val="18"/>
          <w:i w:val="1"/>
          <w:iCs w:val="1"/>
          <w:color w:val="auto"/>
        </w:rPr>
        <w:t>The information contained in this report shall not be deemed to be “soliciting material” or “filed” or incorporated by reference in future filings with the SEC, or subject to the liabilities of Section 18 of the Exchange Act, except to the extent that we specifically request that it be treated as soliciting material or specifically incorporate it by reference into a document filed under the Securities Act of 1933, as amended, or the Exchange Act</w:t>
      </w:r>
      <w:r>
        <w:rPr>
          <w:rFonts w:ascii="Arial" w:cs="Arial" w:eastAsia="Arial" w:hAnsi="Arial"/>
          <w:sz w:val="18"/>
          <w:szCs w:val="18"/>
          <w:color w:val="auto"/>
        </w:rPr>
        <w:t>.</w:t>
      </w:r>
    </w:p>
    <w:p>
      <w:pPr>
        <w:spacing w:after="0" w:line="307" w:lineRule="exact"/>
        <w:rPr>
          <w:sz w:val="20"/>
          <w:szCs w:val="20"/>
          <w:color w:val="auto"/>
        </w:rPr>
      </w:pPr>
    </w:p>
    <w:p>
      <w:pPr>
        <w:ind w:left="920" w:right="259"/>
        <w:spacing w:after="0" w:line="247" w:lineRule="auto"/>
        <w:rPr>
          <w:sz w:val="20"/>
          <w:szCs w:val="20"/>
          <w:color w:val="auto"/>
        </w:rPr>
      </w:pPr>
      <w:r>
        <w:rPr>
          <w:rFonts w:ascii="Arial" w:cs="Arial" w:eastAsia="Arial" w:hAnsi="Arial"/>
          <w:sz w:val="18"/>
          <w:szCs w:val="18"/>
          <w:color w:val="auto"/>
        </w:rPr>
        <w:t>The Compensation Committee currently consists of Beatriz V. Infante, Bruns H. Grayson and Tanya Tamone. The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spacing w:after="0" w:line="96"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Submitted by,</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THE COMPENSATION COMMITTEE</w:t>
      </w:r>
    </w:p>
    <w:p>
      <w:pPr>
        <w:spacing w:after="0" w:line="168" w:lineRule="exact"/>
        <w:rPr>
          <w:sz w:val="20"/>
          <w:szCs w:val="20"/>
          <w:color w:val="auto"/>
        </w:rPr>
      </w:pPr>
    </w:p>
    <w:p>
      <w:pPr>
        <w:ind w:left="2320"/>
        <w:spacing w:after="0"/>
        <w:tabs>
          <w:tab w:leader="none" w:pos="4680" w:val="left"/>
          <w:tab w:leader="none" w:pos="6740" w:val="left"/>
          <w:tab w:leader="none" w:pos="83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-118110</wp:posOffset>
            </wp:positionV>
            <wp:extent cx="3909060" cy="7029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9090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320"/>
        <w:spacing w:after="0"/>
        <w:tabs>
          <w:tab w:leader="none" w:pos="6740" w:val="left"/>
        </w:tabs>
        <w:rPr>
          <w:sz w:val="20"/>
          <w:szCs w:val="20"/>
          <w:color w:val="auto"/>
        </w:rPr>
      </w:pPr>
      <w:r>
        <w:rPr>
          <w:rFonts w:ascii="Arial" w:cs="Arial" w:eastAsia="Arial" w:hAnsi="Arial"/>
          <w:sz w:val="17"/>
          <w:szCs w:val="17"/>
          <w:b w:val="1"/>
          <w:bCs w:val="1"/>
          <w:color w:val="auto"/>
        </w:rPr>
        <w:t xml:space="preserve">​ Beatriz V. Infante </w:t>
      </w:r>
      <w:r>
        <w:rPr>
          <w:rFonts w:ascii="Arial" w:cs="Arial" w:eastAsia="Arial" w:hAnsi="Arial"/>
          <w:sz w:val="17"/>
          <w:szCs w:val="17"/>
          <w:b w:val="1"/>
          <w:bCs w:val="1"/>
          <w:i w:val="1"/>
          <w:iCs w:val="1"/>
          <w:color w:val="auto"/>
        </w:rPr>
        <w:t>(Chair)</w:t>
      </w:r>
      <w:r>
        <w:rPr>
          <w:rFonts w:ascii="Arial" w:cs="Arial" w:eastAsia="Arial" w:hAnsi="Arial"/>
          <w:sz w:val="17"/>
          <w:szCs w:val="17"/>
          <w:b w:val="1"/>
          <w:bCs w:val="1"/>
          <w:color w:val="auto"/>
        </w:rPr>
        <w:t xml:space="preserve"> ​ ​ Bruns H. Grayson</w:t>
        <w:tab/>
        <w:t>​ ​ Tanya Tamone ​</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Executive Compensation Tables</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2024 Summary Compensation Table</w:t>
      </w:r>
    </w:p>
    <w:p>
      <w:pPr>
        <w:spacing w:after="0" w:line="139" w:lineRule="exact"/>
        <w:rPr>
          <w:sz w:val="20"/>
          <w:szCs w:val="20"/>
          <w:color w:val="auto"/>
        </w:rPr>
      </w:pPr>
    </w:p>
    <w:p>
      <w:pPr>
        <w:ind w:left="920" w:right="179"/>
        <w:spacing w:after="0" w:line="237" w:lineRule="auto"/>
        <w:rPr>
          <w:sz w:val="20"/>
          <w:szCs w:val="20"/>
          <w:color w:val="auto"/>
        </w:rPr>
      </w:pPr>
      <w:r>
        <w:rPr>
          <w:rFonts w:ascii="Arial" w:cs="Arial" w:eastAsia="Arial" w:hAnsi="Arial"/>
          <w:sz w:val="18"/>
          <w:szCs w:val="18"/>
          <w:color w:val="auto"/>
        </w:rPr>
        <w:t>The following table sets forth, for the year ended December 31, 2024 and for the two years prior thereto (if applicable), the compensation earned by our Chief Executive Officer, Chief Financial Officer, the three</w:t>
      </w:r>
    </w:p>
    <w:p>
      <w:pPr>
        <w:spacing w:after="0" w:line="1" w:lineRule="exact"/>
        <w:rPr>
          <w:sz w:val="20"/>
          <w:szCs w:val="20"/>
          <w:color w:val="auto"/>
        </w:rPr>
      </w:pPr>
    </w:p>
    <w:p>
      <w:pPr>
        <w:ind w:left="920" w:right="299"/>
        <w:spacing w:after="0" w:line="250" w:lineRule="auto"/>
        <w:rPr>
          <w:sz w:val="20"/>
          <w:szCs w:val="20"/>
          <w:color w:val="auto"/>
        </w:rPr>
      </w:pPr>
      <w:r>
        <w:rPr>
          <w:rFonts w:ascii="Arial" w:cs="Arial" w:eastAsia="Arial" w:hAnsi="Arial"/>
          <w:sz w:val="18"/>
          <w:szCs w:val="18"/>
          <w:color w:val="auto"/>
        </w:rPr>
        <w:t>most highly compensated executive officers serving as executive officers at December 31, 2024, and our former Chief Financial Officer who retired in 2024.</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0" w:type="dxa"/>
            <w:vAlign w:val="bottom"/>
            <w:shd w:val="clear" w:color="auto" w:fill="62259D"/>
          </w:tcPr>
          <w:p>
            <w:pPr>
              <w:spacing w:after="0"/>
              <w:rPr>
                <w:sz w:val="14"/>
                <w:szCs w:val="14"/>
                <w:color w:val="auto"/>
              </w:rPr>
            </w:pPr>
          </w:p>
        </w:tc>
        <w:tc>
          <w:tcPr>
            <w:tcW w:w="1840" w:type="dxa"/>
            <w:vAlign w:val="bottom"/>
            <w:shd w:val="clear" w:color="auto" w:fill="62259D"/>
          </w:tcPr>
          <w:p>
            <w:pPr>
              <w:spacing w:after="0"/>
              <w:rPr>
                <w:sz w:val="14"/>
                <w:szCs w:val="14"/>
                <w:color w:val="auto"/>
              </w:rPr>
            </w:pPr>
          </w:p>
        </w:tc>
        <w:tc>
          <w:tcPr>
            <w:tcW w:w="120" w:type="dxa"/>
            <w:vAlign w:val="bottom"/>
            <w:shd w:val="clear" w:color="auto" w:fill="62259D"/>
          </w:tcPr>
          <w:p>
            <w:pPr>
              <w:spacing w:after="0"/>
              <w:rPr>
                <w:sz w:val="14"/>
                <w:szCs w:val="14"/>
                <w:color w:val="auto"/>
              </w:rPr>
            </w:pPr>
          </w:p>
        </w:tc>
        <w:tc>
          <w:tcPr>
            <w:tcW w:w="1140" w:type="dxa"/>
            <w:vAlign w:val="bottom"/>
            <w:shd w:val="clear" w:color="auto" w:fill="62259D"/>
          </w:tcPr>
          <w:p>
            <w:pPr>
              <w:spacing w:after="0"/>
              <w:rPr>
                <w:sz w:val="14"/>
                <w:szCs w:val="14"/>
                <w:color w:val="auto"/>
              </w:rPr>
            </w:pPr>
          </w:p>
        </w:tc>
        <w:tc>
          <w:tcPr>
            <w:tcW w:w="60" w:type="dxa"/>
            <w:vAlign w:val="bottom"/>
            <w:shd w:val="clear" w:color="auto" w:fill="62259D"/>
          </w:tcPr>
          <w:p>
            <w:pPr>
              <w:spacing w:after="0"/>
              <w:rPr>
                <w:sz w:val="14"/>
                <w:szCs w:val="14"/>
                <w:color w:val="auto"/>
              </w:rPr>
            </w:pPr>
          </w:p>
        </w:tc>
        <w:tc>
          <w:tcPr>
            <w:tcW w:w="120" w:type="dxa"/>
            <w:vAlign w:val="bottom"/>
            <w:shd w:val="clear" w:color="auto" w:fill="62259D"/>
          </w:tcPr>
          <w:p>
            <w:pPr>
              <w:spacing w:after="0"/>
              <w:rPr>
                <w:sz w:val="14"/>
                <w:szCs w:val="14"/>
                <w:color w:val="auto"/>
              </w:rPr>
            </w:pPr>
          </w:p>
        </w:tc>
        <w:tc>
          <w:tcPr>
            <w:tcW w:w="140" w:type="dxa"/>
            <w:vAlign w:val="bottom"/>
            <w:shd w:val="clear" w:color="auto" w:fill="62259D"/>
          </w:tcPr>
          <w:p>
            <w:pPr>
              <w:spacing w:after="0"/>
              <w:rPr>
                <w:sz w:val="14"/>
                <w:szCs w:val="14"/>
                <w:color w:val="auto"/>
              </w:rPr>
            </w:pPr>
          </w:p>
        </w:tc>
        <w:tc>
          <w:tcPr>
            <w:tcW w:w="460" w:type="dxa"/>
            <w:vAlign w:val="bottom"/>
            <w:shd w:val="clear" w:color="auto" w:fill="62259D"/>
          </w:tcPr>
          <w:p>
            <w:pPr>
              <w:spacing w:after="0"/>
              <w:rPr>
                <w:sz w:val="14"/>
                <w:szCs w:val="14"/>
                <w:color w:val="auto"/>
              </w:rPr>
            </w:pPr>
          </w:p>
        </w:tc>
        <w:tc>
          <w:tcPr>
            <w:tcW w:w="160" w:type="dxa"/>
            <w:vAlign w:val="bottom"/>
            <w:shd w:val="clear" w:color="auto" w:fill="62259D"/>
          </w:tcPr>
          <w:p>
            <w:pPr>
              <w:spacing w:after="0"/>
              <w:rPr>
                <w:sz w:val="14"/>
                <w:szCs w:val="14"/>
                <w:color w:val="auto"/>
              </w:rPr>
            </w:pPr>
          </w:p>
        </w:tc>
        <w:tc>
          <w:tcPr>
            <w:tcW w:w="100" w:type="dxa"/>
            <w:vAlign w:val="bottom"/>
            <w:shd w:val="clear" w:color="auto" w:fill="62259D"/>
          </w:tcPr>
          <w:p>
            <w:pPr>
              <w:spacing w:after="0"/>
              <w:rPr>
                <w:sz w:val="14"/>
                <w:szCs w:val="14"/>
                <w:color w:val="auto"/>
              </w:rPr>
            </w:pPr>
          </w:p>
        </w:tc>
        <w:tc>
          <w:tcPr>
            <w:tcW w:w="420" w:type="dxa"/>
            <w:vAlign w:val="bottom"/>
            <w:shd w:val="clear" w:color="auto" w:fill="62259D"/>
          </w:tcPr>
          <w:p>
            <w:pPr>
              <w:spacing w:after="0"/>
              <w:rPr>
                <w:sz w:val="14"/>
                <w:szCs w:val="14"/>
                <w:color w:val="auto"/>
              </w:rPr>
            </w:pPr>
          </w:p>
        </w:tc>
        <w:tc>
          <w:tcPr>
            <w:tcW w:w="280" w:type="dxa"/>
            <w:vAlign w:val="bottom"/>
            <w:shd w:val="clear" w:color="auto" w:fill="62259D"/>
          </w:tcPr>
          <w:p>
            <w:pPr>
              <w:spacing w:after="0"/>
              <w:rPr>
                <w:sz w:val="14"/>
                <w:szCs w:val="14"/>
                <w:color w:val="auto"/>
              </w:rPr>
            </w:pPr>
          </w:p>
        </w:tc>
        <w:tc>
          <w:tcPr>
            <w:tcW w:w="340" w:type="dxa"/>
            <w:vAlign w:val="bottom"/>
            <w:shd w:val="clear" w:color="auto" w:fill="62259D"/>
          </w:tcPr>
          <w:p>
            <w:pPr>
              <w:spacing w:after="0"/>
              <w:rPr>
                <w:sz w:val="14"/>
                <w:szCs w:val="14"/>
                <w:color w:val="auto"/>
              </w:rPr>
            </w:pPr>
          </w:p>
        </w:tc>
        <w:tc>
          <w:tcPr>
            <w:tcW w:w="160" w:type="dxa"/>
            <w:vAlign w:val="bottom"/>
            <w:shd w:val="clear" w:color="auto" w:fill="62259D"/>
          </w:tcPr>
          <w:p>
            <w:pPr>
              <w:spacing w:after="0"/>
              <w:rPr>
                <w:sz w:val="14"/>
                <w:szCs w:val="14"/>
                <w:color w:val="auto"/>
              </w:rPr>
            </w:pPr>
          </w:p>
        </w:tc>
        <w:tc>
          <w:tcPr>
            <w:tcW w:w="180" w:type="dxa"/>
            <w:vAlign w:val="bottom"/>
            <w:shd w:val="clear" w:color="auto" w:fill="62259D"/>
          </w:tcPr>
          <w:p>
            <w:pPr>
              <w:spacing w:after="0"/>
              <w:rPr>
                <w:sz w:val="14"/>
                <w:szCs w:val="14"/>
                <w:color w:val="auto"/>
              </w:rPr>
            </w:pPr>
          </w:p>
        </w:tc>
        <w:tc>
          <w:tcPr>
            <w:tcW w:w="106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Non-Equity</w:t>
            </w:r>
          </w:p>
        </w:tc>
        <w:tc>
          <w:tcPr>
            <w:tcW w:w="180" w:type="dxa"/>
            <w:vAlign w:val="bottom"/>
            <w:shd w:val="clear" w:color="auto" w:fill="62259D"/>
          </w:tcPr>
          <w:p>
            <w:pPr>
              <w:spacing w:after="0"/>
              <w:rPr>
                <w:sz w:val="14"/>
                <w:szCs w:val="14"/>
                <w:color w:val="auto"/>
              </w:rPr>
            </w:pPr>
          </w:p>
        </w:tc>
        <w:tc>
          <w:tcPr>
            <w:tcW w:w="1060" w:type="dxa"/>
            <w:vAlign w:val="bottom"/>
            <w:shd w:val="clear" w:color="auto" w:fill="62259D"/>
          </w:tcPr>
          <w:p>
            <w:pPr>
              <w:spacing w:after="0"/>
              <w:rPr>
                <w:sz w:val="14"/>
                <w:szCs w:val="14"/>
                <w:color w:val="auto"/>
              </w:rPr>
            </w:pPr>
          </w:p>
        </w:tc>
        <w:tc>
          <w:tcPr>
            <w:tcW w:w="280" w:type="dxa"/>
            <w:vAlign w:val="bottom"/>
            <w:shd w:val="clear" w:color="auto" w:fill="62259D"/>
          </w:tcPr>
          <w:p>
            <w:pPr>
              <w:spacing w:after="0"/>
              <w:rPr>
                <w:sz w:val="14"/>
                <w:szCs w:val="14"/>
                <w:color w:val="auto"/>
              </w:rPr>
            </w:pPr>
          </w:p>
        </w:tc>
        <w:tc>
          <w:tcPr>
            <w:tcW w:w="640" w:type="dxa"/>
            <w:vAlign w:val="bottom"/>
            <w:shd w:val="clear" w:color="auto" w:fill="62259D"/>
          </w:tcPr>
          <w:p>
            <w:pPr>
              <w:spacing w:after="0"/>
              <w:rPr>
                <w:sz w:val="14"/>
                <w:szCs w:val="14"/>
                <w:color w:val="auto"/>
              </w:rPr>
            </w:pPr>
          </w:p>
        </w:tc>
        <w:tc>
          <w:tcPr>
            <w:tcW w:w="60" w:type="dxa"/>
            <w:vAlign w:val="bottom"/>
            <w:shd w:val="clear" w:color="auto" w:fill="62259D"/>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0" w:type="dxa"/>
            <w:vAlign w:val="bottom"/>
            <w:shd w:val="clear" w:color="auto" w:fill="62259D"/>
          </w:tcPr>
          <w:p>
            <w:pPr>
              <w:spacing w:after="0"/>
              <w:rPr>
                <w:sz w:val="12"/>
                <w:szCs w:val="12"/>
                <w:color w:val="auto"/>
              </w:rPr>
            </w:pPr>
          </w:p>
        </w:tc>
        <w:tc>
          <w:tcPr>
            <w:tcW w:w="1840" w:type="dxa"/>
            <w:vAlign w:val="bottom"/>
            <w:shd w:val="clear" w:color="auto" w:fill="62259D"/>
          </w:tcPr>
          <w:p>
            <w:pPr>
              <w:spacing w:after="0"/>
              <w:rPr>
                <w:sz w:val="12"/>
                <w:szCs w:val="12"/>
                <w:color w:val="auto"/>
              </w:rPr>
            </w:pPr>
          </w:p>
        </w:tc>
        <w:tc>
          <w:tcPr>
            <w:tcW w:w="120" w:type="dxa"/>
            <w:vAlign w:val="bottom"/>
            <w:shd w:val="clear" w:color="auto" w:fill="62259D"/>
          </w:tcPr>
          <w:p>
            <w:pPr>
              <w:spacing w:after="0"/>
              <w:rPr>
                <w:sz w:val="12"/>
                <w:szCs w:val="12"/>
                <w:color w:val="auto"/>
              </w:rPr>
            </w:pPr>
          </w:p>
        </w:tc>
        <w:tc>
          <w:tcPr>
            <w:tcW w:w="1140" w:type="dxa"/>
            <w:vAlign w:val="bottom"/>
            <w:shd w:val="clear" w:color="auto" w:fill="62259D"/>
          </w:tcPr>
          <w:p>
            <w:pPr>
              <w:spacing w:after="0"/>
              <w:rPr>
                <w:sz w:val="12"/>
                <w:szCs w:val="12"/>
                <w:color w:val="auto"/>
              </w:rPr>
            </w:pPr>
          </w:p>
        </w:tc>
        <w:tc>
          <w:tcPr>
            <w:tcW w:w="60" w:type="dxa"/>
            <w:vAlign w:val="bottom"/>
            <w:shd w:val="clear" w:color="auto" w:fill="62259D"/>
          </w:tcPr>
          <w:p>
            <w:pPr>
              <w:spacing w:after="0"/>
              <w:rPr>
                <w:sz w:val="12"/>
                <w:szCs w:val="12"/>
                <w:color w:val="auto"/>
              </w:rPr>
            </w:pPr>
          </w:p>
        </w:tc>
        <w:tc>
          <w:tcPr>
            <w:tcW w:w="120" w:type="dxa"/>
            <w:vAlign w:val="bottom"/>
            <w:shd w:val="clear" w:color="auto" w:fill="62259D"/>
          </w:tcPr>
          <w:p>
            <w:pPr>
              <w:spacing w:after="0"/>
              <w:rPr>
                <w:sz w:val="12"/>
                <w:szCs w:val="12"/>
                <w:color w:val="auto"/>
              </w:rPr>
            </w:pPr>
          </w:p>
        </w:tc>
        <w:tc>
          <w:tcPr>
            <w:tcW w:w="140" w:type="dxa"/>
            <w:vAlign w:val="bottom"/>
            <w:shd w:val="clear" w:color="auto" w:fill="62259D"/>
          </w:tcPr>
          <w:p>
            <w:pPr>
              <w:spacing w:after="0"/>
              <w:rPr>
                <w:sz w:val="12"/>
                <w:szCs w:val="12"/>
                <w:color w:val="auto"/>
              </w:rPr>
            </w:pPr>
          </w:p>
        </w:tc>
        <w:tc>
          <w:tcPr>
            <w:tcW w:w="460" w:type="dxa"/>
            <w:vAlign w:val="bottom"/>
            <w:shd w:val="clear" w:color="auto" w:fill="62259D"/>
          </w:tcPr>
          <w:p>
            <w:pPr>
              <w:spacing w:after="0"/>
              <w:rPr>
                <w:sz w:val="12"/>
                <w:szCs w:val="12"/>
                <w:color w:val="auto"/>
              </w:rPr>
            </w:pPr>
          </w:p>
        </w:tc>
        <w:tc>
          <w:tcPr>
            <w:tcW w:w="160" w:type="dxa"/>
            <w:vAlign w:val="bottom"/>
            <w:shd w:val="clear" w:color="auto" w:fill="62259D"/>
          </w:tcPr>
          <w:p>
            <w:pPr>
              <w:spacing w:after="0"/>
              <w:rPr>
                <w:sz w:val="12"/>
                <w:szCs w:val="12"/>
                <w:color w:val="auto"/>
              </w:rPr>
            </w:pPr>
          </w:p>
        </w:tc>
        <w:tc>
          <w:tcPr>
            <w:tcW w:w="100" w:type="dxa"/>
            <w:vAlign w:val="bottom"/>
            <w:shd w:val="clear" w:color="auto" w:fill="62259D"/>
          </w:tcPr>
          <w:p>
            <w:pPr>
              <w:spacing w:after="0"/>
              <w:rPr>
                <w:sz w:val="12"/>
                <w:szCs w:val="12"/>
                <w:color w:val="auto"/>
              </w:rPr>
            </w:pPr>
          </w:p>
        </w:tc>
        <w:tc>
          <w:tcPr>
            <w:tcW w:w="420" w:type="dxa"/>
            <w:vAlign w:val="bottom"/>
            <w:shd w:val="clear" w:color="auto" w:fill="62259D"/>
          </w:tcPr>
          <w:p>
            <w:pPr>
              <w:jc w:val="center"/>
              <w:spacing w:after="0" w:line="139" w:lineRule="exact"/>
              <w:rPr>
                <w:sz w:val="20"/>
                <w:szCs w:val="20"/>
                <w:color w:val="auto"/>
              </w:rPr>
            </w:pPr>
            <w:r>
              <w:rPr>
                <w:rFonts w:ascii="Arial" w:cs="Arial" w:eastAsia="Arial" w:hAnsi="Arial"/>
                <w:sz w:val="13"/>
                <w:szCs w:val="13"/>
                <w:b w:val="1"/>
                <w:bCs w:val="1"/>
                <w:color w:val="FEFEFE"/>
              </w:rPr>
              <w:t>Stock</w:t>
            </w:r>
          </w:p>
        </w:tc>
        <w:tc>
          <w:tcPr>
            <w:tcW w:w="280" w:type="dxa"/>
            <w:vAlign w:val="bottom"/>
            <w:shd w:val="clear" w:color="auto" w:fill="62259D"/>
          </w:tcPr>
          <w:p>
            <w:pPr>
              <w:spacing w:after="0"/>
              <w:rPr>
                <w:sz w:val="12"/>
                <w:szCs w:val="12"/>
                <w:color w:val="auto"/>
              </w:rPr>
            </w:pPr>
          </w:p>
        </w:tc>
        <w:tc>
          <w:tcPr>
            <w:tcW w:w="500" w:type="dxa"/>
            <w:vAlign w:val="bottom"/>
            <w:gridSpan w:val="2"/>
            <w:shd w:val="clear" w:color="auto" w:fill="62259D"/>
          </w:tcPr>
          <w:p>
            <w:pPr>
              <w:ind w:left="40"/>
              <w:spacing w:after="0" w:line="139" w:lineRule="exact"/>
              <w:rPr>
                <w:sz w:val="20"/>
                <w:szCs w:val="20"/>
                <w:color w:val="auto"/>
              </w:rPr>
            </w:pPr>
            <w:r>
              <w:rPr>
                <w:rFonts w:ascii="Arial" w:cs="Arial" w:eastAsia="Arial" w:hAnsi="Arial"/>
                <w:sz w:val="13"/>
                <w:szCs w:val="13"/>
                <w:b w:val="1"/>
                <w:bCs w:val="1"/>
                <w:color w:val="FEFEFE"/>
              </w:rPr>
              <w:t>Option</w:t>
            </w:r>
          </w:p>
        </w:tc>
        <w:tc>
          <w:tcPr>
            <w:tcW w:w="180" w:type="dxa"/>
            <w:vAlign w:val="bottom"/>
            <w:shd w:val="clear" w:color="auto" w:fill="62259D"/>
          </w:tcPr>
          <w:p>
            <w:pPr>
              <w:spacing w:after="0"/>
              <w:rPr>
                <w:sz w:val="12"/>
                <w:szCs w:val="12"/>
                <w:color w:val="auto"/>
              </w:rPr>
            </w:pPr>
          </w:p>
        </w:tc>
        <w:tc>
          <w:tcPr>
            <w:tcW w:w="1060" w:type="dxa"/>
            <w:vAlign w:val="bottom"/>
            <w:gridSpan w:val="2"/>
            <w:shd w:val="clear" w:color="auto" w:fill="62259D"/>
          </w:tcPr>
          <w:p>
            <w:pPr>
              <w:jc w:val="center"/>
              <w:spacing w:after="0" w:line="139" w:lineRule="exact"/>
              <w:rPr>
                <w:sz w:val="20"/>
                <w:szCs w:val="20"/>
                <w:color w:val="auto"/>
              </w:rPr>
            </w:pPr>
            <w:r>
              <w:rPr>
                <w:rFonts w:ascii="Arial" w:cs="Arial" w:eastAsia="Arial" w:hAnsi="Arial"/>
                <w:sz w:val="13"/>
                <w:szCs w:val="13"/>
                <w:b w:val="1"/>
                <w:bCs w:val="1"/>
                <w:color w:val="FEFEFE"/>
              </w:rPr>
              <w:t>Incentive Plan</w:t>
            </w:r>
          </w:p>
        </w:tc>
        <w:tc>
          <w:tcPr>
            <w:tcW w:w="180" w:type="dxa"/>
            <w:vAlign w:val="bottom"/>
            <w:shd w:val="clear" w:color="auto" w:fill="62259D"/>
          </w:tcPr>
          <w:p>
            <w:pPr>
              <w:spacing w:after="0"/>
              <w:rPr>
                <w:sz w:val="12"/>
                <w:szCs w:val="12"/>
                <w:color w:val="auto"/>
              </w:rPr>
            </w:pPr>
          </w:p>
        </w:tc>
        <w:tc>
          <w:tcPr>
            <w:tcW w:w="1060" w:type="dxa"/>
            <w:vAlign w:val="bottom"/>
            <w:shd w:val="clear" w:color="auto" w:fill="62259D"/>
          </w:tcPr>
          <w:p>
            <w:pPr>
              <w:jc w:val="center"/>
              <w:spacing w:after="0" w:line="139" w:lineRule="exact"/>
              <w:rPr>
                <w:sz w:val="20"/>
                <w:szCs w:val="20"/>
                <w:color w:val="auto"/>
              </w:rPr>
            </w:pPr>
            <w:r>
              <w:rPr>
                <w:rFonts w:ascii="Arial" w:cs="Arial" w:eastAsia="Arial" w:hAnsi="Arial"/>
                <w:sz w:val="13"/>
                <w:szCs w:val="13"/>
                <w:b w:val="1"/>
                <w:bCs w:val="1"/>
                <w:color w:val="FEFEFE"/>
              </w:rPr>
              <w:t>All Other</w:t>
            </w:r>
          </w:p>
        </w:tc>
        <w:tc>
          <w:tcPr>
            <w:tcW w:w="280" w:type="dxa"/>
            <w:vAlign w:val="bottom"/>
            <w:shd w:val="clear" w:color="auto" w:fill="62259D"/>
          </w:tcPr>
          <w:p>
            <w:pPr>
              <w:spacing w:after="0"/>
              <w:rPr>
                <w:sz w:val="12"/>
                <w:szCs w:val="12"/>
                <w:color w:val="auto"/>
              </w:rPr>
            </w:pPr>
          </w:p>
        </w:tc>
        <w:tc>
          <w:tcPr>
            <w:tcW w:w="640" w:type="dxa"/>
            <w:vAlign w:val="bottom"/>
            <w:shd w:val="clear" w:color="auto" w:fill="62259D"/>
          </w:tcPr>
          <w:p>
            <w:pPr>
              <w:spacing w:after="0"/>
              <w:rPr>
                <w:sz w:val="12"/>
                <w:szCs w:val="12"/>
                <w:color w:val="auto"/>
              </w:rPr>
            </w:pPr>
          </w:p>
        </w:tc>
        <w:tc>
          <w:tcPr>
            <w:tcW w:w="60" w:type="dxa"/>
            <w:vAlign w:val="bottom"/>
            <w:shd w:val="clear" w:color="auto" w:fill="62259D"/>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0" w:type="dxa"/>
            <w:vAlign w:val="bottom"/>
            <w:shd w:val="clear" w:color="auto" w:fill="62259D"/>
          </w:tcPr>
          <w:p>
            <w:pPr>
              <w:spacing w:after="0"/>
              <w:rPr>
                <w:sz w:val="13"/>
                <w:szCs w:val="13"/>
                <w:color w:val="auto"/>
              </w:rPr>
            </w:pPr>
          </w:p>
        </w:tc>
        <w:tc>
          <w:tcPr>
            <w:tcW w:w="1840" w:type="dxa"/>
            <w:vAlign w:val="bottom"/>
            <w:shd w:val="clear" w:color="auto" w:fill="62259D"/>
          </w:tcPr>
          <w:p>
            <w:pPr>
              <w:spacing w:after="0"/>
              <w:rPr>
                <w:sz w:val="13"/>
                <w:szCs w:val="13"/>
                <w:color w:val="auto"/>
              </w:rPr>
            </w:pPr>
          </w:p>
        </w:tc>
        <w:tc>
          <w:tcPr>
            <w:tcW w:w="120" w:type="dxa"/>
            <w:vAlign w:val="bottom"/>
            <w:shd w:val="clear" w:color="auto" w:fill="62259D"/>
          </w:tcPr>
          <w:p>
            <w:pPr>
              <w:spacing w:after="0"/>
              <w:rPr>
                <w:sz w:val="13"/>
                <w:szCs w:val="13"/>
                <w:color w:val="auto"/>
              </w:rPr>
            </w:pPr>
          </w:p>
        </w:tc>
        <w:tc>
          <w:tcPr>
            <w:tcW w:w="1140" w:type="dxa"/>
            <w:vAlign w:val="bottom"/>
            <w:shd w:val="clear" w:color="auto" w:fill="62259D"/>
          </w:tcPr>
          <w:p>
            <w:pPr>
              <w:jc w:val="right"/>
              <w:ind w:right="79"/>
              <w:spacing w:after="0"/>
              <w:rPr>
                <w:sz w:val="20"/>
                <w:szCs w:val="20"/>
                <w:color w:val="auto"/>
              </w:rPr>
            </w:pPr>
            <w:r>
              <w:rPr>
                <w:rFonts w:ascii="Arial" w:cs="Arial" w:eastAsia="Arial" w:hAnsi="Arial"/>
                <w:sz w:val="13"/>
                <w:szCs w:val="13"/>
                <w:b w:val="1"/>
                <w:bCs w:val="1"/>
                <w:color w:val="FEFEFE"/>
              </w:rPr>
              <w:t>Salary</w:t>
            </w:r>
          </w:p>
        </w:tc>
        <w:tc>
          <w:tcPr>
            <w:tcW w:w="60" w:type="dxa"/>
            <w:vAlign w:val="bottom"/>
            <w:shd w:val="clear" w:color="auto" w:fill="62259D"/>
          </w:tcPr>
          <w:p>
            <w:pPr>
              <w:spacing w:after="0"/>
              <w:rPr>
                <w:sz w:val="13"/>
                <w:szCs w:val="13"/>
                <w:color w:val="auto"/>
              </w:rPr>
            </w:pPr>
          </w:p>
        </w:tc>
        <w:tc>
          <w:tcPr>
            <w:tcW w:w="120" w:type="dxa"/>
            <w:vAlign w:val="bottom"/>
            <w:shd w:val="clear" w:color="auto" w:fill="62259D"/>
          </w:tcPr>
          <w:p>
            <w:pPr>
              <w:spacing w:after="0"/>
              <w:rPr>
                <w:sz w:val="13"/>
                <w:szCs w:val="13"/>
                <w:color w:val="auto"/>
              </w:rPr>
            </w:pPr>
          </w:p>
        </w:tc>
        <w:tc>
          <w:tcPr>
            <w:tcW w:w="600" w:type="dxa"/>
            <w:vAlign w:val="bottom"/>
            <w:gridSpan w:val="2"/>
            <w:shd w:val="clear" w:color="auto" w:fill="62259D"/>
          </w:tcPr>
          <w:p>
            <w:pPr>
              <w:jc w:val="right"/>
              <w:ind w:right="79"/>
              <w:spacing w:after="0"/>
              <w:rPr>
                <w:sz w:val="20"/>
                <w:szCs w:val="20"/>
                <w:color w:val="auto"/>
              </w:rPr>
            </w:pPr>
            <w:r>
              <w:rPr>
                <w:rFonts w:ascii="Arial" w:cs="Arial" w:eastAsia="Arial" w:hAnsi="Arial"/>
                <w:sz w:val="13"/>
                <w:szCs w:val="13"/>
                <w:b w:val="1"/>
                <w:bCs w:val="1"/>
                <w:color w:val="FEFEFE"/>
              </w:rPr>
              <w:t>Bonus</w:t>
            </w:r>
          </w:p>
        </w:tc>
        <w:tc>
          <w:tcPr>
            <w:tcW w:w="160" w:type="dxa"/>
            <w:vAlign w:val="bottom"/>
            <w:shd w:val="clear" w:color="auto" w:fill="62259D"/>
          </w:tcPr>
          <w:p>
            <w:pPr>
              <w:spacing w:after="0"/>
              <w:rPr>
                <w:sz w:val="13"/>
                <w:szCs w:val="13"/>
                <w:color w:val="auto"/>
              </w:rPr>
            </w:pPr>
          </w:p>
        </w:tc>
        <w:tc>
          <w:tcPr>
            <w:tcW w:w="800" w:type="dxa"/>
            <w:vAlign w:val="bottom"/>
            <w:gridSpan w:val="3"/>
            <w:shd w:val="clear" w:color="auto" w:fill="62259D"/>
          </w:tcPr>
          <w:p>
            <w:pPr>
              <w:jc w:val="center"/>
              <w:ind w:right="127"/>
              <w:spacing w:after="0" w:line="158" w:lineRule="exact"/>
              <w:rPr>
                <w:sz w:val="20"/>
                <w:szCs w:val="20"/>
                <w:color w:val="auto"/>
              </w:rPr>
            </w:pPr>
            <w:r>
              <w:rPr>
                <w:rFonts w:ascii="Arial" w:cs="Arial" w:eastAsia="Arial" w:hAnsi="Arial"/>
                <w:sz w:val="13"/>
                <w:szCs w:val="13"/>
                <w:b w:val="1"/>
                <w:bCs w:val="1"/>
                <w:color w:val="FEFEFE"/>
                <w:w w:val="99"/>
              </w:rPr>
              <w:t>Awards</w:t>
            </w:r>
            <w:r>
              <w:rPr>
                <w:rFonts w:ascii="Arial" w:cs="Arial" w:eastAsia="Arial" w:hAnsi="Arial"/>
                <w:sz w:val="16"/>
                <w:szCs w:val="16"/>
                <w:b w:val="1"/>
                <w:bCs w:val="1"/>
                <w:color w:val="FEFEFE"/>
                <w:w w:val="99"/>
                <w:vertAlign w:val="superscript"/>
              </w:rPr>
              <w:t>(1)</w:t>
            </w:r>
          </w:p>
        </w:tc>
        <w:tc>
          <w:tcPr>
            <w:tcW w:w="500" w:type="dxa"/>
            <w:vAlign w:val="bottom"/>
            <w:gridSpan w:val="2"/>
            <w:shd w:val="clear" w:color="auto" w:fill="62259D"/>
          </w:tcPr>
          <w:p>
            <w:pPr>
              <w:spacing w:after="0"/>
              <w:rPr>
                <w:sz w:val="20"/>
                <w:szCs w:val="20"/>
                <w:color w:val="auto"/>
              </w:rPr>
            </w:pPr>
            <w:r>
              <w:rPr>
                <w:rFonts w:ascii="Arial" w:cs="Arial" w:eastAsia="Arial" w:hAnsi="Arial"/>
                <w:sz w:val="13"/>
                <w:szCs w:val="13"/>
                <w:b w:val="1"/>
                <w:bCs w:val="1"/>
                <w:color w:val="FEFEFE"/>
              </w:rPr>
              <w:t>Awards</w:t>
            </w:r>
          </w:p>
        </w:tc>
        <w:tc>
          <w:tcPr>
            <w:tcW w:w="180" w:type="dxa"/>
            <w:vAlign w:val="bottom"/>
            <w:shd w:val="clear" w:color="auto" w:fill="62259D"/>
          </w:tcPr>
          <w:p>
            <w:pPr>
              <w:spacing w:after="0"/>
              <w:rPr>
                <w:sz w:val="13"/>
                <w:szCs w:val="13"/>
                <w:color w:val="auto"/>
              </w:rPr>
            </w:pPr>
          </w:p>
        </w:tc>
        <w:tc>
          <w:tcPr>
            <w:tcW w:w="1060" w:type="dxa"/>
            <w:vAlign w:val="bottom"/>
            <w:gridSpan w:val="2"/>
            <w:shd w:val="clear" w:color="auto" w:fill="62259D"/>
          </w:tcPr>
          <w:p>
            <w:pPr>
              <w:jc w:val="center"/>
              <w:spacing w:after="0" w:line="158" w:lineRule="exact"/>
              <w:rPr>
                <w:sz w:val="20"/>
                <w:szCs w:val="20"/>
                <w:color w:val="auto"/>
              </w:rPr>
            </w:pPr>
            <w:r>
              <w:rPr>
                <w:rFonts w:ascii="Arial" w:cs="Arial" w:eastAsia="Arial" w:hAnsi="Arial"/>
                <w:sz w:val="13"/>
                <w:szCs w:val="13"/>
                <w:b w:val="1"/>
                <w:bCs w:val="1"/>
                <w:color w:val="FEFEFE"/>
              </w:rPr>
              <w:t>Compensation</w:t>
            </w:r>
            <w:r>
              <w:rPr>
                <w:rFonts w:ascii="Arial" w:cs="Arial" w:eastAsia="Arial" w:hAnsi="Arial"/>
                <w:sz w:val="16"/>
                <w:szCs w:val="16"/>
                <w:b w:val="1"/>
                <w:bCs w:val="1"/>
                <w:color w:val="FEFEFE"/>
                <w:vertAlign w:val="superscript"/>
              </w:rPr>
              <w:t>(2)</w:t>
            </w:r>
          </w:p>
        </w:tc>
        <w:tc>
          <w:tcPr>
            <w:tcW w:w="180" w:type="dxa"/>
            <w:vAlign w:val="bottom"/>
            <w:shd w:val="clear" w:color="auto" w:fill="62259D"/>
          </w:tcPr>
          <w:p>
            <w:pPr>
              <w:spacing w:after="0"/>
              <w:rPr>
                <w:sz w:val="13"/>
                <w:szCs w:val="13"/>
                <w:color w:val="auto"/>
              </w:rPr>
            </w:pPr>
          </w:p>
        </w:tc>
        <w:tc>
          <w:tcPr>
            <w:tcW w:w="1060" w:type="dxa"/>
            <w:vAlign w:val="bottom"/>
            <w:shd w:val="clear" w:color="auto" w:fill="62259D"/>
          </w:tcPr>
          <w:p>
            <w:pPr>
              <w:jc w:val="center"/>
              <w:spacing w:after="0" w:line="158" w:lineRule="exact"/>
              <w:rPr>
                <w:sz w:val="20"/>
                <w:szCs w:val="20"/>
                <w:color w:val="auto"/>
              </w:rPr>
            </w:pPr>
            <w:r>
              <w:rPr>
                <w:rFonts w:ascii="Arial" w:cs="Arial" w:eastAsia="Arial" w:hAnsi="Arial"/>
                <w:sz w:val="13"/>
                <w:szCs w:val="13"/>
                <w:b w:val="1"/>
                <w:bCs w:val="1"/>
                <w:color w:val="FEFEFE"/>
              </w:rPr>
              <w:t>Compensation</w:t>
            </w:r>
            <w:r>
              <w:rPr>
                <w:rFonts w:ascii="Arial" w:cs="Arial" w:eastAsia="Arial" w:hAnsi="Arial"/>
                <w:sz w:val="16"/>
                <w:szCs w:val="16"/>
                <w:b w:val="1"/>
                <w:bCs w:val="1"/>
                <w:color w:val="FEFEFE"/>
                <w:vertAlign w:val="superscript"/>
              </w:rPr>
              <w:t>(3)</w:t>
            </w:r>
          </w:p>
        </w:tc>
        <w:tc>
          <w:tcPr>
            <w:tcW w:w="280" w:type="dxa"/>
            <w:vAlign w:val="bottom"/>
            <w:shd w:val="clear" w:color="auto" w:fill="62259D"/>
          </w:tcPr>
          <w:p>
            <w:pPr>
              <w:spacing w:after="0"/>
              <w:rPr>
                <w:sz w:val="13"/>
                <w:szCs w:val="13"/>
                <w:color w:val="auto"/>
              </w:rPr>
            </w:pPr>
          </w:p>
        </w:tc>
        <w:tc>
          <w:tcPr>
            <w:tcW w:w="640" w:type="dxa"/>
            <w:vAlign w:val="bottom"/>
            <w:shd w:val="clear" w:color="auto" w:fill="62259D"/>
          </w:tcPr>
          <w:p>
            <w:pPr>
              <w:jc w:val="right"/>
              <w:ind w:right="217"/>
              <w:spacing w:after="0"/>
              <w:rPr>
                <w:sz w:val="20"/>
                <w:szCs w:val="20"/>
                <w:color w:val="auto"/>
              </w:rPr>
            </w:pPr>
            <w:r>
              <w:rPr>
                <w:rFonts w:ascii="Arial" w:cs="Arial" w:eastAsia="Arial" w:hAnsi="Arial"/>
                <w:sz w:val="13"/>
                <w:szCs w:val="13"/>
                <w:b w:val="1"/>
                <w:bCs w:val="1"/>
                <w:color w:val="FEFEFE"/>
              </w:rPr>
              <w:t>Total</w:t>
            </w:r>
          </w:p>
        </w:tc>
        <w:tc>
          <w:tcPr>
            <w:tcW w:w="60" w:type="dxa"/>
            <w:vAlign w:val="bottom"/>
            <w:shd w:val="clear" w:color="auto" w:fill="62259D"/>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0" w:type="dxa"/>
            <w:vAlign w:val="bottom"/>
            <w:shd w:val="clear" w:color="auto" w:fill="62259D"/>
          </w:tcPr>
          <w:p>
            <w:pPr>
              <w:spacing w:after="0"/>
              <w:rPr>
                <w:sz w:val="14"/>
                <w:szCs w:val="14"/>
                <w:color w:val="auto"/>
              </w:rPr>
            </w:pPr>
          </w:p>
        </w:tc>
        <w:tc>
          <w:tcPr>
            <w:tcW w:w="1840" w:type="dxa"/>
            <w:vAlign w:val="bottom"/>
            <w:shd w:val="clear" w:color="auto" w:fill="62259D"/>
          </w:tcPr>
          <w:p>
            <w:pPr>
              <w:spacing w:after="0"/>
              <w:rPr>
                <w:sz w:val="20"/>
                <w:szCs w:val="20"/>
                <w:color w:val="auto"/>
              </w:rPr>
            </w:pPr>
            <w:r>
              <w:rPr>
                <w:rFonts w:ascii="Arial" w:cs="Arial" w:eastAsia="Arial" w:hAnsi="Arial"/>
                <w:sz w:val="13"/>
                <w:szCs w:val="13"/>
                <w:b w:val="1"/>
                <w:bCs w:val="1"/>
                <w:color w:val="FEFEFE"/>
              </w:rPr>
              <w:t>​ Name &amp; Principal Position</w:t>
            </w:r>
          </w:p>
        </w:tc>
        <w:tc>
          <w:tcPr>
            <w:tcW w:w="1260" w:type="dxa"/>
            <w:vAlign w:val="bottom"/>
            <w:gridSpan w:val="2"/>
            <w:shd w:val="clear" w:color="auto" w:fill="62259D"/>
          </w:tcPr>
          <w:p>
            <w:pPr>
              <w:jc w:val="right"/>
              <w:ind w:right="179"/>
              <w:spacing w:after="0"/>
              <w:rPr>
                <w:sz w:val="20"/>
                <w:szCs w:val="20"/>
                <w:color w:val="auto"/>
              </w:rPr>
            </w:pPr>
            <w:r>
              <w:rPr>
                <w:rFonts w:ascii="Arial" w:cs="Arial" w:eastAsia="Arial" w:hAnsi="Arial"/>
                <w:sz w:val="13"/>
                <w:szCs w:val="13"/>
                <w:b w:val="1"/>
                <w:bCs w:val="1"/>
                <w:color w:val="FEFEFE"/>
              </w:rPr>
              <w:t>​ ​ Year ​ ​   ($)</w:t>
            </w:r>
          </w:p>
        </w:tc>
        <w:tc>
          <w:tcPr>
            <w:tcW w:w="60" w:type="dxa"/>
            <w:vAlign w:val="bottom"/>
            <w:shd w:val="clear" w:color="auto" w:fill="62259D"/>
          </w:tcPr>
          <w:p>
            <w:pPr>
              <w:jc w:val="right"/>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62259D"/>
          </w:tcPr>
          <w:p>
            <w:pPr>
              <w:ind w:left="80"/>
              <w:spacing w:after="0"/>
              <w:rPr>
                <w:sz w:val="20"/>
                <w:szCs w:val="20"/>
                <w:color w:val="auto"/>
              </w:rPr>
            </w:pPr>
            <w:r>
              <w:rPr>
                <w:rFonts w:ascii="Arial" w:cs="Arial" w:eastAsia="Arial" w:hAnsi="Arial"/>
                <w:sz w:val="13"/>
                <w:szCs w:val="13"/>
                <w:b w:val="1"/>
                <w:bCs w:val="1"/>
                <w:color w:val="FEFEFE"/>
              </w:rPr>
              <w:t>​</w:t>
            </w:r>
          </w:p>
        </w:tc>
        <w:tc>
          <w:tcPr>
            <w:tcW w:w="140" w:type="dxa"/>
            <w:vAlign w:val="bottom"/>
            <w:shd w:val="clear" w:color="auto" w:fill="62259D"/>
          </w:tcPr>
          <w:p>
            <w:pPr>
              <w:spacing w:after="0"/>
              <w:rPr>
                <w:sz w:val="14"/>
                <w:szCs w:val="14"/>
                <w:color w:val="auto"/>
              </w:rPr>
            </w:pPr>
          </w:p>
        </w:tc>
        <w:tc>
          <w:tcPr>
            <w:tcW w:w="460" w:type="dxa"/>
            <w:vAlign w:val="bottom"/>
            <w:shd w:val="clear" w:color="auto" w:fill="62259D"/>
          </w:tcPr>
          <w:p>
            <w:pPr>
              <w:jc w:val="right"/>
              <w:ind w:right="179"/>
              <w:spacing w:after="0"/>
              <w:rPr>
                <w:sz w:val="20"/>
                <w:szCs w:val="20"/>
                <w:color w:val="auto"/>
              </w:rPr>
            </w:pPr>
            <w:r>
              <w:rPr>
                <w:rFonts w:ascii="Arial" w:cs="Arial" w:eastAsia="Arial" w:hAnsi="Arial"/>
                <w:sz w:val="13"/>
                <w:szCs w:val="13"/>
                <w:b w:val="1"/>
                <w:bCs w:val="1"/>
                <w:color w:val="FEFEFE"/>
              </w:rPr>
              <w:t>($)</w:t>
            </w:r>
          </w:p>
        </w:tc>
        <w:tc>
          <w:tcPr>
            <w:tcW w:w="160" w:type="dxa"/>
            <w:vAlign w:val="bottom"/>
            <w:shd w:val="clear" w:color="auto" w:fill="62259D"/>
          </w:tcPr>
          <w:p>
            <w:pPr>
              <w:jc w:val="center"/>
              <w:spacing w:after="0"/>
              <w:rPr>
                <w:sz w:val="20"/>
                <w:szCs w:val="20"/>
                <w:color w:val="auto"/>
              </w:rPr>
            </w:pPr>
            <w:r>
              <w:rPr>
                <w:rFonts w:ascii="Arial" w:cs="Arial" w:eastAsia="Arial" w:hAnsi="Arial"/>
                <w:sz w:val="13"/>
                <w:szCs w:val="13"/>
                <w:b w:val="1"/>
                <w:bCs w:val="1"/>
                <w:color w:val="FEFEFE"/>
              </w:rPr>
              <w:t>​ ​</w:t>
            </w:r>
          </w:p>
        </w:tc>
        <w:tc>
          <w:tcPr>
            <w:tcW w:w="100" w:type="dxa"/>
            <w:vAlign w:val="bottom"/>
            <w:shd w:val="clear" w:color="auto" w:fill="62259D"/>
          </w:tcPr>
          <w:p>
            <w:pPr>
              <w:spacing w:after="0"/>
              <w:rPr>
                <w:sz w:val="14"/>
                <w:szCs w:val="14"/>
                <w:color w:val="auto"/>
              </w:rPr>
            </w:pPr>
          </w:p>
        </w:tc>
        <w:tc>
          <w:tcPr>
            <w:tcW w:w="420" w:type="dxa"/>
            <w:vAlign w:val="bottom"/>
            <w:shd w:val="clear" w:color="auto" w:fill="62259D"/>
          </w:tcPr>
          <w:p>
            <w:pPr>
              <w:jc w:val="center"/>
              <w:spacing w:after="0"/>
              <w:rPr>
                <w:sz w:val="20"/>
                <w:szCs w:val="20"/>
                <w:color w:val="auto"/>
              </w:rPr>
            </w:pPr>
            <w:r>
              <w:rPr>
                <w:rFonts w:ascii="Arial" w:cs="Arial" w:eastAsia="Arial" w:hAnsi="Arial"/>
                <w:sz w:val="13"/>
                <w:szCs w:val="13"/>
                <w:b w:val="1"/>
                <w:bCs w:val="1"/>
                <w:color w:val="FEFEFE"/>
              </w:rPr>
              <w:t>($)</w:t>
            </w:r>
          </w:p>
        </w:tc>
        <w:tc>
          <w:tcPr>
            <w:tcW w:w="280" w:type="dxa"/>
            <w:vAlign w:val="bottom"/>
            <w:shd w:val="clear" w:color="auto" w:fill="62259D"/>
          </w:tcPr>
          <w:p>
            <w:pPr>
              <w:jc w:val="right"/>
              <w:spacing w:after="0"/>
              <w:rPr>
                <w:sz w:val="20"/>
                <w:szCs w:val="20"/>
                <w:color w:val="auto"/>
              </w:rPr>
            </w:pPr>
            <w:r>
              <w:rPr>
                <w:rFonts w:ascii="Arial" w:cs="Arial" w:eastAsia="Arial" w:hAnsi="Arial"/>
                <w:sz w:val="13"/>
                <w:szCs w:val="13"/>
                <w:b w:val="1"/>
                <w:bCs w:val="1"/>
                <w:color w:val="FEFEFE"/>
              </w:rPr>
              <w:t>​ ​</w:t>
            </w:r>
          </w:p>
        </w:tc>
        <w:tc>
          <w:tcPr>
            <w:tcW w:w="500" w:type="dxa"/>
            <w:vAlign w:val="bottom"/>
            <w:gridSpan w:val="2"/>
            <w:shd w:val="clear" w:color="auto" w:fill="62259D"/>
          </w:tcPr>
          <w:p>
            <w:pPr>
              <w:ind w:left="180"/>
              <w:spacing w:after="0"/>
              <w:rPr>
                <w:sz w:val="20"/>
                <w:szCs w:val="20"/>
                <w:color w:val="auto"/>
              </w:rPr>
            </w:pPr>
            <w:r>
              <w:rPr>
                <w:rFonts w:ascii="Arial" w:cs="Arial" w:eastAsia="Arial" w:hAnsi="Arial"/>
                <w:sz w:val="13"/>
                <w:szCs w:val="13"/>
                <w:b w:val="1"/>
                <w:bCs w:val="1"/>
                <w:color w:val="FEFEFE"/>
              </w:rPr>
              <w:t>($)</w:t>
            </w:r>
          </w:p>
        </w:tc>
        <w:tc>
          <w:tcPr>
            <w:tcW w:w="180" w:type="dxa"/>
            <w:vAlign w:val="bottom"/>
            <w:shd w:val="clear" w:color="auto" w:fill="62259D"/>
          </w:tcPr>
          <w:p>
            <w:pPr>
              <w:ind w:left="80"/>
              <w:spacing w:after="0"/>
              <w:rPr>
                <w:sz w:val="20"/>
                <w:szCs w:val="20"/>
                <w:color w:val="auto"/>
              </w:rPr>
            </w:pPr>
            <w:r>
              <w:rPr>
                <w:rFonts w:ascii="Arial" w:cs="Arial" w:eastAsia="Arial" w:hAnsi="Arial"/>
                <w:sz w:val="13"/>
                <w:szCs w:val="13"/>
                <w:b w:val="1"/>
                <w:bCs w:val="1"/>
                <w:color w:val="FEFEFE"/>
              </w:rPr>
              <w:t>​ ​</w:t>
            </w:r>
          </w:p>
        </w:tc>
        <w:tc>
          <w:tcPr>
            <w:tcW w:w="340" w:type="dxa"/>
            <w:vAlign w:val="bottom"/>
            <w:shd w:val="clear" w:color="auto" w:fill="62259D"/>
          </w:tcPr>
          <w:p>
            <w:pPr>
              <w:spacing w:after="0"/>
              <w:rPr>
                <w:sz w:val="14"/>
                <w:szCs w:val="14"/>
                <w:color w:val="auto"/>
              </w:rPr>
            </w:pPr>
          </w:p>
        </w:tc>
        <w:tc>
          <w:tcPr>
            <w:tcW w:w="720" w:type="dxa"/>
            <w:vAlign w:val="bottom"/>
            <w:shd w:val="clear" w:color="auto" w:fill="62259D"/>
          </w:tcPr>
          <w:p>
            <w:pPr>
              <w:jc w:val="right"/>
              <w:ind w:right="374"/>
              <w:spacing w:after="0"/>
              <w:rPr>
                <w:sz w:val="20"/>
                <w:szCs w:val="20"/>
                <w:color w:val="auto"/>
              </w:rPr>
            </w:pPr>
            <w:r>
              <w:rPr>
                <w:rFonts w:ascii="Arial" w:cs="Arial" w:eastAsia="Arial" w:hAnsi="Arial"/>
                <w:sz w:val="13"/>
                <w:szCs w:val="13"/>
                <w:b w:val="1"/>
                <w:bCs w:val="1"/>
                <w:color w:val="FEFEFE"/>
              </w:rPr>
              <w:t>($)</w:t>
            </w:r>
          </w:p>
        </w:tc>
        <w:tc>
          <w:tcPr>
            <w:tcW w:w="180" w:type="dxa"/>
            <w:vAlign w:val="bottom"/>
            <w:shd w:val="clear" w:color="auto" w:fill="62259D"/>
          </w:tcPr>
          <w:p>
            <w:pPr>
              <w:ind w:left="60"/>
              <w:spacing w:after="0"/>
              <w:rPr>
                <w:sz w:val="20"/>
                <w:szCs w:val="20"/>
                <w:color w:val="auto"/>
              </w:rPr>
            </w:pPr>
            <w:r>
              <w:rPr>
                <w:rFonts w:ascii="Arial" w:cs="Arial" w:eastAsia="Arial" w:hAnsi="Arial"/>
                <w:sz w:val="13"/>
                <w:szCs w:val="13"/>
                <w:b w:val="1"/>
                <w:bCs w:val="1"/>
                <w:color w:val="FEFEFE"/>
              </w:rPr>
              <w:t>​ ​</w:t>
            </w:r>
          </w:p>
        </w:tc>
        <w:tc>
          <w:tcPr>
            <w:tcW w:w="1060" w:type="dxa"/>
            <w:vAlign w:val="bottom"/>
            <w:shd w:val="clear" w:color="auto" w:fill="62259D"/>
          </w:tcPr>
          <w:p>
            <w:pPr>
              <w:jc w:val="right"/>
              <w:ind w:right="383"/>
              <w:spacing w:after="0"/>
              <w:rPr>
                <w:sz w:val="20"/>
                <w:szCs w:val="20"/>
                <w:color w:val="auto"/>
              </w:rPr>
            </w:pPr>
            <w:r>
              <w:rPr>
                <w:rFonts w:ascii="Arial" w:cs="Arial" w:eastAsia="Arial" w:hAnsi="Arial"/>
                <w:sz w:val="13"/>
                <w:szCs w:val="13"/>
                <w:b w:val="1"/>
                <w:bCs w:val="1"/>
                <w:color w:val="FEFEFE"/>
              </w:rPr>
              <w:t>($)</w:t>
            </w:r>
          </w:p>
        </w:tc>
        <w:tc>
          <w:tcPr>
            <w:tcW w:w="280" w:type="dxa"/>
            <w:vAlign w:val="bottom"/>
            <w:shd w:val="clear" w:color="auto" w:fill="62259D"/>
          </w:tcPr>
          <w:p>
            <w:pPr>
              <w:jc w:val="center"/>
              <w:spacing w:after="0"/>
              <w:rPr>
                <w:sz w:val="20"/>
                <w:szCs w:val="20"/>
                <w:color w:val="auto"/>
              </w:rPr>
            </w:pPr>
            <w:r>
              <w:rPr>
                <w:rFonts w:ascii="Arial" w:cs="Arial" w:eastAsia="Arial" w:hAnsi="Arial"/>
                <w:sz w:val="13"/>
                <w:szCs w:val="13"/>
                <w:b w:val="1"/>
                <w:bCs w:val="1"/>
                <w:color w:val="FEFEFE"/>
              </w:rPr>
              <w:t>​ ​</w:t>
            </w:r>
          </w:p>
        </w:tc>
        <w:tc>
          <w:tcPr>
            <w:tcW w:w="640" w:type="dxa"/>
            <w:vAlign w:val="bottom"/>
            <w:shd w:val="clear" w:color="auto" w:fill="62259D"/>
          </w:tcPr>
          <w:p>
            <w:pPr>
              <w:jc w:val="right"/>
              <w:ind w:right="277"/>
              <w:spacing w:after="0"/>
              <w:rPr>
                <w:sz w:val="20"/>
                <w:szCs w:val="20"/>
                <w:color w:val="auto"/>
              </w:rPr>
            </w:pPr>
            <w:r>
              <w:rPr>
                <w:rFonts w:ascii="Arial" w:cs="Arial" w:eastAsia="Arial" w:hAnsi="Arial"/>
                <w:sz w:val="13"/>
                <w:szCs w:val="13"/>
                <w:b w:val="1"/>
                <w:bCs w:val="1"/>
                <w:color w:val="FEFEFE"/>
              </w:rPr>
              <w:t>($)</w:t>
            </w:r>
          </w:p>
        </w:tc>
        <w:tc>
          <w:tcPr>
            <w:tcW w:w="60" w:type="dxa"/>
            <w:vAlign w:val="bottom"/>
            <w:shd w:val="clear" w:color="auto" w:fill="62259D"/>
          </w:tcPr>
          <w:p>
            <w:pPr>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20"/>
                <w:szCs w:val="20"/>
                <w:color w:val="auto"/>
              </w:rPr>
            </w:pPr>
            <w:r>
              <w:rPr>
                <w:rFonts w:ascii="Arial" w:cs="Arial" w:eastAsia="Arial" w:hAnsi="Arial"/>
                <w:sz w:val="14"/>
                <w:szCs w:val="14"/>
                <w:color w:val="auto"/>
              </w:rPr>
              <w:t>​</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Bruce McClelland</w:t>
            </w:r>
            <w:r>
              <w:rPr>
                <w:rFonts w:ascii="Arial" w:cs="Arial" w:eastAsia="Arial" w:hAnsi="Arial"/>
                <w:sz w:val="14"/>
                <w:szCs w:val="14"/>
                <w:color w:val="auto"/>
              </w:rPr>
              <w:t>,</w:t>
            </w:r>
          </w:p>
        </w:tc>
        <w:tc>
          <w:tcPr>
            <w:tcW w:w="1260" w:type="dxa"/>
            <w:vAlign w:val="bottom"/>
            <w:gridSpan w:val="2"/>
          </w:tcPr>
          <w:p>
            <w:pPr>
              <w:jc w:val="right"/>
              <w:spacing w:after="0" w:line="166" w:lineRule="exact"/>
              <w:rPr>
                <w:sz w:val="20"/>
                <w:szCs w:val="20"/>
                <w:color w:val="auto"/>
              </w:rPr>
            </w:pPr>
            <w:r>
              <w:rPr>
                <w:rFonts w:ascii="Arial" w:cs="Arial" w:eastAsia="Arial" w:hAnsi="Arial"/>
                <w:sz w:val="19"/>
                <w:szCs w:val="19"/>
                <w:color w:val="auto"/>
                <w:vertAlign w:val="superscript"/>
              </w:rPr>
              <w:t>​ ​ ​</w:t>
            </w:r>
            <w:r>
              <w:rPr>
                <w:rFonts w:ascii="Arial" w:cs="Arial" w:eastAsia="Arial" w:hAnsi="Arial"/>
                <w:sz w:val="11"/>
                <w:szCs w:val="11"/>
                <w:color w:val="auto"/>
              </w:rPr>
              <w:t>​2024</w:t>
            </w:r>
            <w:r>
              <w:rPr>
                <w:rFonts w:ascii="Arial" w:cs="Arial" w:eastAsia="Arial" w:hAnsi="Arial"/>
                <w:sz w:val="19"/>
                <w:szCs w:val="19"/>
                <w:color w:val="auto"/>
                <w:vertAlign w:val="superscript"/>
              </w:rPr>
              <w:t>​ ​ ​</w:t>
            </w:r>
            <w:r>
              <w:rPr>
                <w:rFonts w:ascii="Arial" w:cs="Arial" w:eastAsia="Arial" w:hAnsi="Arial"/>
                <w:sz w:val="11"/>
                <w:szCs w:val="11"/>
                <w:color w:val="auto"/>
              </w:rPr>
              <w:t>​750,000</w:t>
            </w:r>
            <w:r>
              <w:rPr>
                <w:rFonts w:ascii="Arial" w:cs="Arial" w:eastAsia="Arial" w:hAnsi="Arial"/>
                <w:sz w:val="19"/>
                <w:szCs w:val="19"/>
                <w:color w:val="auto"/>
                <w:vertAlign w:val="superscript"/>
              </w:rPr>
              <w:t>​</w:t>
            </w:r>
          </w:p>
        </w:tc>
        <w:tc>
          <w:tcPr>
            <w:tcW w:w="6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line="166"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bscript"/>
              </w:rPr>
              <w:t>​</w:t>
            </w:r>
          </w:p>
        </w:tc>
        <w:tc>
          <w:tcPr>
            <w:tcW w:w="460" w:type="dxa"/>
            <w:vAlign w:val="bottom"/>
          </w:tcPr>
          <w:p>
            <w:pPr>
              <w:jc w:val="right"/>
              <w:spacing w:after="0" w:line="166"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perscript"/>
              </w:rPr>
              <w:t>​</w:t>
            </w: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line="166"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​3,141,452</w:t>
            </w:r>
            <w:r>
              <w:rPr>
                <w:rFonts w:ascii="Arial" w:cs="Arial" w:eastAsia="Arial" w:hAnsi="Arial"/>
                <w:sz w:val="19"/>
                <w:szCs w:val="19"/>
                <w:color w:val="auto"/>
                <w:vertAlign w:val="superscript"/>
              </w:rPr>
              <w:t>​ ​</w:t>
            </w:r>
          </w:p>
        </w:tc>
        <w:tc>
          <w:tcPr>
            <w:tcW w:w="340" w:type="dxa"/>
            <w:vAlign w:val="bottom"/>
          </w:tcPr>
          <w:p>
            <w:pPr>
              <w:ind w:left="180"/>
              <w:spacing w:after="0" w:line="166"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106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525,000</w:t>
            </w:r>
          </w:p>
        </w:tc>
        <w:tc>
          <w:tcPr>
            <w:tcW w:w="180" w:type="dxa"/>
            <w:vAlign w:val="bottom"/>
          </w:tcPr>
          <w:p>
            <w:pPr>
              <w:spacing w:after="0"/>
              <w:rPr>
                <w:sz w:val="20"/>
                <w:szCs w:val="20"/>
                <w:color w:val="auto"/>
              </w:rPr>
            </w:pPr>
            <w:r>
              <w:rPr>
                <w:rFonts w:ascii="Arial" w:cs="Arial" w:eastAsia="Arial" w:hAnsi="Arial"/>
                <w:sz w:val="14"/>
                <w:szCs w:val="14"/>
                <w:color w:val="auto"/>
              </w:rPr>
              <w:t>​​ ​</w:t>
            </w:r>
          </w:p>
        </w:tc>
        <w:tc>
          <w:tcPr>
            <w:tcW w:w="1060" w:type="dxa"/>
            <w:vAlign w:val="bottom"/>
          </w:tcPr>
          <w:p>
            <w:pPr>
              <w:jc w:val="center"/>
              <w:spacing w:after="0" w:line="166"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​36,550</w:t>
            </w:r>
          </w:p>
        </w:tc>
        <w:tc>
          <w:tcPr>
            <w:tcW w:w="920" w:type="dxa"/>
            <w:vAlign w:val="bottom"/>
            <w:gridSpan w:val="2"/>
          </w:tcPr>
          <w:p>
            <w:pPr>
              <w:jc w:val="right"/>
              <w:spacing w:after="0" w:line="166" w:lineRule="exact"/>
              <w:rPr>
                <w:sz w:val="20"/>
                <w:szCs w:val="20"/>
                <w:color w:val="auto"/>
              </w:rPr>
            </w:pPr>
            <w:r>
              <w:rPr>
                <w:rFonts w:ascii="Arial" w:cs="Arial" w:eastAsia="Arial" w:hAnsi="Arial"/>
                <w:sz w:val="19"/>
                <w:szCs w:val="19"/>
                <w:color w:val="auto"/>
                <w:vertAlign w:val="superscript"/>
              </w:rPr>
              <w:t>​​ ​ ​</w:t>
            </w:r>
            <w:r>
              <w:rPr>
                <w:rFonts w:ascii="Arial" w:cs="Arial" w:eastAsia="Arial" w:hAnsi="Arial"/>
                <w:sz w:val="11"/>
                <w:szCs w:val="11"/>
                <w:color w:val="auto"/>
              </w:rPr>
              <w:t>​4,453,002</w:t>
            </w:r>
            <w:r>
              <w:rPr>
                <w:rFonts w:ascii="Arial" w:cs="Arial" w:eastAsia="Arial" w:hAnsi="Arial"/>
                <w:sz w:val="19"/>
                <w:szCs w:val="19"/>
                <w:color w:val="auto"/>
                <w:vertAlign w:val="superscript"/>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1840" w:type="dxa"/>
            <w:vAlign w:val="bottom"/>
            <w:vMerge w:val="restart"/>
          </w:tcPr>
          <w:p>
            <w:pPr>
              <w:ind w:left="60"/>
              <w:spacing w:after="0"/>
              <w:rPr>
                <w:sz w:val="20"/>
                <w:szCs w:val="20"/>
                <w:color w:val="auto"/>
              </w:rPr>
            </w:pPr>
            <w:r>
              <w:rPr>
                <w:rFonts w:ascii="Arial" w:cs="Arial" w:eastAsia="Arial" w:hAnsi="Arial"/>
                <w:sz w:val="14"/>
                <w:szCs w:val="14"/>
                <w:color w:val="auto"/>
              </w:rPr>
              <w:t>President and Chief</w:t>
            </w:r>
          </w:p>
        </w:tc>
        <w:tc>
          <w:tcPr>
            <w:tcW w:w="120" w:type="dxa"/>
            <w:vAlign w:val="bottom"/>
          </w:tcPr>
          <w:p>
            <w:pPr>
              <w:spacing w:after="0" w:line="20" w:lineRule="exact"/>
              <w:rPr>
                <w:sz w:val="1"/>
                <w:szCs w:val="1"/>
                <w:color w:val="auto"/>
              </w:rPr>
            </w:pPr>
          </w:p>
        </w:tc>
        <w:tc>
          <w:tcPr>
            <w:tcW w:w="114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120" w:type="dxa"/>
            <w:vAlign w:val="bottom"/>
            <w:tcBorders>
              <w:bottom w:val="single" w:sz="8" w:color="4C4C4C"/>
            </w:tcBorders>
          </w:tcPr>
          <w:p>
            <w:pPr>
              <w:spacing w:after="0" w:line="20" w:lineRule="exact"/>
              <w:rPr>
                <w:sz w:val="1"/>
                <w:szCs w:val="1"/>
                <w:color w:val="auto"/>
              </w:rPr>
            </w:pPr>
          </w:p>
        </w:tc>
        <w:tc>
          <w:tcPr>
            <w:tcW w:w="140" w:type="dxa"/>
            <w:vAlign w:val="bottom"/>
            <w:tcBorders>
              <w:bottom w:val="single" w:sz="8" w:color="4C4C4C"/>
            </w:tcBorders>
          </w:tcPr>
          <w:p>
            <w:pPr>
              <w:spacing w:after="0" w:line="20" w:lineRule="exact"/>
              <w:rPr>
                <w:sz w:val="1"/>
                <w:szCs w:val="1"/>
                <w:color w:val="auto"/>
              </w:rPr>
            </w:pPr>
          </w:p>
        </w:tc>
        <w:tc>
          <w:tcPr>
            <w:tcW w:w="460" w:type="dxa"/>
            <w:vAlign w:val="bottom"/>
            <w:tcBorders>
              <w:bottom w:val="single" w:sz="8" w:color="4C4C4C"/>
            </w:tcBorders>
          </w:tcPr>
          <w:p>
            <w:pPr>
              <w:spacing w:after="0" w:line="20" w:lineRule="exact"/>
              <w:rPr>
                <w:sz w:val="1"/>
                <w:szCs w:val="1"/>
                <w:color w:val="auto"/>
              </w:rPr>
            </w:pPr>
          </w:p>
        </w:tc>
        <w:tc>
          <w:tcPr>
            <w:tcW w:w="160" w:type="dxa"/>
            <w:vAlign w:val="bottom"/>
            <w:tcBorders>
              <w:bottom w:val="single" w:sz="8" w:color="4C4C4C"/>
            </w:tcBorders>
          </w:tcPr>
          <w:p>
            <w:pPr>
              <w:spacing w:after="0" w:line="20" w:lineRule="exact"/>
              <w:rPr>
                <w:sz w:val="1"/>
                <w:szCs w:val="1"/>
                <w:color w:val="auto"/>
              </w:rPr>
            </w:pPr>
          </w:p>
        </w:tc>
        <w:tc>
          <w:tcPr>
            <w:tcW w:w="800" w:type="dxa"/>
            <w:vAlign w:val="bottom"/>
            <w:tcBorders>
              <w:bottom w:val="single" w:sz="8" w:color="4C4C4C"/>
            </w:tcBorders>
            <w:gridSpan w:val="3"/>
          </w:tcPr>
          <w:p>
            <w:pPr>
              <w:spacing w:after="0" w:line="20" w:lineRule="exact"/>
              <w:rPr>
                <w:sz w:val="1"/>
                <w:szCs w:val="1"/>
                <w:color w:val="auto"/>
              </w:rPr>
            </w:pPr>
          </w:p>
        </w:tc>
        <w:tc>
          <w:tcPr>
            <w:tcW w:w="340" w:type="dxa"/>
            <w:vAlign w:val="bottom"/>
            <w:tcBorders>
              <w:bottom w:val="single" w:sz="8" w:color="4C4C4C"/>
            </w:tcBorders>
          </w:tcPr>
          <w:p>
            <w:pPr>
              <w:spacing w:after="0" w:line="20" w:lineRule="exact"/>
              <w:rPr>
                <w:sz w:val="1"/>
                <w:szCs w:val="1"/>
                <w:color w:val="auto"/>
              </w:rPr>
            </w:pPr>
          </w:p>
        </w:tc>
        <w:tc>
          <w:tcPr>
            <w:tcW w:w="160" w:type="dxa"/>
            <w:vAlign w:val="bottom"/>
            <w:tcBorders>
              <w:bottom w:val="single" w:sz="8" w:color="4C4C4C"/>
            </w:tcBorders>
          </w:tcPr>
          <w:p>
            <w:pPr>
              <w:spacing w:after="0" w:line="20" w:lineRule="exact"/>
              <w:rPr>
                <w:sz w:val="1"/>
                <w:szCs w:val="1"/>
                <w:color w:val="auto"/>
              </w:rPr>
            </w:pPr>
          </w:p>
        </w:tc>
        <w:tc>
          <w:tcPr>
            <w:tcW w:w="180" w:type="dxa"/>
            <w:vAlign w:val="bottom"/>
            <w:tcBorders>
              <w:bottom w:val="single" w:sz="8" w:color="4C4C4C"/>
            </w:tcBorders>
          </w:tcPr>
          <w:p>
            <w:pPr>
              <w:spacing w:after="0" w:line="20" w:lineRule="exact"/>
              <w:rPr>
                <w:sz w:val="1"/>
                <w:szCs w:val="1"/>
                <w:color w:val="auto"/>
              </w:rPr>
            </w:pPr>
          </w:p>
        </w:tc>
        <w:tc>
          <w:tcPr>
            <w:tcW w:w="340" w:type="dxa"/>
            <w:vAlign w:val="bottom"/>
            <w:tcBorders>
              <w:bottom w:val="single" w:sz="8" w:color="4C4C4C"/>
            </w:tcBorders>
          </w:tcPr>
          <w:p>
            <w:pPr>
              <w:spacing w:after="0" w:line="20" w:lineRule="exact"/>
              <w:rPr>
                <w:sz w:val="1"/>
                <w:szCs w:val="1"/>
                <w:color w:val="auto"/>
              </w:rPr>
            </w:pPr>
          </w:p>
        </w:tc>
        <w:tc>
          <w:tcPr>
            <w:tcW w:w="720" w:type="dxa"/>
            <w:vAlign w:val="bottom"/>
            <w:tcBorders>
              <w:bottom w:val="single" w:sz="8" w:color="4C4C4C"/>
            </w:tcBorders>
          </w:tcPr>
          <w:p>
            <w:pPr>
              <w:spacing w:after="0" w:line="20" w:lineRule="exact"/>
              <w:rPr>
                <w:sz w:val="1"/>
                <w:szCs w:val="1"/>
                <w:color w:val="auto"/>
              </w:rPr>
            </w:pPr>
          </w:p>
        </w:tc>
        <w:tc>
          <w:tcPr>
            <w:tcW w:w="180" w:type="dxa"/>
            <w:vAlign w:val="bottom"/>
            <w:tcBorders>
              <w:bottom w:val="single" w:sz="8" w:color="4C4C4C"/>
            </w:tcBorders>
          </w:tcPr>
          <w:p>
            <w:pPr>
              <w:spacing w:after="0" w:line="20" w:lineRule="exact"/>
              <w:rPr>
                <w:sz w:val="1"/>
                <w:szCs w:val="1"/>
                <w:color w:val="auto"/>
              </w:rPr>
            </w:pPr>
          </w:p>
        </w:tc>
        <w:tc>
          <w:tcPr>
            <w:tcW w:w="1060" w:type="dxa"/>
            <w:vAlign w:val="bottom"/>
            <w:tcBorders>
              <w:bottom w:val="single" w:sz="8" w:color="4C4C4C"/>
            </w:tcBorders>
          </w:tcPr>
          <w:p>
            <w:pPr>
              <w:spacing w:after="0" w:line="20" w:lineRule="exact"/>
              <w:rPr>
                <w:sz w:val="1"/>
                <w:szCs w:val="1"/>
                <w:color w:val="auto"/>
              </w:rPr>
            </w:pPr>
          </w:p>
        </w:tc>
        <w:tc>
          <w:tcPr>
            <w:tcW w:w="920" w:type="dxa"/>
            <w:vAlign w:val="bottom"/>
            <w:tcBorders>
              <w:bottom w:val="single" w:sz="8" w:color="4C4C4C"/>
            </w:tcBorders>
            <w:gridSpan w:val="2"/>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6"/>
                <w:szCs w:val="16"/>
                <w:color w:val="auto"/>
                <w:vertAlign w:val="superscript"/>
              </w:rPr>
              <w:t>​ ​</w:t>
            </w:r>
            <w:r>
              <w:rPr>
                <w:rFonts w:ascii="Arial" w:cs="Arial" w:eastAsia="Arial" w:hAnsi="Arial"/>
                <w:sz w:val="10"/>
                <w:szCs w:val="10"/>
                <w:color w:val="auto"/>
              </w:rPr>
              <w:t>​2023</w:t>
            </w:r>
            <w:r>
              <w:rPr>
                <w:rFonts w:ascii="Arial" w:cs="Arial" w:eastAsia="Arial" w:hAnsi="Arial"/>
                <w:sz w:val="16"/>
                <w:szCs w:val="16"/>
                <w:color w:val="auto"/>
                <w:vertAlign w:val="superscript"/>
              </w:rPr>
              <w:t>​ ​ ​</w:t>
            </w:r>
            <w:r>
              <w:rPr>
                <w:rFonts w:ascii="Arial" w:cs="Arial" w:eastAsia="Arial" w:hAnsi="Arial"/>
                <w:sz w:val="10"/>
                <w:szCs w:val="10"/>
                <w:color w:val="auto"/>
              </w:rPr>
              <w:t>​750,000</w:t>
            </w:r>
            <w:r>
              <w:rPr>
                <w:rFonts w:ascii="Arial" w:cs="Arial" w:eastAsia="Arial" w:hAnsi="Arial"/>
                <w:sz w:val="16"/>
                <w:szCs w:val="16"/>
                <w:color w:val="auto"/>
                <w:vertAlign w:val="superscript"/>
              </w:rPr>
              <w:t>​</w:t>
            </w:r>
          </w:p>
        </w:tc>
        <w:tc>
          <w:tcPr>
            <w:tcW w:w="60" w:type="dxa"/>
            <w:vAlign w:val="bottom"/>
          </w:tcPr>
          <w:p>
            <w:pPr>
              <w:spacing w:after="0"/>
              <w:rPr>
                <w:sz w:val="12"/>
                <w:szCs w:val="12"/>
                <w:color w:val="auto"/>
              </w:rPr>
            </w:pPr>
          </w:p>
        </w:tc>
        <w:tc>
          <w:tcPr>
            <w:tcW w:w="12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20"/>
              <w:spacing w:after="0" w:line="142" w:lineRule="exact"/>
              <w:rPr>
                <w:sz w:val="20"/>
                <w:szCs w:val="20"/>
                <w:color w:val="auto"/>
              </w:rPr>
            </w:pPr>
            <w:r>
              <w:rPr>
                <w:rFonts w:ascii="Arial" w:cs="Arial" w:eastAsia="Arial" w:hAnsi="Arial"/>
                <w:sz w:val="10"/>
                <w:szCs w:val="10"/>
                <w:color w:val="auto"/>
              </w:rPr>
              <w:t>​</w:t>
            </w:r>
            <w:r>
              <w:rPr>
                <w:rFonts w:ascii="Arial" w:cs="Arial" w:eastAsia="Arial" w:hAnsi="Arial"/>
                <w:sz w:val="16"/>
                <w:szCs w:val="16"/>
                <w:color w:val="auto"/>
                <w:vertAlign w:val="subscript"/>
              </w:rPr>
              <w:t>​</w:t>
            </w:r>
          </w:p>
        </w:tc>
        <w:tc>
          <w:tcPr>
            <w:tcW w:w="460" w:type="dxa"/>
            <w:vAlign w:val="bottom"/>
          </w:tcPr>
          <w:p>
            <w:pPr>
              <w:jc w:val="right"/>
              <w:spacing w:after="0" w:line="142" w:lineRule="exact"/>
              <w:rPr>
                <w:sz w:val="20"/>
                <w:szCs w:val="20"/>
                <w:color w:val="auto"/>
              </w:rPr>
            </w:pPr>
            <w:r>
              <w:rPr>
                <w:rFonts w:ascii="Arial" w:cs="Arial" w:eastAsia="Arial" w:hAnsi="Arial"/>
                <w:sz w:val="10"/>
                <w:szCs w:val="10"/>
                <w:color w:val="auto"/>
              </w:rPr>
              <w:t>—</w:t>
            </w:r>
            <w:r>
              <w:rPr>
                <w:rFonts w:ascii="Arial" w:cs="Arial" w:eastAsia="Arial" w:hAnsi="Arial"/>
                <w:sz w:val="16"/>
                <w:szCs w:val="16"/>
                <w:color w:val="auto"/>
                <w:vertAlign w:val="superscript"/>
              </w:rPr>
              <w:t>​</w:t>
            </w:r>
          </w:p>
        </w:tc>
        <w:tc>
          <w:tcPr>
            <w:tcW w:w="16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line="142"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10"/>
                <w:szCs w:val="10"/>
                <w:color w:val="auto"/>
              </w:rPr>
              <w:t>​1,915,427</w:t>
            </w:r>
            <w:r>
              <w:rPr>
                <w:rFonts w:ascii="Arial" w:cs="Arial" w:eastAsia="Arial" w:hAnsi="Arial"/>
                <w:sz w:val="16"/>
                <w:szCs w:val="16"/>
                <w:color w:val="auto"/>
                <w:vertAlign w:val="superscript"/>
              </w:rPr>
              <w:t>​ ​</w:t>
            </w:r>
          </w:p>
        </w:tc>
        <w:tc>
          <w:tcPr>
            <w:tcW w:w="340" w:type="dxa"/>
            <w:vAlign w:val="bottom"/>
          </w:tcPr>
          <w:p>
            <w:pPr>
              <w:ind w:left="180"/>
              <w:spacing w:after="0" w:line="142"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180" w:type="dxa"/>
            <w:vAlign w:val="bottom"/>
          </w:tcPr>
          <w:p>
            <w:pPr>
              <w:ind w:left="20"/>
              <w:spacing w:after="0" w:line="142" w:lineRule="exact"/>
              <w:rPr>
                <w:sz w:val="20"/>
                <w:szCs w:val="20"/>
                <w:color w:val="auto"/>
              </w:rPr>
            </w:pPr>
            <w:r>
              <w:rPr>
                <w:rFonts w:ascii="Arial" w:cs="Arial" w:eastAsia="Arial" w:hAnsi="Arial"/>
                <w:sz w:val="14"/>
                <w:szCs w:val="14"/>
                <w:color w:val="auto"/>
              </w:rPr>
              <w:t>​​ ​</w:t>
            </w:r>
          </w:p>
        </w:tc>
        <w:tc>
          <w:tcPr>
            <w:tcW w:w="34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94"/>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line="142" w:lineRule="exact"/>
              <w:rPr>
                <w:sz w:val="20"/>
                <w:szCs w:val="20"/>
                <w:color w:val="auto"/>
              </w:rPr>
            </w:pPr>
            <w:r>
              <w:rPr>
                <w:rFonts w:ascii="Arial" w:cs="Arial" w:eastAsia="Arial" w:hAnsi="Arial"/>
                <w:sz w:val="14"/>
                <w:szCs w:val="14"/>
                <w:color w:val="auto"/>
              </w:rPr>
              <w:t>​​ ​</w:t>
            </w:r>
          </w:p>
        </w:tc>
        <w:tc>
          <w:tcPr>
            <w:tcW w:w="1060" w:type="dxa"/>
            <w:vAlign w:val="bottom"/>
          </w:tcPr>
          <w:p>
            <w:pPr>
              <w:jc w:val="center"/>
              <w:spacing w:after="0" w:line="142"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10"/>
                <w:szCs w:val="10"/>
                <w:color w:val="auto"/>
              </w:rPr>
              <w:t>​32,697</w:t>
            </w:r>
          </w:p>
        </w:tc>
        <w:tc>
          <w:tcPr>
            <w:tcW w:w="920" w:type="dxa"/>
            <w:vAlign w:val="bottom"/>
            <w:gridSpan w:val="2"/>
          </w:tcPr>
          <w:p>
            <w:pPr>
              <w:jc w:val="right"/>
              <w:spacing w:after="0" w:line="142" w:lineRule="exact"/>
              <w:rPr>
                <w:sz w:val="20"/>
                <w:szCs w:val="20"/>
                <w:color w:val="auto"/>
              </w:rPr>
            </w:pPr>
            <w:r>
              <w:rPr>
                <w:rFonts w:ascii="Arial" w:cs="Arial" w:eastAsia="Arial" w:hAnsi="Arial"/>
                <w:sz w:val="16"/>
                <w:szCs w:val="16"/>
                <w:color w:val="auto"/>
                <w:vertAlign w:val="superscript"/>
              </w:rPr>
              <w:t>​​ ​ ​</w:t>
            </w:r>
            <w:r>
              <w:rPr>
                <w:rFonts w:ascii="Arial" w:cs="Arial" w:eastAsia="Arial" w:hAnsi="Arial"/>
                <w:sz w:val="10"/>
                <w:szCs w:val="10"/>
                <w:color w:val="auto"/>
              </w:rPr>
              <w:t>​2,698,394</w:t>
            </w:r>
            <w:r>
              <w:rPr>
                <w:rFonts w:ascii="Arial" w:cs="Arial" w:eastAsia="Arial" w:hAnsi="Arial"/>
                <w:sz w:val="16"/>
                <w:szCs w:val="16"/>
                <w:color w:val="auto"/>
                <w:vertAlign w:val="superscript"/>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1840" w:type="dxa"/>
            <w:vAlign w:val="bottom"/>
            <w:vMerge w:val="restart"/>
          </w:tcPr>
          <w:p>
            <w:pPr>
              <w:ind w:left="60"/>
              <w:spacing w:after="0"/>
              <w:rPr>
                <w:sz w:val="20"/>
                <w:szCs w:val="20"/>
                <w:color w:val="auto"/>
              </w:rPr>
            </w:pPr>
            <w:r>
              <w:rPr>
                <w:rFonts w:ascii="Arial" w:cs="Arial" w:eastAsia="Arial" w:hAnsi="Arial"/>
                <w:sz w:val="14"/>
                <w:szCs w:val="14"/>
                <w:color w:val="auto"/>
              </w:rPr>
              <w:t>Executive Officer</w:t>
            </w:r>
          </w:p>
        </w:tc>
        <w:tc>
          <w:tcPr>
            <w:tcW w:w="120" w:type="dxa"/>
            <w:vAlign w:val="bottom"/>
          </w:tcPr>
          <w:p>
            <w:pPr>
              <w:spacing w:after="0"/>
              <w:rPr>
                <w:sz w:val="3"/>
                <w:szCs w:val="3"/>
                <w:color w:val="auto"/>
              </w:rPr>
            </w:pPr>
          </w:p>
        </w:tc>
        <w:tc>
          <w:tcPr>
            <w:tcW w:w="1140" w:type="dxa"/>
            <w:vAlign w:val="bottom"/>
            <w:tcBorders>
              <w:bottom w:val="single" w:sz="8" w:color="4C4C4C"/>
            </w:tcBorders>
          </w:tcPr>
          <w:p>
            <w:pPr>
              <w:spacing w:after="0"/>
              <w:rPr>
                <w:sz w:val="3"/>
                <w:szCs w:val="3"/>
                <w:color w:val="auto"/>
              </w:rPr>
            </w:pPr>
          </w:p>
        </w:tc>
        <w:tc>
          <w:tcPr>
            <w:tcW w:w="60" w:type="dxa"/>
            <w:vAlign w:val="bottom"/>
            <w:tcBorders>
              <w:bottom w:val="single" w:sz="8" w:color="4C4C4C"/>
            </w:tcBorders>
          </w:tcPr>
          <w:p>
            <w:pPr>
              <w:spacing w:after="0"/>
              <w:rPr>
                <w:sz w:val="3"/>
                <w:szCs w:val="3"/>
                <w:color w:val="auto"/>
              </w:rPr>
            </w:pPr>
          </w:p>
        </w:tc>
        <w:tc>
          <w:tcPr>
            <w:tcW w:w="120" w:type="dxa"/>
            <w:vAlign w:val="bottom"/>
            <w:tcBorders>
              <w:bottom w:val="single" w:sz="8" w:color="4C4C4C"/>
            </w:tcBorders>
          </w:tcPr>
          <w:p>
            <w:pPr>
              <w:spacing w:after="0"/>
              <w:rPr>
                <w:sz w:val="3"/>
                <w:szCs w:val="3"/>
                <w:color w:val="auto"/>
              </w:rPr>
            </w:pPr>
          </w:p>
        </w:tc>
        <w:tc>
          <w:tcPr>
            <w:tcW w:w="140" w:type="dxa"/>
            <w:vAlign w:val="bottom"/>
            <w:tcBorders>
              <w:bottom w:val="single" w:sz="8" w:color="4C4C4C"/>
            </w:tcBorders>
          </w:tcPr>
          <w:p>
            <w:pPr>
              <w:spacing w:after="0"/>
              <w:rPr>
                <w:sz w:val="3"/>
                <w:szCs w:val="3"/>
                <w:color w:val="auto"/>
              </w:rPr>
            </w:pPr>
          </w:p>
        </w:tc>
        <w:tc>
          <w:tcPr>
            <w:tcW w:w="460" w:type="dxa"/>
            <w:vAlign w:val="bottom"/>
            <w:tcBorders>
              <w:bottom w:val="single" w:sz="8" w:color="4C4C4C"/>
            </w:tcBorders>
          </w:tcPr>
          <w:p>
            <w:pPr>
              <w:spacing w:after="0"/>
              <w:rPr>
                <w:sz w:val="3"/>
                <w:szCs w:val="3"/>
                <w:color w:val="auto"/>
              </w:rPr>
            </w:pPr>
          </w:p>
        </w:tc>
        <w:tc>
          <w:tcPr>
            <w:tcW w:w="160" w:type="dxa"/>
            <w:vAlign w:val="bottom"/>
            <w:tcBorders>
              <w:bottom w:val="single" w:sz="8" w:color="4C4C4C"/>
            </w:tcBorders>
          </w:tcPr>
          <w:p>
            <w:pPr>
              <w:spacing w:after="0"/>
              <w:rPr>
                <w:sz w:val="3"/>
                <w:szCs w:val="3"/>
                <w:color w:val="auto"/>
              </w:rPr>
            </w:pPr>
          </w:p>
        </w:tc>
        <w:tc>
          <w:tcPr>
            <w:tcW w:w="100" w:type="dxa"/>
            <w:vAlign w:val="bottom"/>
            <w:tcBorders>
              <w:bottom w:val="single" w:sz="8" w:color="4C4C4C"/>
            </w:tcBorders>
          </w:tcPr>
          <w:p>
            <w:pPr>
              <w:spacing w:after="0"/>
              <w:rPr>
                <w:sz w:val="3"/>
                <w:szCs w:val="3"/>
                <w:color w:val="auto"/>
              </w:rPr>
            </w:pPr>
          </w:p>
        </w:tc>
        <w:tc>
          <w:tcPr>
            <w:tcW w:w="700" w:type="dxa"/>
            <w:vAlign w:val="bottom"/>
            <w:tcBorders>
              <w:bottom w:val="single" w:sz="8" w:color="4C4C4C"/>
            </w:tcBorders>
            <w:gridSpan w:val="2"/>
          </w:tcPr>
          <w:p>
            <w:pPr>
              <w:spacing w:after="0"/>
              <w:rPr>
                <w:sz w:val="3"/>
                <w:szCs w:val="3"/>
                <w:color w:val="auto"/>
              </w:rPr>
            </w:pPr>
          </w:p>
        </w:tc>
        <w:tc>
          <w:tcPr>
            <w:tcW w:w="340" w:type="dxa"/>
            <w:vAlign w:val="bottom"/>
            <w:tcBorders>
              <w:bottom w:val="single" w:sz="8" w:color="4C4C4C"/>
            </w:tcBorders>
          </w:tcPr>
          <w:p>
            <w:pPr>
              <w:spacing w:after="0"/>
              <w:rPr>
                <w:sz w:val="3"/>
                <w:szCs w:val="3"/>
                <w:color w:val="auto"/>
              </w:rPr>
            </w:pPr>
          </w:p>
        </w:tc>
        <w:tc>
          <w:tcPr>
            <w:tcW w:w="160" w:type="dxa"/>
            <w:vAlign w:val="bottom"/>
            <w:tcBorders>
              <w:bottom w:val="single" w:sz="8" w:color="4C4C4C"/>
            </w:tcBorders>
          </w:tcPr>
          <w:p>
            <w:pPr>
              <w:spacing w:after="0"/>
              <w:rPr>
                <w:sz w:val="3"/>
                <w:szCs w:val="3"/>
                <w:color w:val="auto"/>
              </w:rPr>
            </w:pPr>
          </w:p>
        </w:tc>
        <w:tc>
          <w:tcPr>
            <w:tcW w:w="180" w:type="dxa"/>
            <w:vAlign w:val="bottom"/>
            <w:tcBorders>
              <w:bottom w:val="single" w:sz="8" w:color="4C4C4C"/>
            </w:tcBorders>
          </w:tcPr>
          <w:p>
            <w:pPr>
              <w:spacing w:after="0"/>
              <w:rPr>
                <w:sz w:val="3"/>
                <w:szCs w:val="3"/>
                <w:color w:val="auto"/>
              </w:rPr>
            </w:pPr>
          </w:p>
        </w:tc>
        <w:tc>
          <w:tcPr>
            <w:tcW w:w="340" w:type="dxa"/>
            <w:vAlign w:val="bottom"/>
            <w:tcBorders>
              <w:bottom w:val="single" w:sz="8" w:color="4C4C4C"/>
            </w:tcBorders>
          </w:tcPr>
          <w:p>
            <w:pPr>
              <w:spacing w:after="0"/>
              <w:rPr>
                <w:sz w:val="3"/>
                <w:szCs w:val="3"/>
                <w:color w:val="auto"/>
              </w:rPr>
            </w:pPr>
          </w:p>
        </w:tc>
        <w:tc>
          <w:tcPr>
            <w:tcW w:w="720" w:type="dxa"/>
            <w:vAlign w:val="bottom"/>
            <w:tcBorders>
              <w:bottom w:val="single" w:sz="8" w:color="4C4C4C"/>
            </w:tcBorders>
          </w:tcPr>
          <w:p>
            <w:pPr>
              <w:spacing w:after="0"/>
              <w:rPr>
                <w:sz w:val="3"/>
                <w:szCs w:val="3"/>
                <w:color w:val="auto"/>
              </w:rPr>
            </w:pPr>
          </w:p>
        </w:tc>
        <w:tc>
          <w:tcPr>
            <w:tcW w:w="180" w:type="dxa"/>
            <w:vAlign w:val="bottom"/>
            <w:tcBorders>
              <w:bottom w:val="single" w:sz="8" w:color="4C4C4C"/>
            </w:tcBorders>
          </w:tcPr>
          <w:p>
            <w:pPr>
              <w:spacing w:after="0"/>
              <w:rPr>
                <w:sz w:val="3"/>
                <w:szCs w:val="3"/>
                <w:color w:val="auto"/>
              </w:rPr>
            </w:pPr>
          </w:p>
        </w:tc>
        <w:tc>
          <w:tcPr>
            <w:tcW w:w="1060" w:type="dxa"/>
            <w:vAlign w:val="bottom"/>
            <w:tcBorders>
              <w:bottom w:val="single" w:sz="8" w:color="4C4C4C"/>
            </w:tcBorders>
          </w:tcPr>
          <w:p>
            <w:pPr>
              <w:spacing w:after="0"/>
              <w:rPr>
                <w:sz w:val="3"/>
                <w:szCs w:val="3"/>
                <w:color w:val="auto"/>
              </w:rPr>
            </w:pPr>
          </w:p>
        </w:tc>
        <w:tc>
          <w:tcPr>
            <w:tcW w:w="920" w:type="dxa"/>
            <w:vAlign w:val="bottom"/>
            <w:tcBorders>
              <w:bottom w:val="single" w:sz="8" w:color="4C4C4C"/>
            </w:tcBorders>
            <w:gridSpan w:val="2"/>
          </w:tcPr>
          <w:p>
            <w:pPr>
              <w:spacing w:after="0"/>
              <w:rPr>
                <w:sz w:val="3"/>
                <w:szCs w:val="3"/>
                <w:color w:val="auto"/>
              </w:rPr>
            </w:pPr>
          </w:p>
        </w:tc>
        <w:tc>
          <w:tcPr>
            <w:tcW w:w="60" w:type="dxa"/>
            <w:vAlign w:val="bottom"/>
            <w:tcBorders>
              <w:bottom w:val="single" w:sz="8" w:color="4C4C4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0" w:type="dxa"/>
            <w:vAlign w:val="bottom"/>
            <w:tcBorders>
              <w:bottom w:val="single" w:sz="8" w:color="E7417A"/>
            </w:tcBorders>
          </w:tcPr>
          <w:p>
            <w:pPr>
              <w:spacing w:after="0"/>
              <w:rPr>
                <w:sz w:val="14"/>
                <w:szCs w:val="14"/>
                <w:color w:val="auto"/>
              </w:rPr>
            </w:pPr>
          </w:p>
        </w:tc>
        <w:tc>
          <w:tcPr>
            <w:tcW w:w="1840" w:type="dxa"/>
            <w:vAlign w:val="bottom"/>
            <w:tcBorders>
              <w:bottom w:val="single" w:sz="8" w:color="E7417A"/>
            </w:tcBorders>
            <w:vMerge w:val="continue"/>
          </w:tcPr>
          <w:p>
            <w:pPr>
              <w:spacing w:after="0"/>
              <w:rPr>
                <w:sz w:val="14"/>
                <w:szCs w:val="14"/>
                <w:color w:val="auto"/>
              </w:rPr>
            </w:pPr>
          </w:p>
        </w:tc>
        <w:tc>
          <w:tcPr>
            <w:tcW w:w="120" w:type="dxa"/>
            <w:vAlign w:val="bottom"/>
            <w:tcBorders>
              <w:bottom w:val="single" w:sz="8" w:color="E7417A"/>
            </w:tcBorders>
          </w:tcPr>
          <w:p>
            <w:pPr>
              <w:spacing w:after="0"/>
              <w:rPr>
                <w:sz w:val="14"/>
                <w:szCs w:val="14"/>
                <w:color w:val="auto"/>
              </w:rPr>
            </w:pPr>
          </w:p>
        </w:tc>
        <w:tc>
          <w:tcPr>
            <w:tcW w:w="1140" w:type="dxa"/>
            <w:vAlign w:val="bottom"/>
            <w:tcBorders>
              <w:bottom w:val="single" w:sz="8" w:color="E7417A"/>
            </w:tcBorders>
          </w:tcPr>
          <w:p>
            <w:pPr>
              <w:jc w:val="right"/>
              <w:spacing w:after="0" w:line="169" w:lineRule="exact"/>
              <w:rPr>
                <w:sz w:val="20"/>
                <w:szCs w:val="20"/>
                <w:color w:val="auto"/>
              </w:rPr>
            </w:pPr>
            <w:r>
              <w:rPr>
                <w:rFonts w:ascii="Arial" w:cs="Arial" w:eastAsia="Arial" w:hAnsi="Arial"/>
                <w:sz w:val="19"/>
                <w:szCs w:val="19"/>
                <w:color w:val="auto"/>
                <w:vertAlign w:val="superscript"/>
              </w:rPr>
              <w:t>​ ​</w:t>
            </w:r>
            <w:r>
              <w:rPr>
                <w:rFonts w:ascii="Arial" w:cs="Arial" w:eastAsia="Arial" w:hAnsi="Arial"/>
                <w:sz w:val="11"/>
                <w:szCs w:val="11"/>
                <w:color w:val="auto"/>
              </w:rPr>
              <w:t>​2022</w:t>
            </w:r>
            <w:r>
              <w:rPr>
                <w:rFonts w:ascii="Arial" w:cs="Arial" w:eastAsia="Arial" w:hAnsi="Arial"/>
                <w:sz w:val="19"/>
                <w:szCs w:val="19"/>
                <w:color w:val="auto"/>
                <w:vertAlign w:val="superscript"/>
              </w:rPr>
              <w:t>​ ​ ​</w:t>
            </w:r>
            <w:r>
              <w:rPr>
                <w:rFonts w:ascii="Arial" w:cs="Arial" w:eastAsia="Arial" w:hAnsi="Arial"/>
                <w:sz w:val="11"/>
                <w:szCs w:val="11"/>
                <w:color w:val="auto"/>
              </w:rPr>
              <w:t>​750,000</w:t>
            </w:r>
            <w:r>
              <w:rPr>
                <w:rFonts w:ascii="Arial" w:cs="Arial" w:eastAsia="Arial" w:hAnsi="Arial"/>
                <w:sz w:val="19"/>
                <w:szCs w:val="19"/>
                <w:color w:val="auto"/>
                <w:vertAlign w:val="superscript"/>
              </w:rPr>
              <w:t>​</w:t>
            </w:r>
          </w:p>
        </w:tc>
        <w:tc>
          <w:tcPr>
            <w:tcW w:w="60" w:type="dxa"/>
            <w:vAlign w:val="bottom"/>
            <w:tcBorders>
              <w:bottom w:val="single" w:sz="8" w:color="E7417A"/>
            </w:tcBorders>
          </w:tcPr>
          <w:p>
            <w:pPr>
              <w:spacing w:after="0"/>
              <w:rPr>
                <w:sz w:val="14"/>
                <w:szCs w:val="14"/>
                <w:color w:val="auto"/>
              </w:rPr>
            </w:pPr>
          </w:p>
        </w:tc>
        <w:tc>
          <w:tcPr>
            <w:tcW w:w="120" w:type="dxa"/>
            <w:vAlign w:val="bottom"/>
            <w:tcBorders>
              <w:bottom w:val="single" w:sz="8" w:color="E7417A"/>
            </w:tcBorders>
          </w:tcPr>
          <w:p>
            <w:pPr>
              <w:ind w:left="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7417A"/>
            </w:tcBorders>
          </w:tcPr>
          <w:p>
            <w:pPr>
              <w:ind w:left="20"/>
              <w:spacing w:after="0" w:line="169"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bscript"/>
              </w:rPr>
              <w:t>​</w:t>
            </w:r>
          </w:p>
        </w:tc>
        <w:tc>
          <w:tcPr>
            <w:tcW w:w="460" w:type="dxa"/>
            <w:vAlign w:val="bottom"/>
            <w:tcBorders>
              <w:bottom w:val="single" w:sz="8" w:color="E7417A"/>
            </w:tcBorders>
          </w:tcPr>
          <w:p>
            <w:pPr>
              <w:jc w:val="right"/>
              <w:spacing w:after="0" w:line="169"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perscript"/>
              </w:rPr>
              <w:t>​</w:t>
            </w:r>
          </w:p>
        </w:tc>
        <w:tc>
          <w:tcPr>
            <w:tcW w:w="160" w:type="dxa"/>
            <w:vAlign w:val="bottom"/>
            <w:tcBorders>
              <w:bottom w:val="single" w:sz="8" w:color="E7417A"/>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7417A"/>
            </w:tcBorders>
          </w:tcPr>
          <w:p>
            <w:pPr>
              <w:spacing w:after="0" w:line="169"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bscript"/>
              </w:rPr>
              <w:t>​</w:t>
            </w:r>
          </w:p>
        </w:tc>
        <w:tc>
          <w:tcPr>
            <w:tcW w:w="700" w:type="dxa"/>
            <w:vAlign w:val="bottom"/>
            <w:tcBorders>
              <w:bottom w:val="single" w:sz="8" w:color="E7417A"/>
            </w:tcBorders>
            <w:gridSpan w:val="2"/>
          </w:tcPr>
          <w:p>
            <w:pPr>
              <w:jc w:val="right"/>
              <w:spacing w:after="0" w:line="169" w:lineRule="exact"/>
              <w:rPr>
                <w:sz w:val="20"/>
                <w:szCs w:val="20"/>
                <w:color w:val="auto"/>
              </w:rPr>
            </w:pPr>
            <w:r>
              <w:rPr>
                <w:rFonts w:ascii="Arial" w:cs="Arial" w:eastAsia="Arial" w:hAnsi="Arial"/>
                <w:sz w:val="11"/>
                <w:szCs w:val="11"/>
                <w:color w:val="auto"/>
              </w:rPr>
              <w:t>749,998</w:t>
            </w:r>
            <w:r>
              <w:rPr>
                <w:rFonts w:ascii="Arial" w:cs="Arial" w:eastAsia="Arial" w:hAnsi="Arial"/>
                <w:sz w:val="19"/>
                <w:szCs w:val="19"/>
                <w:color w:val="auto"/>
                <w:vertAlign w:val="superscript"/>
              </w:rPr>
              <w:t>​ ​</w:t>
            </w:r>
          </w:p>
        </w:tc>
        <w:tc>
          <w:tcPr>
            <w:tcW w:w="340" w:type="dxa"/>
            <w:vAlign w:val="bottom"/>
            <w:tcBorders>
              <w:bottom w:val="single" w:sz="8" w:color="E7417A"/>
            </w:tcBorders>
          </w:tcPr>
          <w:p>
            <w:pPr>
              <w:ind w:left="18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w:t>
            </w:r>
          </w:p>
        </w:tc>
        <w:tc>
          <w:tcPr>
            <w:tcW w:w="160" w:type="dxa"/>
            <w:vAlign w:val="bottom"/>
            <w:tcBorders>
              <w:bottom w:val="single" w:sz="8" w:color="E7417A"/>
            </w:tcBorders>
          </w:tcPr>
          <w:p>
            <w:pPr>
              <w:spacing w:after="0"/>
              <w:rPr>
                <w:sz w:val="14"/>
                <w:szCs w:val="14"/>
                <w:color w:val="auto"/>
              </w:rPr>
            </w:pP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4"/>
                <w:szCs w:val="14"/>
                <w:color w:val="auto"/>
              </w:rPr>
              <w:t>​​ ​</w:t>
            </w:r>
          </w:p>
        </w:tc>
        <w:tc>
          <w:tcPr>
            <w:tcW w:w="340" w:type="dxa"/>
            <w:vAlign w:val="bottom"/>
            <w:tcBorders>
              <w:bottom w:val="single" w:sz="8" w:color="E7417A"/>
            </w:tcBorders>
          </w:tcPr>
          <w:p>
            <w:pPr>
              <w:ind w:left="26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E7417A"/>
            </w:tcBorders>
          </w:tcPr>
          <w:p>
            <w:pPr>
              <w:jc w:val="right"/>
              <w:ind w:right="194"/>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 ​</w:t>
            </w:r>
          </w:p>
        </w:tc>
        <w:tc>
          <w:tcPr>
            <w:tcW w:w="1060" w:type="dxa"/>
            <w:vAlign w:val="bottom"/>
            <w:tcBorders>
              <w:bottom w:val="single" w:sz="8" w:color="E7417A"/>
            </w:tcBorders>
          </w:tcPr>
          <w:p>
            <w:pPr>
              <w:jc w:val="center"/>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​34,506</w:t>
            </w:r>
          </w:p>
        </w:tc>
        <w:tc>
          <w:tcPr>
            <w:tcW w:w="920" w:type="dxa"/>
            <w:vAlign w:val="bottom"/>
            <w:tcBorders>
              <w:bottom w:val="single" w:sz="8" w:color="E7417A"/>
            </w:tcBorders>
            <w:gridSpan w:val="2"/>
          </w:tcPr>
          <w:p>
            <w:pPr>
              <w:jc w:val="right"/>
              <w:spacing w:after="0" w:line="169" w:lineRule="exact"/>
              <w:rPr>
                <w:sz w:val="20"/>
                <w:szCs w:val="20"/>
                <w:color w:val="auto"/>
              </w:rPr>
            </w:pPr>
            <w:r>
              <w:rPr>
                <w:rFonts w:ascii="Arial" w:cs="Arial" w:eastAsia="Arial" w:hAnsi="Arial"/>
                <w:sz w:val="19"/>
                <w:szCs w:val="19"/>
                <w:color w:val="auto"/>
                <w:vertAlign w:val="superscript"/>
              </w:rPr>
              <w:t>​​ ​ ​</w:t>
            </w:r>
            <w:r>
              <w:rPr>
                <w:rFonts w:ascii="Arial" w:cs="Arial" w:eastAsia="Arial" w:hAnsi="Arial"/>
                <w:sz w:val="11"/>
                <w:szCs w:val="11"/>
                <w:color w:val="auto"/>
              </w:rPr>
              <w:t>​1,534,506</w:t>
            </w:r>
            <w:r>
              <w:rPr>
                <w:rFonts w:ascii="Arial" w:cs="Arial" w:eastAsia="Arial" w:hAnsi="Arial"/>
                <w:sz w:val="19"/>
                <w:szCs w:val="19"/>
                <w:color w:val="auto"/>
                <w:vertAlign w:val="superscript"/>
              </w:rPr>
              <w:t>​</w:t>
            </w:r>
          </w:p>
        </w:tc>
        <w:tc>
          <w:tcPr>
            <w:tcW w:w="60" w:type="dxa"/>
            <w:vAlign w:val="bottom"/>
            <w:tcBorders>
              <w:bottom w:val="single" w:sz="8" w:color="E7417A"/>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0" w:type="dxa"/>
            <w:vAlign w:val="bottom"/>
            <w:vMerge w:val="restart"/>
          </w:tcPr>
          <w:p>
            <w:pPr>
              <w:spacing w:after="0" w:line="147" w:lineRule="exact"/>
              <w:rPr>
                <w:sz w:val="20"/>
                <w:szCs w:val="20"/>
                <w:color w:val="auto"/>
              </w:rPr>
            </w:pPr>
            <w:r>
              <w:rPr>
                <w:rFonts w:ascii="Arial" w:cs="Arial" w:eastAsia="Arial" w:hAnsi="Arial"/>
                <w:sz w:val="14"/>
                <w:szCs w:val="14"/>
                <w:color w:val="auto"/>
              </w:rPr>
              <w:t>​</w:t>
            </w:r>
          </w:p>
        </w:tc>
        <w:tc>
          <w:tcPr>
            <w:tcW w:w="1840" w:type="dxa"/>
            <w:vAlign w:val="bottom"/>
            <w:vMerge w:val="restart"/>
          </w:tcPr>
          <w:p>
            <w:pPr>
              <w:ind w:left="60"/>
              <w:spacing w:after="0" w:line="147" w:lineRule="exact"/>
              <w:rPr>
                <w:sz w:val="20"/>
                <w:szCs w:val="20"/>
                <w:color w:val="auto"/>
              </w:rPr>
            </w:pPr>
            <w:r>
              <w:rPr>
                <w:rFonts w:ascii="Arial" w:cs="Arial" w:eastAsia="Arial" w:hAnsi="Arial"/>
                <w:sz w:val="14"/>
                <w:szCs w:val="14"/>
                <w:b w:val="1"/>
                <w:bCs w:val="1"/>
                <w:color w:val="auto"/>
              </w:rPr>
              <w:t>John Townsend</w:t>
            </w:r>
            <w:r>
              <w:rPr>
                <w:rFonts w:ascii="Arial" w:cs="Arial" w:eastAsia="Arial" w:hAnsi="Arial"/>
                <w:sz w:val="14"/>
                <w:szCs w:val="14"/>
                <w:color w:val="auto"/>
              </w:rPr>
              <w:t>,</w:t>
            </w:r>
          </w:p>
        </w:tc>
        <w:tc>
          <w:tcPr>
            <w:tcW w:w="1320" w:type="dxa"/>
            <w:vAlign w:val="bottom"/>
            <w:gridSpan w:val="3"/>
          </w:tcPr>
          <w:p>
            <w:pPr>
              <w:jc w:val="right"/>
              <w:spacing w:after="0" w:line="61" w:lineRule="exact"/>
              <w:rPr>
                <w:sz w:val="20"/>
                <w:szCs w:val="20"/>
                <w:color w:val="auto"/>
              </w:rPr>
            </w:pPr>
            <w:r>
              <w:rPr>
                <w:rFonts w:ascii="Arial" w:cs="Arial" w:eastAsia="Arial" w:hAnsi="Arial"/>
                <w:sz w:val="7"/>
                <w:szCs w:val="7"/>
                <w:color w:val="auto"/>
              </w:rPr>
              <w:t>(4)</w:t>
            </w:r>
          </w:p>
        </w:tc>
        <w:tc>
          <w:tcPr>
            <w:tcW w:w="120" w:type="dxa"/>
            <w:vAlign w:val="bottom"/>
            <w:vMerge w:val="restart"/>
          </w:tcPr>
          <w:p>
            <w:pPr>
              <w:ind w:left="20"/>
              <w:spacing w:after="0" w:line="147" w:lineRule="exact"/>
              <w:rPr>
                <w:sz w:val="20"/>
                <w:szCs w:val="20"/>
                <w:color w:val="auto"/>
              </w:rPr>
            </w:pPr>
            <w:r>
              <w:rPr>
                <w:rFonts w:ascii="Arial" w:cs="Arial" w:eastAsia="Arial" w:hAnsi="Arial"/>
                <w:sz w:val="14"/>
                <w:szCs w:val="14"/>
                <w:color w:val="auto"/>
              </w:rPr>
              <w:t>​</w:t>
            </w:r>
          </w:p>
        </w:tc>
        <w:tc>
          <w:tcPr>
            <w:tcW w:w="140" w:type="dxa"/>
            <w:vAlign w:val="bottom"/>
            <w:vMerge w:val="restart"/>
          </w:tcPr>
          <w:p>
            <w:pPr>
              <w:ind w:left="20"/>
              <w:spacing w:after="0" w:line="147" w:lineRule="exact"/>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vMerge w:val="restart"/>
          </w:tcPr>
          <w:p>
            <w:pPr>
              <w:jc w:val="center"/>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3"/>
            <w:vMerge w:val="restart"/>
          </w:tcPr>
          <w:p>
            <w:pPr>
              <w:jc w:val="right"/>
              <w:spacing w:after="0" w:line="147" w:lineRule="exact"/>
              <w:rPr>
                <w:sz w:val="20"/>
                <w:szCs w:val="20"/>
                <w:color w:val="auto"/>
              </w:rPr>
            </w:pPr>
            <w:r>
              <w:rPr>
                <w:rFonts w:ascii="Arial" w:cs="Arial" w:eastAsia="Arial" w:hAnsi="Arial"/>
                <w:sz w:val="14"/>
                <w:szCs w:val="14"/>
                <w:color w:val="auto"/>
              </w:rPr>
              <w:t>​2,571,058​ ​</w:t>
            </w:r>
          </w:p>
        </w:tc>
        <w:tc>
          <w:tcPr>
            <w:tcW w:w="340" w:type="dxa"/>
            <w:vAlign w:val="bottom"/>
            <w:vMerge w:val="restart"/>
          </w:tcPr>
          <w:p>
            <w:pPr>
              <w:ind w:left="180"/>
              <w:spacing w:after="0" w:line="147"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5"/>
                <w:szCs w:val="5"/>
                <w:color w:val="auto"/>
              </w:rPr>
            </w:pPr>
          </w:p>
        </w:tc>
        <w:tc>
          <w:tcPr>
            <w:tcW w:w="180" w:type="dxa"/>
            <w:vAlign w:val="bottom"/>
            <w:vMerge w:val="restart"/>
          </w:tcPr>
          <w:p>
            <w:pPr>
              <w:ind w:left="20"/>
              <w:spacing w:after="0" w:line="147" w:lineRule="exact"/>
              <w:rPr>
                <w:sz w:val="20"/>
                <w:szCs w:val="20"/>
                <w:color w:val="auto"/>
              </w:rPr>
            </w:pPr>
            <w:r>
              <w:rPr>
                <w:rFonts w:ascii="Arial" w:cs="Arial" w:eastAsia="Arial" w:hAnsi="Arial"/>
                <w:sz w:val="14"/>
                <w:szCs w:val="14"/>
                <w:color w:val="auto"/>
              </w:rPr>
              <w:t>​​ ​</w:t>
            </w:r>
          </w:p>
        </w:tc>
        <w:tc>
          <w:tcPr>
            <w:tcW w:w="340" w:type="dxa"/>
            <w:vAlign w:val="bottom"/>
            <w:vMerge w:val="restart"/>
          </w:tcPr>
          <w:p>
            <w:pPr>
              <w:ind w:left="260"/>
              <w:spacing w:after="0" w:line="147" w:lineRule="exact"/>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ind w:right="194"/>
              <w:spacing w:after="0" w:line="147" w:lineRule="exact"/>
              <w:rPr>
                <w:sz w:val="20"/>
                <w:szCs w:val="20"/>
                <w:color w:val="auto"/>
              </w:rPr>
            </w:pPr>
            <w:r>
              <w:rPr>
                <w:rFonts w:ascii="Arial" w:cs="Arial" w:eastAsia="Arial" w:hAnsi="Arial"/>
                <w:sz w:val="14"/>
                <w:szCs w:val="14"/>
                <w:color w:val="auto"/>
              </w:rPr>
              <w:t>81,164</w:t>
            </w:r>
          </w:p>
        </w:tc>
        <w:tc>
          <w:tcPr>
            <w:tcW w:w="180" w:type="dxa"/>
            <w:vAlign w:val="bottom"/>
            <w:vMerge w:val="restart"/>
          </w:tcPr>
          <w:p>
            <w:pPr>
              <w:spacing w:after="0" w:line="147" w:lineRule="exact"/>
              <w:rPr>
                <w:sz w:val="20"/>
                <w:szCs w:val="20"/>
                <w:color w:val="auto"/>
              </w:rPr>
            </w:pPr>
            <w:r>
              <w:rPr>
                <w:rFonts w:ascii="Arial" w:cs="Arial" w:eastAsia="Arial" w:hAnsi="Arial"/>
                <w:sz w:val="14"/>
                <w:szCs w:val="14"/>
                <w:color w:val="auto"/>
              </w:rPr>
              <w:t>​​ ​</w:t>
            </w:r>
          </w:p>
        </w:tc>
        <w:tc>
          <w:tcPr>
            <w:tcW w:w="1060" w:type="dxa"/>
            <w:vAlign w:val="bottom"/>
            <w:vMerge w:val="restart"/>
          </w:tcPr>
          <w:p>
            <w:pPr>
              <w:jc w:val="center"/>
              <w:spacing w:after="0" w:line="147" w:lineRule="exact"/>
              <w:rPr>
                <w:sz w:val="20"/>
                <w:szCs w:val="20"/>
                <w:color w:val="auto"/>
              </w:rPr>
            </w:pPr>
            <w:r>
              <w:rPr>
                <w:rFonts w:ascii="Arial" w:cs="Arial" w:eastAsia="Arial" w:hAnsi="Arial"/>
                <w:sz w:val="14"/>
                <w:szCs w:val="14"/>
                <w:color w:val="auto"/>
              </w:rPr>
              <w:t>​ 4,066</w:t>
            </w:r>
          </w:p>
        </w:tc>
        <w:tc>
          <w:tcPr>
            <w:tcW w:w="920" w:type="dxa"/>
            <w:vAlign w:val="bottom"/>
            <w:gridSpan w:val="2"/>
            <w:vMerge w:val="restart"/>
          </w:tcPr>
          <w:p>
            <w:pPr>
              <w:jc w:val="right"/>
              <w:spacing w:after="0" w:line="147" w:lineRule="exact"/>
              <w:rPr>
                <w:sz w:val="20"/>
                <w:szCs w:val="20"/>
                <w:color w:val="auto"/>
              </w:rPr>
            </w:pPr>
            <w:r>
              <w:rPr>
                <w:rFonts w:ascii="Arial" w:cs="Arial" w:eastAsia="Arial" w:hAnsi="Arial"/>
                <w:sz w:val="14"/>
                <w:szCs w:val="14"/>
                <w:color w:val="auto"/>
              </w:rPr>
              <w:t>​​ ​ ​2,680,603​</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60" w:type="dxa"/>
            <w:vAlign w:val="bottom"/>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1260" w:type="dxa"/>
            <w:vAlign w:val="bottom"/>
            <w:gridSpan w:val="2"/>
          </w:tcPr>
          <w:p>
            <w:pPr>
              <w:jc w:val="right"/>
              <w:spacing w:after="0" w:line="85" w:lineRule="exact"/>
              <w:rPr>
                <w:sz w:val="20"/>
                <w:szCs w:val="20"/>
                <w:color w:val="auto"/>
              </w:rPr>
            </w:pPr>
            <w:r>
              <w:rPr>
                <w:rFonts w:ascii="Arial" w:cs="Arial" w:eastAsia="Arial" w:hAnsi="Arial"/>
                <w:sz w:val="9"/>
                <w:szCs w:val="9"/>
                <w:color w:val="auto"/>
              </w:rPr>
              <w:t>​ ​ ​2024​ ​ ​105,479​</w:t>
            </w: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1840" w:type="dxa"/>
            <w:vAlign w:val="bottom"/>
          </w:tcPr>
          <w:p>
            <w:pPr>
              <w:ind w:left="60"/>
              <w:spacing w:after="0"/>
              <w:rPr>
                <w:sz w:val="20"/>
                <w:szCs w:val="20"/>
                <w:color w:val="auto"/>
              </w:rPr>
            </w:pPr>
            <w:r>
              <w:rPr>
                <w:rFonts w:ascii="Arial" w:cs="Arial" w:eastAsia="Arial" w:hAnsi="Arial"/>
                <w:sz w:val="14"/>
                <w:szCs w:val="14"/>
                <w:color w:val="auto"/>
              </w:rPr>
              <w:t>Executive Vice President</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840" w:type="dxa"/>
            <w:vAlign w:val="bottom"/>
          </w:tcPr>
          <w:p>
            <w:pPr>
              <w:ind w:left="60"/>
              <w:spacing w:after="0"/>
              <w:rPr>
                <w:sz w:val="20"/>
                <w:szCs w:val="20"/>
                <w:color w:val="auto"/>
              </w:rPr>
            </w:pPr>
            <w:r>
              <w:rPr>
                <w:rFonts w:ascii="Arial" w:cs="Arial" w:eastAsia="Arial" w:hAnsi="Arial"/>
                <w:sz w:val="14"/>
                <w:szCs w:val="14"/>
                <w:color w:val="auto"/>
              </w:rPr>
              <w:t>and Chief Financial</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0" w:type="dxa"/>
            <w:vAlign w:val="bottom"/>
            <w:tcBorders>
              <w:bottom w:val="single" w:sz="8" w:color="E7417A"/>
            </w:tcBorders>
          </w:tcPr>
          <w:p>
            <w:pPr>
              <w:spacing w:after="0"/>
              <w:rPr>
                <w:sz w:val="16"/>
                <w:szCs w:val="16"/>
                <w:color w:val="auto"/>
              </w:rPr>
            </w:pPr>
          </w:p>
        </w:tc>
        <w:tc>
          <w:tcPr>
            <w:tcW w:w="1840" w:type="dxa"/>
            <w:vAlign w:val="bottom"/>
            <w:tcBorders>
              <w:bottom w:val="single" w:sz="8" w:color="E7417A"/>
            </w:tcBorders>
          </w:tcPr>
          <w:p>
            <w:pPr>
              <w:ind w:left="60"/>
              <w:spacing w:after="0"/>
              <w:rPr>
                <w:sz w:val="20"/>
                <w:szCs w:val="20"/>
                <w:color w:val="auto"/>
              </w:rPr>
            </w:pPr>
            <w:r>
              <w:rPr>
                <w:rFonts w:ascii="Arial" w:cs="Arial" w:eastAsia="Arial" w:hAnsi="Arial"/>
                <w:sz w:val="14"/>
                <w:szCs w:val="14"/>
                <w:color w:val="auto"/>
              </w:rPr>
              <w:t>Officer</w:t>
            </w:r>
          </w:p>
        </w:tc>
        <w:tc>
          <w:tcPr>
            <w:tcW w:w="120" w:type="dxa"/>
            <w:vAlign w:val="bottom"/>
            <w:tcBorders>
              <w:bottom w:val="single" w:sz="8" w:color="E7417A"/>
            </w:tcBorders>
          </w:tcPr>
          <w:p>
            <w:pPr>
              <w:spacing w:after="0"/>
              <w:rPr>
                <w:sz w:val="16"/>
                <w:szCs w:val="16"/>
                <w:color w:val="auto"/>
              </w:rPr>
            </w:pPr>
          </w:p>
        </w:tc>
        <w:tc>
          <w:tcPr>
            <w:tcW w:w="1140" w:type="dxa"/>
            <w:vAlign w:val="bottom"/>
            <w:tcBorders>
              <w:bottom w:val="single" w:sz="8" w:color="E7417A"/>
            </w:tcBorders>
          </w:tcPr>
          <w:p>
            <w:pPr>
              <w:spacing w:after="0"/>
              <w:rPr>
                <w:sz w:val="16"/>
                <w:szCs w:val="16"/>
                <w:color w:val="auto"/>
              </w:rPr>
            </w:pPr>
          </w:p>
        </w:tc>
        <w:tc>
          <w:tcPr>
            <w:tcW w:w="60" w:type="dxa"/>
            <w:vAlign w:val="bottom"/>
            <w:tcBorders>
              <w:bottom w:val="single" w:sz="8" w:color="E7417A"/>
            </w:tcBorders>
          </w:tcPr>
          <w:p>
            <w:pPr>
              <w:spacing w:after="0"/>
              <w:rPr>
                <w:sz w:val="16"/>
                <w:szCs w:val="16"/>
                <w:color w:val="auto"/>
              </w:rPr>
            </w:pPr>
          </w:p>
        </w:tc>
        <w:tc>
          <w:tcPr>
            <w:tcW w:w="120" w:type="dxa"/>
            <w:vAlign w:val="bottom"/>
            <w:tcBorders>
              <w:bottom w:val="single" w:sz="8" w:color="E7417A"/>
            </w:tcBorders>
          </w:tcPr>
          <w:p>
            <w:pPr>
              <w:spacing w:after="0"/>
              <w:rPr>
                <w:sz w:val="16"/>
                <w:szCs w:val="16"/>
                <w:color w:val="auto"/>
              </w:rPr>
            </w:pPr>
          </w:p>
        </w:tc>
        <w:tc>
          <w:tcPr>
            <w:tcW w:w="140" w:type="dxa"/>
            <w:vAlign w:val="bottom"/>
            <w:tcBorders>
              <w:bottom w:val="single" w:sz="8" w:color="E7417A"/>
            </w:tcBorders>
          </w:tcPr>
          <w:p>
            <w:pPr>
              <w:spacing w:after="0"/>
              <w:rPr>
                <w:sz w:val="16"/>
                <w:szCs w:val="16"/>
                <w:color w:val="auto"/>
              </w:rPr>
            </w:pPr>
          </w:p>
        </w:tc>
        <w:tc>
          <w:tcPr>
            <w:tcW w:w="460" w:type="dxa"/>
            <w:vAlign w:val="bottom"/>
            <w:tcBorders>
              <w:bottom w:val="single" w:sz="8" w:color="E7417A"/>
            </w:tcBorders>
          </w:tcPr>
          <w:p>
            <w:pPr>
              <w:spacing w:after="0"/>
              <w:rPr>
                <w:sz w:val="16"/>
                <w:szCs w:val="16"/>
                <w:color w:val="auto"/>
              </w:rPr>
            </w:pPr>
          </w:p>
        </w:tc>
        <w:tc>
          <w:tcPr>
            <w:tcW w:w="160" w:type="dxa"/>
            <w:vAlign w:val="bottom"/>
            <w:tcBorders>
              <w:bottom w:val="single" w:sz="8" w:color="E7417A"/>
            </w:tcBorders>
          </w:tcPr>
          <w:p>
            <w:pPr>
              <w:spacing w:after="0"/>
              <w:rPr>
                <w:sz w:val="16"/>
                <w:szCs w:val="16"/>
                <w:color w:val="auto"/>
              </w:rPr>
            </w:pPr>
          </w:p>
        </w:tc>
        <w:tc>
          <w:tcPr>
            <w:tcW w:w="100" w:type="dxa"/>
            <w:vAlign w:val="bottom"/>
            <w:tcBorders>
              <w:bottom w:val="single" w:sz="8" w:color="E7417A"/>
            </w:tcBorders>
          </w:tcPr>
          <w:p>
            <w:pPr>
              <w:spacing w:after="0"/>
              <w:rPr>
                <w:sz w:val="16"/>
                <w:szCs w:val="16"/>
                <w:color w:val="auto"/>
              </w:rPr>
            </w:pPr>
          </w:p>
        </w:tc>
        <w:tc>
          <w:tcPr>
            <w:tcW w:w="420" w:type="dxa"/>
            <w:vAlign w:val="bottom"/>
            <w:tcBorders>
              <w:bottom w:val="single" w:sz="8" w:color="E7417A"/>
            </w:tcBorders>
          </w:tcPr>
          <w:p>
            <w:pPr>
              <w:spacing w:after="0"/>
              <w:rPr>
                <w:sz w:val="16"/>
                <w:szCs w:val="16"/>
                <w:color w:val="auto"/>
              </w:rPr>
            </w:pPr>
          </w:p>
        </w:tc>
        <w:tc>
          <w:tcPr>
            <w:tcW w:w="280" w:type="dxa"/>
            <w:vAlign w:val="bottom"/>
            <w:tcBorders>
              <w:bottom w:val="single" w:sz="8" w:color="E7417A"/>
            </w:tcBorders>
          </w:tcPr>
          <w:p>
            <w:pPr>
              <w:spacing w:after="0"/>
              <w:rPr>
                <w:sz w:val="16"/>
                <w:szCs w:val="16"/>
                <w:color w:val="auto"/>
              </w:rPr>
            </w:pPr>
          </w:p>
        </w:tc>
        <w:tc>
          <w:tcPr>
            <w:tcW w:w="340" w:type="dxa"/>
            <w:vAlign w:val="bottom"/>
            <w:tcBorders>
              <w:bottom w:val="single" w:sz="8" w:color="E7417A"/>
            </w:tcBorders>
          </w:tcPr>
          <w:p>
            <w:pPr>
              <w:spacing w:after="0"/>
              <w:rPr>
                <w:sz w:val="16"/>
                <w:szCs w:val="16"/>
                <w:color w:val="auto"/>
              </w:rPr>
            </w:pPr>
          </w:p>
        </w:tc>
        <w:tc>
          <w:tcPr>
            <w:tcW w:w="160" w:type="dxa"/>
            <w:vAlign w:val="bottom"/>
            <w:tcBorders>
              <w:bottom w:val="single" w:sz="8" w:color="E7417A"/>
            </w:tcBorders>
          </w:tcPr>
          <w:p>
            <w:pPr>
              <w:spacing w:after="0"/>
              <w:rPr>
                <w:sz w:val="16"/>
                <w:szCs w:val="16"/>
                <w:color w:val="auto"/>
              </w:rPr>
            </w:pPr>
          </w:p>
        </w:tc>
        <w:tc>
          <w:tcPr>
            <w:tcW w:w="180" w:type="dxa"/>
            <w:vAlign w:val="bottom"/>
            <w:tcBorders>
              <w:bottom w:val="single" w:sz="8" w:color="E7417A"/>
            </w:tcBorders>
          </w:tcPr>
          <w:p>
            <w:pPr>
              <w:spacing w:after="0"/>
              <w:rPr>
                <w:sz w:val="16"/>
                <w:szCs w:val="16"/>
                <w:color w:val="auto"/>
              </w:rPr>
            </w:pPr>
          </w:p>
        </w:tc>
        <w:tc>
          <w:tcPr>
            <w:tcW w:w="340" w:type="dxa"/>
            <w:vAlign w:val="bottom"/>
            <w:tcBorders>
              <w:bottom w:val="single" w:sz="8" w:color="E7417A"/>
            </w:tcBorders>
          </w:tcPr>
          <w:p>
            <w:pPr>
              <w:spacing w:after="0"/>
              <w:rPr>
                <w:sz w:val="16"/>
                <w:szCs w:val="16"/>
                <w:color w:val="auto"/>
              </w:rPr>
            </w:pPr>
          </w:p>
        </w:tc>
        <w:tc>
          <w:tcPr>
            <w:tcW w:w="720" w:type="dxa"/>
            <w:vAlign w:val="bottom"/>
            <w:tcBorders>
              <w:bottom w:val="single" w:sz="8" w:color="E7417A"/>
            </w:tcBorders>
          </w:tcPr>
          <w:p>
            <w:pPr>
              <w:spacing w:after="0"/>
              <w:rPr>
                <w:sz w:val="16"/>
                <w:szCs w:val="16"/>
                <w:color w:val="auto"/>
              </w:rPr>
            </w:pPr>
          </w:p>
        </w:tc>
        <w:tc>
          <w:tcPr>
            <w:tcW w:w="180" w:type="dxa"/>
            <w:vAlign w:val="bottom"/>
            <w:tcBorders>
              <w:bottom w:val="single" w:sz="8" w:color="E7417A"/>
            </w:tcBorders>
          </w:tcPr>
          <w:p>
            <w:pPr>
              <w:spacing w:after="0"/>
              <w:rPr>
                <w:sz w:val="16"/>
                <w:szCs w:val="16"/>
                <w:color w:val="auto"/>
              </w:rPr>
            </w:pPr>
          </w:p>
        </w:tc>
        <w:tc>
          <w:tcPr>
            <w:tcW w:w="1060" w:type="dxa"/>
            <w:vAlign w:val="bottom"/>
            <w:tcBorders>
              <w:bottom w:val="single" w:sz="8" w:color="E7417A"/>
            </w:tcBorders>
          </w:tcPr>
          <w:p>
            <w:pPr>
              <w:spacing w:after="0"/>
              <w:rPr>
                <w:sz w:val="16"/>
                <w:szCs w:val="16"/>
                <w:color w:val="auto"/>
              </w:rPr>
            </w:pPr>
          </w:p>
        </w:tc>
        <w:tc>
          <w:tcPr>
            <w:tcW w:w="280" w:type="dxa"/>
            <w:vAlign w:val="bottom"/>
            <w:tcBorders>
              <w:bottom w:val="single" w:sz="8" w:color="E7417A"/>
            </w:tcBorders>
          </w:tcPr>
          <w:p>
            <w:pPr>
              <w:spacing w:after="0"/>
              <w:rPr>
                <w:sz w:val="16"/>
                <w:szCs w:val="16"/>
                <w:color w:val="auto"/>
              </w:rPr>
            </w:pPr>
          </w:p>
        </w:tc>
        <w:tc>
          <w:tcPr>
            <w:tcW w:w="640" w:type="dxa"/>
            <w:vAlign w:val="bottom"/>
            <w:tcBorders>
              <w:bottom w:val="single" w:sz="8" w:color="E7417A"/>
            </w:tcBorders>
          </w:tcPr>
          <w:p>
            <w:pPr>
              <w:spacing w:after="0"/>
              <w:rPr>
                <w:sz w:val="16"/>
                <w:szCs w:val="16"/>
                <w:color w:val="auto"/>
              </w:rPr>
            </w:pPr>
          </w:p>
        </w:tc>
        <w:tc>
          <w:tcPr>
            <w:tcW w:w="60" w:type="dxa"/>
            <w:vAlign w:val="bottom"/>
            <w:tcBorders>
              <w:bottom w:val="single" w:sz="8" w:color="E7417A"/>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60" w:type="dxa"/>
            <w:vAlign w:val="bottom"/>
            <w:vMerge w:val="restart"/>
          </w:tcPr>
          <w:p>
            <w:pPr>
              <w:spacing w:after="0" w:line="160" w:lineRule="exact"/>
              <w:rPr>
                <w:sz w:val="20"/>
                <w:szCs w:val="20"/>
                <w:color w:val="auto"/>
              </w:rPr>
            </w:pPr>
            <w:r>
              <w:rPr>
                <w:rFonts w:ascii="Arial" w:cs="Arial" w:eastAsia="Arial" w:hAnsi="Arial"/>
                <w:sz w:val="14"/>
                <w:szCs w:val="14"/>
                <w:color w:val="auto"/>
              </w:rPr>
              <w:t>​</w:t>
            </w:r>
          </w:p>
        </w:tc>
        <w:tc>
          <w:tcPr>
            <w:tcW w:w="1840" w:type="dxa"/>
            <w:vAlign w:val="bottom"/>
            <w:vMerge w:val="restart"/>
          </w:tcPr>
          <w:p>
            <w:pPr>
              <w:ind w:left="60"/>
              <w:spacing w:after="0" w:line="160" w:lineRule="exact"/>
              <w:rPr>
                <w:sz w:val="20"/>
                <w:szCs w:val="20"/>
                <w:color w:val="auto"/>
              </w:rPr>
            </w:pPr>
            <w:r>
              <w:rPr>
                <w:rFonts w:ascii="Arial" w:cs="Arial" w:eastAsia="Arial" w:hAnsi="Arial"/>
                <w:sz w:val="14"/>
                <w:szCs w:val="14"/>
                <w:b w:val="1"/>
                <w:bCs w:val="1"/>
                <w:color w:val="auto"/>
              </w:rPr>
              <w:t>Sam Bucci</w:t>
            </w:r>
            <w:r>
              <w:rPr>
                <w:rFonts w:ascii="Arial" w:cs="Arial" w:eastAsia="Arial" w:hAnsi="Arial"/>
                <w:sz w:val="14"/>
                <w:szCs w:val="14"/>
                <w:color w:val="auto"/>
              </w:rPr>
              <w:t>,</w:t>
            </w:r>
          </w:p>
        </w:tc>
        <w:tc>
          <w:tcPr>
            <w:tcW w:w="1320" w:type="dxa"/>
            <w:vAlign w:val="bottom"/>
            <w:gridSpan w:val="3"/>
          </w:tcPr>
          <w:p>
            <w:pPr>
              <w:jc w:val="right"/>
              <w:spacing w:after="0" w:line="75" w:lineRule="exact"/>
              <w:rPr>
                <w:sz w:val="20"/>
                <w:szCs w:val="20"/>
                <w:color w:val="auto"/>
              </w:rPr>
            </w:pPr>
            <w:r>
              <w:rPr>
                <w:rFonts w:ascii="Arial" w:cs="Arial" w:eastAsia="Arial" w:hAnsi="Arial"/>
                <w:sz w:val="8"/>
                <w:szCs w:val="8"/>
                <w:color w:val="auto"/>
              </w:rPr>
              <w:t>(5)</w:t>
            </w:r>
          </w:p>
        </w:tc>
        <w:tc>
          <w:tcPr>
            <w:tcW w:w="120" w:type="dxa"/>
            <w:vAlign w:val="bottom"/>
            <w:vMerge w:val="restart"/>
          </w:tcPr>
          <w:p>
            <w:pPr>
              <w:ind w:left="20"/>
              <w:spacing w:after="0" w:line="160" w:lineRule="exact"/>
              <w:rPr>
                <w:sz w:val="20"/>
                <w:szCs w:val="20"/>
                <w:color w:val="auto"/>
              </w:rPr>
            </w:pPr>
            <w:r>
              <w:rPr>
                <w:rFonts w:ascii="Arial" w:cs="Arial" w:eastAsia="Arial" w:hAnsi="Arial"/>
                <w:sz w:val="14"/>
                <w:szCs w:val="14"/>
                <w:color w:val="auto"/>
              </w:rPr>
              <w:t>​</w:t>
            </w:r>
          </w:p>
        </w:tc>
        <w:tc>
          <w:tcPr>
            <w:tcW w:w="140" w:type="dxa"/>
            <w:vAlign w:val="bottom"/>
            <w:vMerge w:val="restart"/>
          </w:tcPr>
          <w:p>
            <w:pPr>
              <w:ind w:left="20"/>
              <w:spacing w:after="0" w:line="160"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bscript"/>
              </w:rPr>
              <w:t>​</w:t>
            </w:r>
          </w:p>
        </w:tc>
        <w:tc>
          <w:tcPr>
            <w:tcW w:w="460" w:type="dxa"/>
            <w:vAlign w:val="bottom"/>
            <w:vMerge w:val="restart"/>
          </w:tcPr>
          <w:p>
            <w:pPr>
              <w:jc w:val="right"/>
              <w:spacing w:after="0" w:line="160"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perscript"/>
              </w:rPr>
              <w:t>​</w:t>
            </w:r>
          </w:p>
        </w:tc>
        <w:tc>
          <w:tcPr>
            <w:tcW w:w="160" w:type="dxa"/>
            <w:vAlign w:val="bottom"/>
            <w:vMerge w:val="restart"/>
          </w:tcPr>
          <w:p>
            <w:pPr>
              <w:jc w:val="center"/>
              <w:spacing w:after="0" w:line="160" w:lineRule="exact"/>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line="160"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bscript"/>
              </w:rPr>
              <w:t>​</w:t>
            </w:r>
          </w:p>
        </w:tc>
        <w:tc>
          <w:tcPr>
            <w:tcW w:w="700" w:type="dxa"/>
            <w:vAlign w:val="bottom"/>
            <w:gridSpan w:val="2"/>
            <w:vMerge w:val="restart"/>
          </w:tcPr>
          <w:p>
            <w:pPr>
              <w:jc w:val="right"/>
              <w:spacing w:after="0" w:line="160" w:lineRule="exact"/>
              <w:rPr>
                <w:sz w:val="20"/>
                <w:szCs w:val="20"/>
                <w:color w:val="auto"/>
              </w:rPr>
            </w:pPr>
            <w:r>
              <w:rPr>
                <w:rFonts w:ascii="Arial" w:cs="Arial" w:eastAsia="Arial" w:hAnsi="Arial"/>
                <w:sz w:val="11"/>
                <w:szCs w:val="11"/>
                <w:color w:val="auto"/>
              </w:rPr>
              <w:t>698,099</w:t>
            </w:r>
            <w:r>
              <w:rPr>
                <w:rFonts w:ascii="Arial" w:cs="Arial" w:eastAsia="Arial" w:hAnsi="Arial"/>
                <w:sz w:val="18"/>
                <w:szCs w:val="18"/>
                <w:color w:val="auto"/>
                <w:vertAlign w:val="superscript"/>
              </w:rPr>
              <w:t>​ ​</w:t>
            </w:r>
          </w:p>
        </w:tc>
        <w:tc>
          <w:tcPr>
            <w:tcW w:w="340" w:type="dxa"/>
            <w:vAlign w:val="bottom"/>
            <w:vMerge w:val="restart"/>
          </w:tcPr>
          <w:p>
            <w:pPr>
              <w:ind w:left="180"/>
              <w:spacing w:after="0" w:line="160" w:lineRule="exact"/>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160"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20"/>
              <w:spacing w:after="0" w:line="160" w:lineRule="exact"/>
              <w:rPr>
                <w:sz w:val="20"/>
                <w:szCs w:val="20"/>
                <w:color w:val="auto"/>
              </w:rPr>
            </w:pPr>
            <w:r>
              <w:rPr>
                <w:rFonts w:ascii="Arial" w:cs="Arial" w:eastAsia="Arial" w:hAnsi="Arial"/>
                <w:sz w:val="14"/>
                <w:szCs w:val="14"/>
                <w:color w:val="auto"/>
              </w:rPr>
              <w:t>​​ ​</w:t>
            </w:r>
          </w:p>
        </w:tc>
        <w:tc>
          <w:tcPr>
            <w:tcW w:w="1060" w:type="dxa"/>
            <w:vAlign w:val="bottom"/>
            <w:gridSpan w:val="2"/>
            <w:vMerge w:val="restart"/>
          </w:tcPr>
          <w:p>
            <w:pPr>
              <w:jc w:val="right"/>
              <w:ind w:right="194"/>
              <w:spacing w:after="0" w:line="160"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240,896</w:t>
            </w:r>
          </w:p>
        </w:tc>
        <w:tc>
          <w:tcPr>
            <w:tcW w:w="180" w:type="dxa"/>
            <w:vAlign w:val="bottom"/>
            <w:vMerge w:val="restart"/>
          </w:tcPr>
          <w:p>
            <w:pPr>
              <w:spacing w:after="0" w:line="160" w:lineRule="exact"/>
              <w:rPr>
                <w:sz w:val="20"/>
                <w:szCs w:val="20"/>
                <w:color w:val="auto"/>
              </w:rPr>
            </w:pPr>
            <w:r>
              <w:rPr>
                <w:rFonts w:ascii="Arial" w:cs="Arial" w:eastAsia="Arial" w:hAnsi="Arial"/>
                <w:sz w:val="14"/>
                <w:szCs w:val="14"/>
                <w:color w:val="auto"/>
              </w:rPr>
              <w:t>​​ ​</w:t>
            </w:r>
          </w:p>
        </w:tc>
        <w:tc>
          <w:tcPr>
            <w:tcW w:w="1060" w:type="dxa"/>
            <w:vAlign w:val="bottom"/>
            <w:vMerge w:val="restart"/>
          </w:tcPr>
          <w:p>
            <w:pPr>
              <w:jc w:val="center"/>
              <w:spacing w:after="0" w:line="160"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1"/>
                <w:szCs w:val="11"/>
                <w:color w:val="auto"/>
              </w:rPr>
              <w:t>​18,270</w:t>
            </w:r>
          </w:p>
        </w:tc>
        <w:tc>
          <w:tcPr>
            <w:tcW w:w="920" w:type="dxa"/>
            <w:vAlign w:val="bottom"/>
            <w:gridSpan w:val="2"/>
            <w:vMerge w:val="restart"/>
          </w:tcPr>
          <w:p>
            <w:pPr>
              <w:jc w:val="right"/>
              <w:spacing w:after="0" w:line="160" w:lineRule="exact"/>
              <w:rPr>
                <w:sz w:val="20"/>
                <w:szCs w:val="20"/>
                <w:color w:val="auto"/>
              </w:rPr>
            </w:pPr>
            <w:r>
              <w:rPr>
                <w:rFonts w:ascii="Arial" w:cs="Arial" w:eastAsia="Arial" w:hAnsi="Arial"/>
                <w:sz w:val="18"/>
                <w:szCs w:val="18"/>
                <w:color w:val="auto"/>
                <w:vertAlign w:val="superscript"/>
              </w:rPr>
              <w:t>​​ ​ ​</w:t>
            </w:r>
            <w:r>
              <w:rPr>
                <w:rFonts w:ascii="Arial" w:cs="Arial" w:eastAsia="Arial" w:hAnsi="Arial"/>
                <w:sz w:val="11"/>
                <w:szCs w:val="11"/>
                <w:color w:val="auto"/>
              </w:rPr>
              <w:t>​1,416,115</w:t>
            </w:r>
            <w:r>
              <w:rPr>
                <w:rFonts w:ascii="Arial" w:cs="Arial" w:eastAsia="Arial" w:hAnsi="Arial"/>
                <w:sz w:val="18"/>
                <w:szCs w:val="18"/>
                <w:color w:val="auto"/>
                <w:vertAlign w:val="superscript"/>
              </w:rPr>
              <w:t>​</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0" w:type="dxa"/>
            <w:vAlign w:val="bottom"/>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1260" w:type="dxa"/>
            <w:vAlign w:val="bottom"/>
            <w:gridSpan w:val="2"/>
          </w:tcPr>
          <w:p>
            <w:pPr>
              <w:jc w:val="right"/>
              <w:spacing w:after="0" w:line="85" w:lineRule="exact"/>
              <w:rPr>
                <w:sz w:val="20"/>
                <w:szCs w:val="20"/>
                <w:color w:val="auto"/>
              </w:rPr>
            </w:pPr>
            <w:r>
              <w:rPr>
                <w:rFonts w:ascii="Arial" w:cs="Arial" w:eastAsia="Arial" w:hAnsi="Arial"/>
                <w:sz w:val="9"/>
                <w:szCs w:val="9"/>
                <w:color w:val="auto"/>
                <w:vertAlign w:val="superscript"/>
              </w:rPr>
              <w:t>​ ​ ​</w:t>
            </w:r>
            <w:r>
              <w:rPr>
                <w:rFonts w:ascii="Arial" w:cs="Arial" w:eastAsia="Arial" w:hAnsi="Arial"/>
                <w:sz w:val="8"/>
                <w:szCs w:val="8"/>
                <w:color w:val="auto"/>
              </w:rPr>
              <w:t>​2024</w:t>
            </w:r>
            <w:r>
              <w:rPr>
                <w:rFonts w:ascii="Arial" w:cs="Arial" w:eastAsia="Arial" w:hAnsi="Arial"/>
                <w:sz w:val="9"/>
                <w:szCs w:val="9"/>
                <w:color w:val="auto"/>
                <w:vertAlign w:val="superscript"/>
              </w:rPr>
              <w:t>​ ​ ​</w:t>
            </w:r>
            <w:r>
              <w:rPr>
                <w:rFonts w:ascii="Arial" w:cs="Arial" w:eastAsia="Arial" w:hAnsi="Arial"/>
                <w:sz w:val="8"/>
                <w:szCs w:val="8"/>
                <w:color w:val="auto"/>
              </w:rPr>
              <w:t>​458,850</w:t>
            </w:r>
            <w:r>
              <w:rPr>
                <w:rFonts w:ascii="Arial" w:cs="Arial" w:eastAsia="Arial" w:hAnsi="Arial"/>
                <w:sz w:val="9"/>
                <w:szCs w:val="9"/>
                <w:color w:val="auto"/>
                <w:vertAlign w:val="superscript"/>
              </w:rPr>
              <w:t>​</w:t>
            </w: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1840" w:type="dxa"/>
            <w:vAlign w:val="bottom"/>
            <w:vMerge w:val="restart"/>
          </w:tcPr>
          <w:p>
            <w:pPr>
              <w:ind w:left="60"/>
              <w:spacing w:after="0"/>
              <w:rPr>
                <w:sz w:val="20"/>
                <w:szCs w:val="20"/>
                <w:color w:val="auto"/>
              </w:rPr>
            </w:pPr>
            <w:r>
              <w:rPr>
                <w:rFonts w:ascii="Arial" w:cs="Arial" w:eastAsia="Arial" w:hAnsi="Arial"/>
                <w:sz w:val="14"/>
                <w:szCs w:val="14"/>
                <w:color w:val="auto"/>
              </w:rPr>
              <w:t>Executive Vice President</w:t>
            </w:r>
          </w:p>
        </w:tc>
        <w:tc>
          <w:tcPr>
            <w:tcW w:w="120" w:type="dxa"/>
            <w:vAlign w:val="bottom"/>
          </w:tcPr>
          <w:p>
            <w:pPr>
              <w:spacing w:after="0" w:line="20" w:lineRule="exact"/>
              <w:rPr>
                <w:sz w:val="1"/>
                <w:szCs w:val="1"/>
                <w:color w:val="auto"/>
              </w:rPr>
            </w:pPr>
          </w:p>
        </w:tc>
        <w:tc>
          <w:tcPr>
            <w:tcW w:w="114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120" w:type="dxa"/>
            <w:vAlign w:val="bottom"/>
            <w:tcBorders>
              <w:bottom w:val="single" w:sz="8" w:color="4C4C4C"/>
            </w:tcBorders>
          </w:tcPr>
          <w:p>
            <w:pPr>
              <w:spacing w:after="0" w:line="20" w:lineRule="exact"/>
              <w:rPr>
                <w:sz w:val="1"/>
                <w:szCs w:val="1"/>
                <w:color w:val="auto"/>
              </w:rPr>
            </w:pPr>
          </w:p>
        </w:tc>
        <w:tc>
          <w:tcPr>
            <w:tcW w:w="140" w:type="dxa"/>
            <w:vAlign w:val="bottom"/>
            <w:tcBorders>
              <w:bottom w:val="single" w:sz="8" w:color="4C4C4C"/>
            </w:tcBorders>
          </w:tcPr>
          <w:p>
            <w:pPr>
              <w:spacing w:after="0" w:line="20" w:lineRule="exact"/>
              <w:rPr>
                <w:sz w:val="1"/>
                <w:szCs w:val="1"/>
                <w:color w:val="auto"/>
              </w:rPr>
            </w:pPr>
          </w:p>
        </w:tc>
        <w:tc>
          <w:tcPr>
            <w:tcW w:w="460" w:type="dxa"/>
            <w:vAlign w:val="bottom"/>
            <w:tcBorders>
              <w:bottom w:val="single" w:sz="8" w:color="4C4C4C"/>
            </w:tcBorders>
          </w:tcPr>
          <w:p>
            <w:pPr>
              <w:spacing w:after="0" w:line="20" w:lineRule="exact"/>
              <w:rPr>
                <w:sz w:val="1"/>
                <w:szCs w:val="1"/>
                <w:color w:val="auto"/>
              </w:rPr>
            </w:pPr>
          </w:p>
        </w:tc>
        <w:tc>
          <w:tcPr>
            <w:tcW w:w="160" w:type="dxa"/>
            <w:vAlign w:val="bottom"/>
            <w:tcBorders>
              <w:bottom w:val="single" w:sz="8" w:color="4C4C4C"/>
            </w:tcBorders>
          </w:tcPr>
          <w:p>
            <w:pPr>
              <w:spacing w:after="0" w:line="20" w:lineRule="exact"/>
              <w:rPr>
                <w:sz w:val="1"/>
                <w:szCs w:val="1"/>
                <w:color w:val="auto"/>
              </w:rPr>
            </w:pPr>
          </w:p>
        </w:tc>
        <w:tc>
          <w:tcPr>
            <w:tcW w:w="800" w:type="dxa"/>
            <w:vAlign w:val="bottom"/>
            <w:tcBorders>
              <w:bottom w:val="single" w:sz="8" w:color="4C4C4C"/>
            </w:tcBorders>
            <w:gridSpan w:val="3"/>
          </w:tcPr>
          <w:p>
            <w:pPr>
              <w:spacing w:after="0" w:line="20" w:lineRule="exact"/>
              <w:rPr>
                <w:sz w:val="1"/>
                <w:szCs w:val="1"/>
                <w:color w:val="auto"/>
              </w:rPr>
            </w:pPr>
          </w:p>
        </w:tc>
        <w:tc>
          <w:tcPr>
            <w:tcW w:w="340" w:type="dxa"/>
            <w:vAlign w:val="bottom"/>
            <w:tcBorders>
              <w:bottom w:val="single" w:sz="8" w:color="4C4C4C"/>
            </w:tcBorders>
          </w:tcPr>
          <w:p>
            <w:pPr>
              <w:spacing w:after="0" w:line="20" w:lineRule="exact"/>
              <w:rPr>
                <w:sz w:val="1"/>
                <w:szCs w:val="1"/>
                <w:color w:val="auto"/>
              </w:rPr>
            </w:pPr>
          </w:p>
        </w:tc>
        <w:tc>
          <w:tcPr>
            <w:tcW w:w="160" w:type="dxa"/>
            <w:vAlign w:val="bottom"/>
            <w:tcBorders>
              <w:bottom w:val="single" w:sz="8" w:color="4C4C4C"/>
            </w:tcBorders>
          </w:tcPr>
          <w:p>
            <w:pPr>
              <w:spacing w:after="0" w:line="20" w:lineRule="exact"/>
              <w:rPr>
                <w:sz w:val="1"/>
                <w:szCs w:val="1"/>
                <w:color w:val="auto"/>
              </w:rPr>
            </w:pPr>
          </w:p>
        </w:tc>
        <w:tc>
          <w:tcPr>
            <w:tcW w:w="180" w:type="dxa"/>
            <w:vAlign w:val="bottom"/>
            <w:tcBorders>
              <w:bottom w:val="single" w:sz="8" w:color="4C4C4C"/>
            </w:tcBorders>
          </w:tcPr>
          <w:p>
            <w:pPr>
              <w:spacing w:after="0" w:line="20" w:lineRule="exact"/>
              <w:rPr>
                <w:sz w:val="1"/>
                <w:szCs w:val="1"/>
                <w:color w:val="auto"/>
              </w:rPr>
            </w:pPr>
          </w:p>
        </w:tc>
        <w:tc>
          <w:tcPr>
            <w:tcW w:w="340" w:type="dxa"/>
            <w:vAlign w:val="bottom"/>
            <w:tcBorders>
              <w:bottom w:val="single" w:sz="8" w:color="4C4C4C"/>
            </w:tcBorders>
          </w:tcPr>
          <w:p>
            <w:pPr>
              <w:spacing w:after="0" w:line="20" w:lineRule="exact"/>
              <w:rPr>
                <w:sz w:val="1"/>
                <w:szCs w:val="1"/>
                <w:color w:val="auto"/>
              </w:rPr>
            </w:pPr>
          </w:p>
        </w:tc>
        <w:tc>
          <w:tcPr>
            <w:tcW w:w="720" w:type="dxa"/>
            <w:vAlign w:val="bottom"/>
            <w:tcBorders>
              <w:bottom w:val="single" w:sz="8" w:color="4C4C4C"/>
            </w:tcBorders>
          </w:tcPr>
          <w:p>
            <w:pPr>
              <w:spacing w:after="0" w:line="20" w:lineRule="exact"/>
              <w:rPr>
                <w:sz w:val="1"/>
                <w:szCs w:val="1"/>
                <w:color w:val="auto"/>
              </w:rPr>
            </w:pPr>
          </w:p>
        </w:tc>
        <w:tc>
          <w:tcPr>
            <w:tcW w:w="180" w:type="dxa"/>
            <w:vAlign w:val="bottom"/>
            <w:tcBorders>
              <w:bottom w:val="single" w:sz="8" w:color="4C4C4C"/>
            </w:tcBorders>
          </w:tcPr>
          <w:p>
            <w:pPr>
              <w:spacing w:after="0" w:line="20" w:lineRule="exact"/>
              <w:rPr>
                <w:sz w:val="1"/>
                <w:szCs w:val="1"/>
                <w:color w:val="auto"/>
              </w:rPr>
            </w:pPr>
          </w:p>
        </w:tc>
        <w:tc>
          <w:tcPr>
            <w:tcW w:w="1060" w:type="dxa"/>
            <w:vAlign w:val="bottom"/>
            <w:tcBorders>
              <w:bottom w:val="single" w:sz="8" w:color="4C4C4C"/>
            </w:tcBorders>
          </w:tcPr>
          <w:p>
            <w:pPr>
              <w:spacing w:after="0" w:line="20" w:lineRule="exact"/>
              <w:rPr>
                <w:sz w:val="1"/>
                <w:szCs w:val="1"/>
                <w:color w:val="auto"/>
              </w:rPr>
            </w:pPr>
          </w:p>
        </w:tc>
        <w:tc>
          <w:tcPr>
            <w:tcW w:w="920" w:type="dxa"/>
            <w:vAlign w:val="bottom"/>
            <w:tcBorders>
              <w:bottom w:val="single" w:sz="8" w:color="4C4C4C"/>
            </w:tcBorders>
            <w:gridSpan w:val="2"/>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6"/>
                <w:szCs w:val="16"/>
                <w:color w:val="auto"/>
                <w:vertAlign w:val="superscript"/>
              </w:rPr>
              <w:t>​ ​</w:t>
            </w:r>
            <w:r>
              <w:rPr>
                <w:rFonts w:ascii="Arial" w:cs="Arial" w:eastAsia="Arial" w:hAnsi="Arial"/>
                <w:sz w:val="10"/>
                <w:szCs w:val="10"/>
                <w:color w:val="auto"/>
              </w:rPr>
              <w:t>​2022</w:t>
            </w:r>
            <w:r>
              <w:rPr>
                <w:rFonts w:ascii="Arial" w:cs="Arial" w:eastAsia="Arial" w:hAnsi="Arial"/>
                <w:sz w:val="16"/>
                <w:szCs w:val="16"/>
                <w:color w:val="auto"/>
                <w:vertAlign w:val="superscript"/>
              </w:rPr>
              <w:t>​ ​ ​</w:t>
            </w:r>
            <w:r>
              <w:rPr>
                <w:rFonts w:ascii="Arial" w:cs="Arial" w:eastAsia="Arial" w:hAnsi="Arial"/>
                <w:sz w:val="10"/>
                <w:szCs w:val="10"/>
                <w:color w:val="auto"/>
              </w:rPr>
              <w:t>​435,754</w:t>
            </w:r>
            <w:r>
              <w:rPr>
                <w:rFonts w:ascii="Arial" w:cs="Arial" w:eastAsia="Arial" w:hAnsi="Arial"/>
                <w:sz w:val="16"/>
                <w:szCs w:val="16"/>
                <w:color w:val="auto"/>
                <w:vertAlign w:val="superscript"/>
              </w:rPr>
              <w:t>​</w:t>
            </w:r>
          </w:p>
        </w:tc>
        <w:tc>
          <w:tcPr>
            <w:tcW w:w="60" w:type="dxa"/>
            <w:vAlign w:val="bottom"/>
          </w:tcPr>
          <w:p>
            <w:pPr>
              <w:spacing w:after="0"/>
              <w:rPr>
                <w:sz w:val="12"/>
                <w:szCs w:val="12"/>
                <w:color w:val="auto"/>
              </w:rPr>
            </w:pPr>
          </w:p>
        </w:tc>
        <w:tc>
          <w:tcPr>
            <w:tcW w:w="12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20"/>
              <w:spacing w:after="0" w:line="142" w:lineRule="exact"/>
              <w:rPr>
                <w:sz w:val="20"/>
                <w:szCs w:val="20"/>
                <w:color w:val="auto"/>
              </w:rPr>
            </w:pPr>
            <w:r>
              <w:rPr>
                <w:rFonts w:ascii="Arial" w:cs="Arial" w:eastAsia="Arial" w:hAnsi="Arial"/>
                <w:sz w:val="10"/>
                <w:szCs w:val="10"/>
                <w:color w:val="auto"/>
              </w:rPr>
              <w:t>​</w:t>
            </w:r>
            <w:r>
              <w:rPr>
                <w:rFonts w:ascii="Arial" w:cs="Arial" w:eastAsia="Arial" w:hAnsi="Arial"/>
                <w:sz w:val="16"/>
                <w:szCs w:val="16"/>
                <w:color w:val="auto"/>
                <w:vertAlign w:val="subscript"/>
              </w:rPr>
              <w:t>​</w:t>
            </w:r>
          </w:p>
        </w:tc>
        <w:tc>
          <w:tcPr>
            <w:tcW w:w="460" w:type="dxa"/>
            <w:vAlign w:val="bottom"/>
          </w:tcPr>
          <w:p>
            <w:pPr>
              <w:jc w:val="right"/>
              <w:spacing w:after="0" w:line="142" w:lineRule="exact"/>
              <w:rPr>
                <w:sz w:val="20"/>
                <w:szCs w:val="20"/>
                <w:color w:val="auto"/>
              </w:rPr>
            </w:pPr>
            <w:r>
              <w:rPr>
                <w:rFonts w:ascii="Arial" w:cs="Arial" w:eastAsia="Arial" w:hAnsi="Arial"/>
                <w:sz w:val="10"/>
                <w:szCs w:val="10"/>
                <w:color w:val="auto"/>
              </w:rPr>
              <w:t>—</w:t>
            </w:r>
            <w:r>
              <w:rPr>
                <w:rFonts w:ascii="Arial" w:cs="Arial" w:eastAsia="Arial" w:hAnsi="Arial"/>
                <w:sz w:val="16"/>
                <w:szCs w:val="16"/>
                <w:color w:val="auto"/>
                <w:vertAlign w:val="superscript"/>
              </w:rPr>
              <w:t>​</w:t>
            </w:r>
          </w:p>
        </w:tc>
        <w:tc>
          <w:tcPr>
            <w:tcW w:w="16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line="142"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10"/>
                <w:szCs w:val="10"/>
                <w:color w:val="auto"/>
              </w:rPr>
              <w:t>​1,344,641</w:t>
            </w:r>
            <w:r>
              <w:rPr>
                <w:rFonts w:ascii="Arial" w:cs="Arial" w:eastAsia="Arial" w:hAnsi="Arial"/>
                <w:sz w:val="16"/>
                <w:szCs w:val="16"/>
                <w:color w:val="auto"/>
                <w:vertAlign w:val="superscript"/>
              </w:rPr>
              <w:t>​ ​</w:t>
            </w:r>
          </w:p>
        </w:tc>
        <w:tc>
          <w:tcPr>
            <w:tcW w:w="340" w:type="dxa"/>
            <w:vAlign w:val="bottom"/>
          </w:tcPr>
          <w:p>
            <w:pPr>
              <w:ind w:left="180"/>
              <w:spacing w:after="0" w:line="142"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180" w:type="dxa"/>
            <w:vAlign w:val="bottom"/>
          </w:tcPr>
          <w:p>
            <w:pPr>
              <w:ind w:left="20"/>
              <w:spacing w:after="0" w:line="142" w:lineRule="exact"/>
              <w:rPr>
                <w:sz w:val="20"/>
                <w:szCs w:val="20"/>
                <w:color w:val="auto"/>
              </w:rPr>
            </w:pPr>
            <w:r>
              <w:rPr>
                <w:rFonts w:ascii="Arial" w:cs="Arial" w:eastAsia="Arial" w:hAnsi="Arial"/>
                <w:sz w:val="14"/>
                <w:szCs w:val="14"/>
                <w:color w:val="auto"/>
              </w:rPr>
              <w:t>​​ ​</w:t>
            </w:r>
          </w:p>
        </w:tc>
        <w:tc>
          <w:tcPr>
            <w:tcW w:w="34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94"/>
              <w:spacing w:after="0" w:line="142" w:lineRule="exact"/>
              <w:rPr>
                <w:sz w:val="20"/>
                <w:szCs w:val="20"/>
                <w:color w:val="auto"/>
              </w:rPr>
            </w:pPr>
            <w:r>
              <w:rPr>
                <w:rFonts w:ascii="Arial" w:cs="Arial" w:eastAsia="Arial" w:hAnsi="Arial"/>
                <w:sz w:val="14"/>
                <w:szCs w:val="14"/>
                <w:color w:val="auto"/>
              </w:rPr>
              <w:t>48,400</w:t>
            </w:r>
          </w:p>
        </w:tc>
        <w:tc>
          <w:tcPr>
            <w:tcW w:w="180" w:type="dxa"/>
            <w:vAlign w:val="bottom"/>
          </w:tcPr>
          <w:p>
            <w:pPr>
              <w:spacing w:after="0" w:line="142" w:lineRule="exact"/>
              <w:rPr>
                <w:sz w:val="20"/>
                <w:szCs w:val="20"/>
                <w:color w:val="auto"/>
              </w:rPr>
            </w:pPr>
            <w:r>
              <w:rPr>
                <w:rFonts w:ascii="Arial" w:cs="Arial" w:eastAsia="Arial" w:hAnsi="Arial"/>
                <w:sz w:val="14"/>
                <w:szCs w:val="14"/>
                <w:color w:val="auto"/>
              </w:rPr>
              <w:t>​​ ​</w:t>
            </w:r>
          </w:p>
        </w:tc>
        <w:tc>
          <w:tcPr>
            <w:tcW w:w="1060" w:type="dxa"/>
            <w:vAlign w:val="bottom"/>
          </w:tcPr>
          <w:p>
            <w:pPr>
              <w:jc w:val="center"/>
              <w:spacing w:after="0" w:line="142"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10"/>
                <w:szCs w:val="10"/>
                <w:color w:val="auto"/>
              </w:rPr>
              <w:t>​14,306</w:t>
            </w:r>
          </w:p>
        </w:tc>
        <w:tc>
          <w:tcPr>
            <w:tcW w:w="920" w:type="dxa"/>
            <w:vAlign w:val="bottom"/>
            <w:gridSpan w:val="2"/>
          </w:tcPr>
          <w:p>
            <w:pPr>
              <w:jc w:val="right"/>
              <w:spacing w:after="0" w:line="142" w:lineRule="exact"/>
              <w:rPr>
                <w:sz w:val="20"/>
                <w:szCs w:val="20"/>
                <w:color w:val="auto"/>
              </w:rPr>
            </w:pPr>
            <w:r>
              <w:rPr>
                <w:rFonts w:ascii="Arial" w:cs="Arial" w:eastAsia="Arial" w:hAnsi="Arial"/>
                <w:sz w:val="16"/>
                <w:szCs w:val="16"/>
                <w:color w:val="auto"/>
                <w:vertAlign w:val="superscript"/>
              </w:rPr>
              <w:t>​​ ​ ​</w:t>
            </w:r>
            <w:r>
              <w:rPr>
                <w:rFonts w:ascii="Arial" w:cs="Arial" w:eastAsia="Arial" w:hAnsi="Arial"/>
                <w:sz w:val="10"/>
                <w:szCs w:val="10"/>
                <w:color w:val="auto"/>
              </w:rPr>
              <w:t>​1,843,101</w:t>
            </w:r>
            <w:r>
              <w:rPr>
                <w:rFonts w:ascii="Arial" w:cs="Arial" w:eastAsia="Arial" w:hAnsi="Arial"/>
                <w:sz w:val="16"/>
                <w:szCs w:val="16"/>
                <w:color w:val="auto"/>
                <w:vertAlign w:val="superscript"/>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1840" w:type="dxa"/>
            <w:vAlign w:val="bottom"/>
            <w:vMerge w:val="restart"/>
          </w:tcPr>
          <w:p>
            <w:pPr>
              <w:ind w:left="60"/>
              <w:spacing w:after="0" w:line="153" w:lineRule="exact"/>
              <w:rPr>
                <w:sz w:val="20"/>
                <w:szCs w:val="20"/>
                <w:color w:val="auto"/>
              </w:rPr>
            </w:pPr>
            <w:r>
              <w:rPr>
                <w:rFonts w:ascii="Arial" w:cs="Arial" w:eastAsia="Arial" w:hAnsi="Arial"/>
                <w:sz w:val="14"/>
                <w:szCs w:val="14"/>
                <w:color w:val="auto"/>
              </w:rPr>
              <w:t>and Chief Operating</w:t>
            </w:r>
          </w:p>
        </w:tc>
        <w:tc>
          <w:tcPr>
            <w:tcW w:w="120" w:type="dxa"/>
            <w:vAlign w:val="bottom"/>
          </w:tcPr>
          <w:p>
            <w:pPr>
              <w:spacing w:after="0"/>
              <w:rPr>
                <w:sz w:val="4"/>
                <w:szCs w:val="4"/>
                <w:color w:val="auto"/>
              </w:rPr>
            </w:pPr>
          </w:p>
        </w:tc>
        <w:tc>
          <w:tcPr>
            <w:tcW w:w="114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140" w:type="dxa"/>
            <w:vAlign w:val="bottom"/>
            <w:tcBorders>
              <w:bottom w:val="single" w:sz="8" w:color="4C4C4C"/>
            </w:tcBorders>
          </w:tcPr>
          <w:p>
            <w:pPr>
              <w:spacing w:after="0"/>
              <w:rPr>
                <w:sz w:val="4"/>
                <w:szCs w:val="4"/>
                <w:color w:val="auto"/>
              </w:rPr>
            </w:pPr>
          </w:p>
        </w:tc>
        <w:tc>
          <w:tcPr>
            <w:tcW w:w="46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100" w:type="dxa"/>
            <w:vAlign w:val="bottom"/>
            <w:tcBorders>
              <w:bottom w:val="single" w:sz="8" w:color="4C4C4C"/>
            </w:tcBorders>
          </w:tcPr>
          <w:p>
            <w:pPr>
              <w:spacing w:after="0"/>
              <w:rPr>
                <w:sz w:val="4"/>
                <w:szCs w:val="4"/>
                <w:color w:val="auto"/>
              </w:rPr>
            </w:pPr>
          </w:p>
        </w:tc>
        <w:tc>
          <w:tcPr>
            <w:tcW w:w="420" w:type="dxa"/>
            <w:vAlign w:val="bottom"/>
            <w:tcBorders>
              <w:bottom w:val="single" w:sz="8" w:color="4C4C4C"/>
            </w:tcBorders>
          </w:tcPr>
          <w:p>
            <w:pPr>
              <w:spacing w:after="0"/>
              <w:rPr>
                <w:sz w:val="4"/>
                <w:szCs w:val="4"/>
                <w:color w:val="auto"/>
              </w:rPr>
            </w:pPr>
          </w:p>
        </w:tc>
        <w:tc>
          <w:tcPr>
            <w:tcW w:w="28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18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720" w:type="dxa"/>
            <w:vAlign w:val="bottom"/>
            <w:tcBorders>
              <w:bottom w:val="single" w:sz="8" w:color="4C4C4C"/>
            </w:tcBorders>
          </w:tcPr>
          <w:p>
            <w:pPr>
              <w:spacing w:after="0"/>
              <w:rPr>
                <w:sz w:val="4"/>
                <w:szCs w:val="4"/>
                <w:color w:val="auto"/>
              </w:rPr>
            </w:pPr>
          </w:p>
        </w:tc>
        <w:tc>
          <w:tcPr>
            <w:tcW w:w="180" w:type="dxa"/>
            <w:vAlign w:val="bottom"/>
            <w:tcBorders>
              <w:bottom w:val="single" w:sz="8" w:color="4C4C4C"/>
            </w:tcBorders>
          </w:tcPr>
          <w:p>
            <w:pPr>
              <w:spacing w:after="0"/>
              <w:rPr>
                <w:sz w:val="4"/>
                <w:szCs w:val="4"/>
                <w:color w:val="auto"/>
              </w:rPr>
            </w:pPr>
          </w:p>
        </w:tc>
        <w:tc>
          <w:tcPr>
            <w:tcW w:w="1060" w:type="dxa"/>
            <w:vAlign w:val="bottom"/>
            <w:tcBorders>
              <w:bottom w:val="single" w:sz="8" w:color="4C4C4C"/>
            </w:tcBorders>
          </w:tcPr>
          <w:p>
            <w:pPr>
              <w:spacing w:after="0"/>
              <w:rPr>
                <w:sz w:val="4"/>
                <w:szCs w:val="4"/>
                <w:color w:val="auto"/>
              </w:rPr>
            </w:pPr>
          </w:p>
        </w:tc>
        <w:tc>
          <w:tcPr>
            <w:tcW w:w="280" w:type="dxa"/>
            <w:vAlign w:val="bottom"/>
            <w:tcBorders>
              <w:bottom w:val="single" w:sz="8" w:color="4C4C4C"/>
            </w:tcBorders>
          </w:tcPr>
          <w:p>
            <w:pPr>
              <w:spacing w:after="0"/>
              <w:rPr>
                <w:sz w:val="4"/>
                <w:szCs w:val="4"/>
                <w:color w:val="auto"/>
              </w:rPr>
            </w:pPr>
          </w:p>
        </w:tc>
        <w:tc>
          <w:tcPr>
            <w:tcW w:w="64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 ​​2023​ ​ ​​461,234​</w:t>
            </w:r>
          </w:p>
        </w:tc>
        <w:tc>
          <w:tcPr>
            <w:tcW w:w="60" w:type="dxa"/>
            <w:vAlign w:val="bottom"/>
          </w:tcPr>
          <w:p>
            <w:pPr>
              <w:spacing w:after="0"/>
              <w:rPr>
                <w:sz w:val="6"/>
                <w:szCs w:val="6"/>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​​106,110​</w:t>
            </w:r>
          </w:p>
        </w:tc>
        <w:tc>
          <w:tcPr>
            <w:tcW w:w="1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800" w:type="dxa"/>
            <w:vAlign w:val="bottom"/>
            <w:gridSpan w:val="3"/>
            <w:vMerge w:val="restart"/>
          </w:tcPr>
          <w:p>
            <w:pPr>
              <w:jc w:val="right"/>
              <w:spacing w:after="0"/>
              <w:rPr>
                <w:sz w:val="20"/>
                <w:szCs w:val="20"/>
                <w:color w:val="auto"/>
              </w:rPr>
            </w:pPr>
            <w:r>
              <w:rPr>
                <w:rFonts w:ascii="Arial" w:cs="Arial" w:eastAsia="Arial" w:hAnsi="Arial"/>
                <w:sz w:val="14"/>
                <w:szCs w:val="14"/>
                <w:color w:val="auto"/>
              </w:rPr>
              <w:t>​​1,388,119​ ​</w:t>
            </w:r>
          </w:p>
        </w:tc>
        <w:tc>
          <w:tcPr>
            <w:tcW w:w="340" w:type="dxa"/>
            <w:vAlign w:val="bottom"/>
            <w:vMerge w:val="restart"/>
          </w:tcPr>
          <w:p>
            <w:pPr>
              <w:ind w:left="18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6"/>
                <w:szCs w:val="6"/>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ind w:right="194"/>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rPr>
                <w:sz w:val="20"/>
                <w:szCs w:val="20"/>
                <w:color w:val="auto"/>
              </w:rPr>
            </w:pPr>
            <w:r>
              <w:rPr>
                <w:rFonts w:ascii="Arial" w:cs="Arial" w:eastAsia="Arial" w:hAnsi="Arial"/>
                <w:sz w:val="14"/>
                <w:szCs w:val="14"/>
                <w:color w:val="auto"/>
              </w:rPr>
              <w:t>​​ ​</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 5,744</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 ​ ​​1,944,397​</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840" w:type="dxa"/>
            <w:vAlign w:val="bottom"/>
            <w:vMerge w:val="restart"/>
          </w:tcPr>
          <w:p>
            <w:pPr>
              <w:ind w:left="60"/>
              <w:spacing w:after="0"/>
              <w:rPr>
                <w:sz w:val="20"/>
                <w:szCs w:val="20"/>
                <w:color w:val="auto"/>
              </w:rPr>
            </w:pPr>
            <w:r>
              <w:rPr>
                <w:rFonts w:ascii="Arial" w:cs="Arial" w:eastAsia="Arial" w:hAnsi="Arial"/>
                <w:sz w:val="14"/>
                <w:szCs w:val="14"/>
                <w:color w:val="auto"/>
              </w:rPr>
              <w:t>Officer</w:t>
            </w:r>
          </w:p>
        </w:tc>
        <w:tc>
          <w:tcPr>
            <w:tcW w:w="1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60" w:type="dxa"/>
            <w:vAlign w:val="bottom"/>
            <w:tcBorders>
              <w:bottom w:val="single" w:sz="8" w:color="E7417A"/>
            </w:tcBorders>
          </w:tcPr>
          <w:p>
            <w:pPr>
              <w:spacing w:after="0"/>
              <w:rPr>
                <w:sz w:val="7"/>
                <w:szCs w:val="7"/>
                <w:color w:val="auto"/>
              </w:rPr>
            </w:pPr>
          </w:p>
        </w:tc>
        <w:tc>
          <w:tcPr>
            <w:tcW w:w="1840" w:type="dxa"/>
            <w:vAlign w:val="bottom"/>
            <w:tcBorders>
              <w:bottom w:val="single" w:sz="8" w:color="E7417A"/>
            </w:tcBorders>
            <w:vMerge w:val="continue"/>
          </w:tcPr>
          <w:p>
            <w:pPr>
              <w:spacing w:after="0"/>
              <w:rPr>
                <w:sz w:val="7"/>
                <w:szCs w:val="7"/>
                <w:color w:val="auto"/>
              </w:rPr>
            </w:pPr>
          </w:p>
        </w:tc>
        <w:tc>
          <w:tcPr>
            <w:tcW w:w="120" w:type="dxa"/>
            <w:vAlign w:val="bottom"/>
            <w:tcBorders>
              <w:bottom w:val="single" w:sz="8" w:color="E7417A"/>
            </w:tcBorders>
          </w:tcPr>
          <w:p>
            <w:pPr>
              <w:spacing w:after="0"/>
              <w:rPr>
                <w:sz w:val="7"/>
                <w:szCs w:val="7"/>
                <w:color w:val="auto"/>
              </w:rPr>
            </w:pPr>
          </w:p>
        </w:tc>
        <w:tc>
          <w:tcPr>
            <w:tcW w:w="1140" w:type="dxa"/>
            <w:vAlign w:val="bottom"/>
            <w:tcBorders>
              <w:bottom w:val="single" w:sz="8" w:color="E7417A"/>
            </w:tcBorders>
          </w:tcPr>
          <w:p>
            <w:pPr>
              <w:spacing w:after="0"/>
              <w:rPr>
                <w:sz w:val="7"/>
                <w:szCs w:val="7"/>
                <w:color w:val="auto"/>
              </w:rPr>
            </w:pPr>
          </w:p>
        </w:tc>
        <w:tc>
          <w:tcPr>
            <w:tcW w:w="60" w:type="dxa"/>
            <w:vAlign w:val="bottom"/>
            <w:tcBorders>
              <w:bottom w:val="single" w:sz="8" w:color="E7417A"/>
            </w:tcBorders>
          </w:tcPr>
          <w:p>
            <w:pPr>
              <w:spacing w:after="0"/>
              <w:rPr>
                <w:sz w:val="7"/>
                <w:szCs w:val="7"/>
                <w:color w:val="auto"/>
              </w:rPr>
            </w:pPr>
          </w:p>
        </w:tc>
        <w:tc>
          <w:tcPr>
            <w:tcW w:w="120" w:type="dxa"/>
            <w:vAlign w:val="bottom"/>
            <w:tcBorders>
              <w:bottom w:val="single" w:sz="8" w:color="E7417A"/>
            </w:tcBorders>
          </w:tcPr>
          <w:p>
            <w:pPr>
              <w:spacing w:after="0"/>
              <w:rPr>
                <w:sz w:val="7"/>
                <w:szCs w:val="7"/>
                <w:color w:val="auto"/>
              </w:rPr>
            </w:pPr>
          </w:p>
        </w:tc>
        <w:tc>
          <w:tcPr>
            <w:tcW w:w="140" w:type="dxa"/>
            <w:vAlign w:val="bottom"/>
            <w:tcBorders>
              <w:bottom w:val="single" w:sz="8" w:color="E7417A"/>
            </w:tcBorders>
          </w:tcPr>
          <w:p>
            <w:pPr>
              <w:spacing w:after="0"/>
              <w:rPr>
                <w:sz w:val="7"/>
                <w:szCs w:val="7"/>
                <w:color w:val="auto"/>
              </w:rPr>
            </w:pPr>
          </w:p>
        </w:tc>
        <w:tc>
          <w:tcPr>
            <w:tcW w:w="460" w:type="dxa"/>
            <w:vAlign w:val="bottom"/>
            <w:tcBorders>
              <w:bottom w:val="single" w:sz="8" w:color="E7417A"/>
            </w:tcBorders>
          </w:tcPr>
          <w:p>
            <w:pPr>
              <w:spacing w:after="0"/>
              <w:rPr>
                <w:sz w:val="7"/>
                <w:szCs w:val="7"/>
                <w:color w:val="auto"/>
              </w:rPr>
            </w:pPr>
          </w:p>
        </w:tc>
        <w:tc>
          <w:tcPr>
            <w:tcW w:w="160" w:type="dxa"/>
            <w:vAlign w:val="bottom"/>
            <w:tcBorders>
              <w:bottom w:val="single" w:sz="8" w:color="E7417A"/>
            </w:tcBorders>
          </w:tcPr>
          <w:p>
            <w:pPr>
              <w:spacing w:after="0"/>
              <w:rPr>
                <w:sz w:val="7"/>
                <w:szCs w:val="7"/>
                <w:color w:val="auto"/>
              </w:rPr>
            </w:pPr>
          </w:p>
        </w:tc>
        <w:tc>
          <w:tcPr>
            <w:tcW w:w="100" w:type="dxa"/>
            <w:vAlign w:val="bottom"/>
            <w:tcBorders>
              <w:bottom w:val="single" w:sz="8" w:color="E7417A"/>
            </w:tcBorders>
          </w:tcPr>
          <w:p>
            <w:pPr>
              <w:spacing w:after="0"/>
              <w:rPr>
                <w:sz w:val="7"/>
                <w:szCs w:val="7"/>
                <w:color w:val="auto"/>
              </w:rPr>
            </w:pPr>
          </w:p>
        </w:tc>
        <w:tc>
          <w:tcPr>
            <w:tcW w:w="420" w:type="dxa"/>
            <w:vAlign w:val="bottom"/>
            <w:tcBorders>
              <w:bottom w:val="single" w:sz="8" w:color="E7417A"/>
            </w:tcBorders>
          </w:tcPr>
          <w:p>
            <w:pPr>
              <w:spacing w:after="0"/>
              <w:rPr>
                <w:sz w:val="7"/>
                <w:szCs w:val="7"/>
                <w:color w:val="auto"/>
              </w:rPr>
            </w:pPr>
          </w:p>
        </w:tc>
        <w:tc>
          <w:tcPr>
            <w:tcW w:w="280" w:type="dxa"/>
            <w:vAlign w:val="bottom"/>
            <w:tcBorders>
              <w:bottom w:val="single" w:sz="8" w:color="E7417A"/>
            </w:tcBorders>
          </w:tcPr>
          <w:p>
            <w:pPr>
              <w:spacing w:after="0"/>
              <w:rPr>
                <w:sz w:val="7"/>
                <w:szCs w:val="7"/>
                <w:color w:val="auto"/>
              </w:rPr>
            </w:pPr>
          </w:p>
        </w:tc>
        <w:tc>
          <w:tcPr>
            <w:tcW w:w="340" w:type="dxa"/>
            <w:vAlign w:val="bottom"/>
            <w:tcBorders>
              <w:bottom w:val="single" w:sz="8" w:color="E7417A"/>
            </w:tcBorders>
          </w:tcPr>
          <w:p>
            <w:pPr>
              <w:spacing w:after="0"/>
              <w:rPr>
                <w:sz w:val="7"/>
                <w:szCs w:val="7"/>
                <w:color w:val="auto"/>
              </w:rPr>
            </w:pPr>
          </w:p>
        </w:tc>
        <w:tc>
          <w:tcPr>
            <w:tcW w:w="160" w:type="dxa"/>
            <w:vAlign w:val="bottom"/>
            <w:tcBorders>
              <w:bottom w:val="single" w:sz="8" w:color="E7417A"/>
            </w:tcBorders>
          </w:tcPr>
          <w:p>
            <w:pPr>
              <w:spacing w:after="0"/>
              <w:rPr>
                <w:sz w:val="7"/>
                <w:szCs w:val="7"/>
                <w:color w:val="auto"/>
              </w:rPr>
            </w:pPr>
          </w:p>
        </w:tc>
        <w:tc>
          <w:tcPr>
            <w:tcW w:w="180" w:type="dxa"/>
            <w:vAlign w:val="bottom"/>
            <w:tcBorders>
              <w:bottom w:val="single" w:sz="8" w:color="E7417A"/>
            </w:tcBorders>
          </w:tcPr>
          <w:p>
            <w:pPr>
              <w:spacing w:after="0"/>
              <w:rPr>
                <w:sz w:val="7"/>
                <w:szCs w:val="7"/>
                <w:color w:val="auto"/>
              </w:rPr>
            </w:pPr>
          </w:p>
        </w:tc>
        <w:tc>
          <w:tcPr>
            <w:tcW w:w="340" w:type="dxa"/>
            <w:vAlign w:val="bottom"/>
            <w:tcBorders>
              <w:bottom w:val="single" w:sz="8" w:color="E7417A"/>
            </w:tcBorders>
          </w:tcPr>
          <w:p>
            <w:pPr>
              <w:spacing w:after="0"/>
              <w:rPr>
                <w:sz w:val="7"/>
                <w:szCs w:val="7"/>
                <w:color w:val="auto"/>
              </w:rPr>
            </w:pPr>
          </w:p>
        </w:tc>
        <w:tc>
          <w:tcPr>
            <w:tcW w:w="720" w:type="dxa"/>
            <w:vAlign w:val="bottom"/>
            <w:tcBorders>
              <w:bottom w:val="single" w:sz="8" w:color="E7417A"/>
            </w:tcBorders>
          </w:tcPr>
          <w:p>
            <w:pPr>
              <w:spacing w:after="0"/>
              <w:rPr>
                <w:sz w:val="7"/>
                <w:szCs w:val="7"/>
                <w:color w:val="auto"/>
              </w:rPr>
            </w:pPr>
          </w:p>
        </w:tc>
        <w:tc>
          <w:tcPr>
            <w:tcW w:w="180" w:type="dxa"/>
            <w:vAlign w:val="bottom"/>
            <w:tcBorders>
              <w:bottom w:val="single" w:sz="8" w:color="E7417A"/>
            </w:tcBorders>
          </w:tcPr>
          <w:p>
            <w:pPr>
              <w:spacing w:after="0"/>
              <w:rPr>
                <w:sz w:val="7"/>
                <w:szCs w:val="7"/>
                <w:color w:val="auto"/>
              </w:rPr>
            </w:pPr>
          </w:p>
        </w:tc>
        <w:tc>
          <w:tcPr>
            <w:tcW w:w="1060" w:type="dxa"/>
            <w:vAlign w:val="bottom"/>
            <w:tcBorders>
              <w:bottom w:val="single" w:sz="8" w:color="E7417A"/>
            </w:tcBorders>
          </w:tcPr>
          <w:p>
            <w:pPr>
              <w:spacing w:after="0"/>
              <w:rPr>
                <w:sz w:val="7"/>
                <w:szCs w:val="7"/>
                <w:color w:val="auto"/>
              </w:rPr>
            </w:pPr>
          </w:p>
        </w:tc>
        <w:tc>
          <w:tcPr>
            <w:tcW w:w="280" w:type="dxa"/>
            <w:vAlign w:val="bottom"/>
            <w:tcBorders>
              <w:bottom w:val="single" w:sz="8" w:color="E7417A"/>
            </w:tcBorders>
          </w:tcPr>
          <w:p>
            <w:pPr>
              <w:spacing w:after="0"/>
              <w:rPr>
                <w:sz w:val="7"/>
                <w:szCs w:val="7"/>
                <w:color w:val="auto"/>
              </w:rPr>
            </w:pPr>
          </w:p>
        </w:tc>
        <w:tc>
          <w:tcPr>
            <w:tcW w:w="640" w:type="dxa"/>
            <w:vAlign w:val="bottom"/>
            <w:tcBorders>
              <w:bottom w:val="single" w:sz="8" w:color="E7417A"/>
            </w:tcBorders>
          </w:tcPr>
          <w:p>
            <w:pPr>
              <w:spacing w:after="0"/>
              <w:rPr>
                <w:sz w:val="7"/>
                <w:szCs w:val="7"/>
                <w:color w:val="auto"/>
              </w:rPr>
            </w:pPr>
          </w:p>
        </w:tc>
        <w:tc>
          <w:tcPr>
            <w:tcW w:w="60" w:type="dxa"/>
            <w:vAlign w:val="bottom"/>
            <w:tcBorders>
              <w:bottom w:val="single" w:sz="8" w:color="E7417A"/>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20"/>
                <w:szCs w:val="20"/>
                <w:color w:val="auto"/>
              </w:rPr>
            </w:pPr>
            <w:r>
              <w:rPr>
                <w:rFonts w:ascii="Arial" w:cs="Arial" w:eastAsia="Arial" w:hAnsi="Arial"/>
                <w:sz w:val="14"/>
                <w:szCs w:val="14"/>
                <w:color w:val="auto"/>
              </w:rPr>
              <w:t>​</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Patrick Macken</w:t>
            </w:r>
            <w:r>
              <w:rPr>
                <w:rFonts w:ascii="Arial" w:cs="Arial" w:eastAsia="Arial" w:hAnsi="Arial"/>
                <w:sz w:val="14"/>
                <w:szCs w:val="14"/>
                <w:color w:val="auto"/>
              </w:rPr>
              <w:t>,</w:t>
            </w:r>
          </w:p>
        </w:tc>
        <w:tc>
          <w:tcPr>
            <w:tcW w:w="1260" w:type="dxa"/>
            <w:vAlign w:val="bottom"/>
            <w:gridSpan w:val="2"/>
          </w:tcPr>
          <w:p>
            <w:pPr>
              <w:jc w:val="right"/>
              <w:spacing w:after="0" w:line="164" w:lineRule="exact"/>
              <w:rPr>
                <w:sz w:val="20"/>
                <w:szCs w:val="20"/>
                <w:color w:val="auto"/>
              </w:rPr>
            </w:pPr>
            <w:r>
              <w:rPr>
                <w:rFonts w:ascii="Arial" w:cs="Arial" w:eastAsia="Arial" w:hAnsi="Arial"/>
                <w:sz w:val="18"/>
                <w:szCs w:val="18"/>
                <w:color w:val="auto"/>
                <w:vertAlign w:val="superscript"/>
              </w:rPr>
              <w:t>​ ​ ​</w:t>
            </w:r>
            <w:r>
              <w:rPr>
                <w:rFonts w:ascii="Arial" w:cs="Arial" w:eastAsia="Arial" w:hAnsi="Arial"/>
                <w:sz w:val="11"/>
                <w:szCs w:val="11"/>
                <w:color w:val="auto"/>
              </w:rPr>
              <w:t>​2024</w:t>
            </w:r>
            <w:r>
              <w:rPr>
                <w:rFonts w:ascii="Arial" w:cs="Arial" w:eastAsia="Arial" w:hAnsi="Arial"/>
                <w:sz w:val="18"/>
                <w:szCs w:val="18"/>
                <w:color w:val="auto"/>
                <w:vertAlign w:val="superscript"/>
              </w:rPr>
              <w:t>​ ​ ​</w:t>
            </w:r>
            <w:r>
              <w:rPr>
                <w:rFonts w:ascii="Arial" w:cs="Arial" w:eastAsia="Arial" w:hAnsi="Arial"/>
                <w:sz w:val="11"/>
                <w:szCs w:val="11"/>
                <w:color w:val="auto"/>
              </w:rPr>
              <w:t>​478,500</w:t>
            </w:r>
            <w:r>
              <w:rPr>
                <w:rFonts w:ascii="Arial" w:cs="Arial" w:eastAsia="Arial" w:hAnsi="Arial"/>
                <w:sz w:val="18"/>
                <w:szCs w:val="18"/>
                <w:color w:val="auto"/>
                <w:vertAlign w:val="superscript"/>
              </w:rPr>
              <w:t>​</w:t>
            </w:r>
          </w:p>
        </w:tc>
        <w:tc>
          <w:tcPr>
            <w:tcW w:w="6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64"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1"/>
                <w:szCs w:val="11"/>
                <w:color w:val="auto"/>
              </w:rPr>
              <w:t>​100,000</w:t>
            </w:r>
            <w:r>
              <w:rPr>
                <w:rFonts w:ascii="Arial" w:cs="Arial" w:eastAsia="Arial" w:hAnsi="Arial"/>
                <w:sz w:val="18"/>
                <w:szCs w:val="18"/>
                <w:color w:val="auto"/>
                <w:vertAlign w:val="superscript"/>
              </w:rPr>
              <w:t>​</w:t>
            </w: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164"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1"/>
                <w:szCs w:val="11"/>
                <w:color w:val="auto"/>
              </w:rPr>
              <w:t>​</w:t>
            </w:r>
          </w:p>
        </w:tc>
        <w:tc>
          <w:tcPr>
            <w:tcW w:w="700" w:type="dxa"/>
            <w:vAlign w:val="bottom"/>
            <w:gridSpan w:val="2"/>
          </w:tcPr>
          <w:p>
            <w:pPr>
              <w:jc w:val="right"/>
              <w:spacing w:after="0" w:line="164" w:lineRule="exact"/>
              <w:rPr>
                <w:sz w:val="20"/>
                <w:szCs w:val="20"/>
                <w:color w:val="auto"/>
              </w:rPr>
            </w:pPr>
            <w:r>
              <w:rPr>
                <w:rFonts w:ascii="Arial" w:cs="Arial" w:eastAsia="Arial" w:hAnsi="Arial"/>
                <w:sz w:val="11"/>
                <w:szCs w:val="11"/>
                <w:color w:val="auto"/>
              </w:rPr>
              <w:t>593,381</w:t>
            </w:r>
            <w:r>
              <w:rPr>
                <w:rFonts w:ascii="Arial" w:cs="Arial" w:eastAsia="Arial" w:hAnsi="Arial"/>
                <w:sz w:val="18"/>
                <w:szCs w:val="18"/>
                <w:color w:val="auto"/>
                <w:vertAlign w:val="superscript"/>
              </w:rPr>
              <w:t>​ ​</w:t>
            </w:r>
          </w:p>
        </w:tc>
        <w:tc>
          <w:tcPr>
            <w:tcW w:w="340" w:type="dxa"/>
            <w:vAlign w:val="bottom"/>
          </w:tcPr>
          <w:p>
            <w:pPr>
              <w:ind w:left="180"/>
              <w:spacing w:after="0" w:line="164"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106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251,213</w:t>
            </w:r>
          </w:p>
        </w:tc>
        <w:tc>
          <w:tcPr>
            <w:tcW w:w="180" w:type="dxa"/>
            <w:vAlign w:val="bottom"/>
          </w:tcPr>
          <w:p>
            <w:pPr>
              <w:spacing w:after="0"/>
              <w:rPr>
                <w:sz w:val="20"/>
                <w:szCs w:val="20"/>
                <w:color w:val="auto"/>
              </w:rPr>
            </w:pPr>
            <w:r>
              <w:rPr>
                <w:rFonts w:ascii="Arial" w:cs="Arial" w:eastAsia="Arial" w:hAnsi="Arial"/>
                <w:sz w:val="14"/>
                <w:szCs w:val="14"/>
                <w:color w:val="auto"/>
              </w:rPr>
              <w:t>​​ ​</w:t>
            </w:r>
          </w:p>
        </w:tc>
        <w:tc>
          <w:tcPr>
            <w:tcW w:w="1060" w:type="dxa"/>
            <w:vAlign w:val="bottom"/>
          </w:tcPr>
          <w:p>
            <w:pPr>
              <w:jc w:val="center"/>
              <w:spacing w:after="0" w:line="164"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1"/>
                <w:szCs w:val="11"/>
                <w:color w:val="auto"/>
              </w:rPr>
              <w:t>​36,863</w:t>
            </w:r>
          </w:p>
        </w:tc>
        <w:tc>
          <w:tcPr>
            <w:tcW w:w="920" w:type="dxa"/>
            <w:vAlign w:val="bottom"/>
            <w:gridSpan w:val="2"/>
          </w:tcPr>
          <w:p>
            <w:pPr>
              <w:jc w:val="right"/>
              <w:spacing w:after="0" w:line="164" w:lineRule="exact"/>
              <w:rPr>
                <w:sz w:val="20"/>
                <w:szCs w:val="20"/>
                <w:color w:val="auto"/>
              </w:rPr>
            </w:pPr>
            <w:r>
              <w:rPr>
                <w:rFonts w:ascii="Arial" w:cs="Arial" w:eastAsia="Arial" w:hAnsi="Arial"/>
                <w:sz w:val="18"/>
                <w:szCs w:val="18"/>
                <w:color w:val="auto"/>
                <w:vertAlign w:val="superscript"/>
              </w:rPr>
              <w:t>​​ ​ ​</w:t>
            </w:r>
            <w:r>
              <w:rPr>
                <w:rFonts w:ascii="Arial" w:cs="Arial" w:eastAsia="Arial" w:hAnsi="Arial"/>
                <w:sz w:val="11"/>
                <w:szCs w:val="11"/>
                <w:color w:val="auto"/>
              </w:rPr>
              <w:t>​1,459,957</w:t>
            </w:r>
            <w:r>
              <w:rPr>
                <w:rFonts w:ascii="Arial" w:cs="Arial" w:eastAsia="Arial" w:hAnsi="Arial"/>
                <w:sz w:val="18"/>
                <w:szCs w:val="18"/>
                <w:color w:val="auto"/>
                <w:vertAlign w:val="superscript"/>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1840" w:type="dxa"/>
            <w:vAlign w:val="bottom"/>
            <w:vMerge w:val="restart"/>
          </w:tcPr>
          <w:p>
            <w:pPr>
              <w:ind w:left="60"/>
              <w:spacing w:after="0"/>
              <w:rPr>
                <w:sz w:val="20"/>
                <w:szCs w:val="20"/>
                <w:color w:val="auto"/>
              </w:rPr>
            </w:pPr>
            <w:r>
              <w:rPr>
                <w:rFonts w:ascii="Arial" w:cs="Arial" w:eastAsia="Arial" w:hAnsi="Arial"/>
                <w:sz w:val="14"/>
                <w:szCs w:val="14"/>
                <w:color w:val="auto"/>
              </w:rPr>
              <w:t>Executive Vice President,</w:t>
            </w:r>
          </w:p>
        </w:tc>
        <w:tc>
          <w:tcPr>
            <w:tcW w:w="120" w:type="dxa"/>
            <w:vAlign w:val="bottom"/>
          </w:tcPr>
          <w:p>
            <w:pPr>
              <w:spacing w:after="0" w:line="20" w:lineRule="exact"/>
              <w:rPr>
                <w:sz w:val="1"/>
                <w:szCs w:val="1"/>
                <w:color w:val="auto"/>
              </w:rPr>
            </w:pPr>
          </w:p>
        </w:tc>
        <w:tc>
          <w:tcPr>
            <w:tcW w:w="114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120" w:type="dxa"/>
            <w:vAlign w:val="bottom"/>
            <w:tcBorders>
              <w:bottom w:val="single" w:sz="8" w:color="4C4C4C"/>
            </w:tcBorders>
          </w:tcPr>
          <w:p>
            <w:pPr>
              <w:spacing w:after="0" w:line="20" w:lineRule="exact"/>
              <w:rPr>
                <w:sz w:val="1"/>
                <w:szCs w:val="1"/>
                <w:color w:val="auto"/>
              </w:rPr>
            </w:pPr>
          </w:p>
        </w:tc>
        <w:tc>
          <w:tcPr>
            <w:tcW w:w="140" w:type="dxa"/>
            <w:vAlign w:val="bottom"/>
            <w:tcBorders>
              <w:bottom w:val="single" w:sz="8" w:color="4C4C4C"/>
            </w:tcBorders>
          </w:tcPr>
          <w:p>
            <w:pPr>
              <w:spacing w:after="0" w:line="20" w:lineRule="exact"/>
              <w:rPr>
                <w:sz w:val="1"/>
                <w:szCs w:val="1"/>
                <w:color w:val="auto"/>
              </w:rPr>
            </w:pPr>
          </w:p>
        </w:tc>
        <w:tc>
          <w:tcPr>
            <w:tcW w:w="460" w:type="dxa"/>
            <w:vAlign w:val="bottom"/>
            <w:tcBorders>
              <w:bottom w:val="single" w:sz="8" w:color="4C4C4C"/>
            </w:tcBorders>
          </w:tcPr>
          <w:p>
            <w:pPr>
              <w:spacing w:after="0" w:line="20" w:lineRule="exact"/>
              <w:rPr>
                <w:sz w:val="1"/>
                <w:szCs w:val="1"/>
                <w:color w:val="auto"/>
              </w:rPr>
            </w:pPr>
          </w:p>
        </w:tc>
        <w:tc>
          <w:tcPr>
            <w:tcW w:w="160" w:type="dxa"/>
            <w:vAlign w:val="bottom"/>
            <w:tcBorders>
              <w:bottom w:val="single" w:sz="8" w:color="4C4C4C"/>
            </w:tcBorders>
          </w:tcPr>
          <w:p>
            <w:pPr>
              <w:spacing w:after="0" w:line="20" w:lineRule="exact"/>
              <w:rPr>
                <w:sz w:val="1"/>
                <w:szCs w:val="1"/>
                <w:color w:val="auto"/>
              </w:rPr>
            </w:pPr>
          </w:p>
        </w:tc>
        <w:tc>
          <w:tcPr>
            <w:tcW w:w="800" w:type="dxa"/>
            <w:vAlign w:val="bottom"/>
            <w:tcBorders>
              <w:bottom w:val="single" w:sz="8" w:color="4C4C4C"/>
            </w:tcBorders>
            <w:gridSpan w:val="3"/>
          </w:tcPr>
          <w:p>
            <w:pPr>
              <w:spacing w:after="0" w:line="20" w:lineRule="exact"/>
              <w:rPr>
                <w:sz w:val="1"/>
                <w:szCs w:val="1"/>
                <w:color w:val="auto"/>
              </w:rPr>
            </w:pPr>
          </w:p>
        </w:tc>
        <w:tc>
          <w:tcPr>
            <w:tcW w:w="340" w:type="dxa"/>
            <w:vAlign w:val="bottom"/>
            <w:tcBorders>
              <w:bottom w:val="single" w:sz="8" w:color="4C4C4C"/>
            </w:tcBorders>
          </w:tcPr>
          <w:p>
            <w:pPr>
              <w:spacing w:after="0" w:line="20" w:lineRule="exact"/>
              <w:rPr>
                <w:sz w:val="1"/>
                <w:szCs w:val="1"/>
                <w:color w:val="auto"/>
              </w:rPr>
            </w:pPr>
          </w:p>
        </w:tc>
        <w:tc>
          <w:tcPr>
            <w:tcW w:w="160" w:type="dxa"/>
            <w:vAlign w:val="bottom"/>
            <w:tcBorders>
              <w:bottom w:val="single" w:sz="8" w:color="4C4C4C"/>
            </w:tcBorders>
          </w:tcPr>
          <w:p>
            <w:pPr>
              <w:spacing w:after="0" w:line="20" w:lineRule="exact"/>
              <w:rPr>
                <w:sz w:val="1"/>
                <w:szCs w:val="1"/>
                <w:color w:val="auto"/>
              </w:rPr>
            </w:pPr>
          </w:p>
        </w:tc>
        <w:tc>
          <w:tcPr>
            <w:tcW w:w="180" w:type="dxa"/>
            <w:vAlign w:val="bottom"/>
            <w:tcBorders>
              <w:bottom w:val="single" w:sz="8" w:color="4C4C4C"/>
            </w:tcBorders>
          </w:tcPr>
          <w:p>
            <w:pPr>
              <w:spacing w:after="0" w:line="20" w:lineRule="exact"/>
              <w:rPr>
                <w:sz w:val="1"/>
                <w:szCs w:val="1"/>
                <w:color w:val="auto"/>
              </w:rPr>
            </w:pPr>
          </w:p>
        </w:tc>
        <w:tc>
          <w:tcPr>
            <w:tcW w:w="340" w:type="dxa"/>
            <w:vAlign w:val="bottom"/>
            <w:tcBorders>
              <w:bottom w:val="single" w:sz="8" w:color="4C4C4C"/>
            </w:tcBorders>
          </w:tcPr>
          <w:p>
            <w:pPr>
              <w:spacing w:after="0" w:line="20" w:lineRule="exact"/>
              <w:rPr>
                <w:sz w:val="1"/>
                <w:szCs w:val="1"/>
                <w:color w:val="auto"/>
              </w:rPr>
            </w:pPr>
          </w:p>
        </w:tc>
        <w:tc>
          <w:tcPr>
            <w:tcW w:w="720" w:type="dxa"/>
            <w:vAlign w:val="bottom"/>
            <w:tcBorders>
              <w:bottom w:val="single" w:sz="8" w:color="4C4C4C"/>
            </w:tcBorders>
          </w:tcPr>
          <w:p>
            <w:pPr>
              <w:spacing w:after="0" w:line="20" w:lineRule="exact"/>
              <w:rPr>
                <w:sz w:val="1"/>
                <w:szCs w:val="1"/>
                <w:color w:val="auto"/>
              </w:rPr>
            </w:pPr>
          </w:p>
        </w:tc>
        <w:tc>
          <w:tcPr>
            <w:tcW w:w="180" w:type="dxa"/>
            <w:vAlign w:val="bottom"/>
            <w:tcBorders>
              <w:bottom w:val="single" w:sz="8" w:color="4C4C4C"/>
            </w:tcBorders>
          </w:tcPr>
          <w:p>
            <w:pPr>
              <w:spacing w:after="0" w:line="20" w:lineRule="exact"/>
              <w:rPr>
                <w:sz w:val="1"/>
                <w:szCs w:val="1"/>
                <w:color w:val="auto"/>
              </w:rPr>
            </w:pPr>
          </w:p>
        </w:tc>
        <w:tc>
          <w:tcPr>
            <w:tcW w:w="1060" w:type="dxa"/>
            <w:vAlign w:val="bottom"/>
            <w:tcBorders>
              <w:bottom w:val="single" w:sz="8" w:color="4C4C4C"/>
            </w:tcBorders>
          </w:tcPr>
          <w:p>
            <w:pPr>
              <w:spacing w:after="0" w:line="20" w:lineRule="exact"/>
              <w:rPr>
                <w:sz w:val="1"/>
                <w:szCs w:val="1"/>
                <w:color w:val="auto"/>
              </w:rPr>
            </w:pPr>
          </w:p>
        </w:tc>
        <w:tc>
          <w:tcPr>
            <w:tcW w:w="920" w:type="dxa"/>
            <w:vAlign w:val="bottom"/>
            <w:tcBorders>
              <w:bottom w:val="single" w:sz="8" w:color="4C4C4C"/>
            </w:tcBorders>
            <w:gridSpan w:val="2"/>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6"/>
                <w:szCs w:val="16"/>
                <w:color w:val="auto"/>
                <w:vertAlign w:val="superscript"/>
              </w:rPr>
              <w:t>​ ​</w:t>
            </w:r>
            <w:r>
              <w:rPr>
                <w:rFonts w:ascii="Arial" w:cs="Arial" w:eastAsia="Arial" w:hAnsi="Arial"/>
                <w:sz w:val="10"/>
                <w:szCs w:val="10"/>
                <w:color w:val="auto"/>
              </w:rPr>
              <w:t>​2023</w:t>
            </w:r>
            <w:r>
              <w:rPr>
                <w:rFonts w:ascii="Arial" w:cs="Arial" w:eastAsia="Arial" w:hAnsi="Arial"/>
                <w:sz w:val="16"/>
                <w:szCs w:val="16"/>
                <w:color w:val="auto"/>
                <w:vertAlign w:val="superscript"/>
              </w:rPr>
              <w:t>​ ​ ​</w:t>
            </w:r>
            <w:r>
              <w:rPr>
                <w:rFonts w:ascii="Arial" w:cs="Arial" w:eastAsia="Arial" w:hAnsi="Arial"/>
                <w:sz w:val="10"/>
                <w:szCs w:val="10"/>
                <w:color w:val="auto"/>
              </w:rPr>
              <w:t>​435,000</w:t>
            </w:r>
            <w:r>
              <w:rPr>
                <w:rFonts w:ascii="Arial" w:cs="Arial" w:eastAsia="Arial" w:hAnsi="Arial"/>
                <w:sz w:val="16"/>
                <w:szCs w:val="16"/>
                <w:color w:val="auto"/>
                <w:vertAlign w:val="superscript"/>
              </w:rPr>
              <w:t>​</w:t>
            </w:r>
          </w:p>
        </w:tc>
        <w:tc>
          <w:tcPr>
            <w:tcW w:w="60" w:type="dxa"/>
            <w:vAlign w:val="bottom"/>
          </w:tcPr>
          <w:p>
            <w:pPr>
              <w:spacing w:after="0"/>
              <w:rPr>
                <w:sz w:val="12"/>
                <w:szCs w:val="12"/>
                <w:color w:val="auto"/>
              </w:rPr>
            </w:pPr>
          </w:p>
        </w:tc>
        <w:tc>
          <w:tcPr>
            <w:tcW w:w="12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20"/>
              <w:spacing w:after="0" w:line="142"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10"/>
                <w:szCs w:val="10"/>
                <w:color w:val="auto"/>
              </w:rPr>
              <w:t>​</w:t>
            </w:r>
          </w:p>
        </w:tc>
        <w:tc>
          <w:tcPr>
            <w:tcW w:w="460" w:type="dxa"/>
            <w:vAlign w:val="bottom"/>
          </w:tcPr>
          <w:p>
            <w:pPr>
              <w:jc w:val="right"/>
              <w:spacing w:after="0" w:line="142" w:lineRule="exact"/>
              <w:rPr>
                <w:sz w:val="20"/>
                <w:szCs w:val="20"/>
                <w:color w:val="auto"/>
              </w:rPr>
            </w:pPr>
            <w:r>
              <w:rPr>
                <w:rFonts w:ascii="Arial" w:cs="Arial" w:eastAsia="Arial" w:hAnsi="Arial"/>
                <w:sz w:val="10"/>
                <w:szCs w:val="10"/>
                <w:color w:val="auto"/>
              </w:rPr>
              <w:t>—</w:t>
            </w:r>
            <w:r>
              <w:rPr>
                <w:rFonts w:ascii="Arial" w:cs="Arial" w:eastAsia="Arial" w:hAnsi="Arial"/>
                <w:sz w:val="16"/>
                <w:szCs w:val="16"/>
                <w:color w:val="auto"/>
                <w:vertAlign w:val="superscript"/>
              </w:rPr>
              <w:t>​</w:t>
            </w:r>
          </w:p>
        </w:tc>
        <w:tc>
          <w:tcPr>
            <w:tcW w:w="16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line="142"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10"/>
                <w:szCs w:val="10"/>
                <w:color w:val="auto"/>
              </w:rPr>
              <w:t>​1,030,750</w:t>
            </w:r>
            <w:r>
              <w:rPr>
                <w:rFonts w:ascii="Arial" w:cs="Arial" w:eastAsia="Arial" w:hAnsi="Arial"/>
                <w:sz w:val="16"/>
                <w:szCs w:val="16"/>
                <w:color w:val="auto"/>
                <w:vertAlign w:val="superscript"/>
              </w:rPr>
              <w:t>​ ​</w:t>
            </w:r>
          </w:p>
        </w:tc>
        <w:tc>
          <w:tcPr>
            <w:tcW w:w="340" w:type="dxa"/>
            <w:vAlign w:val="bottom"/>
          </w:tcPr>
          <w:p>
            <w:pPr>
              <w:ind w:left="180"/>
              <w:spacing w:after="0" w:line="142"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180" w:type="dxa"/>
            <w:vAlign w:val="bottom"/>
          </w:tcPr>
          <w:p>
            <w:pPr>
              <w:ind w:left="20"/>
              <w:spacing w:after="0" w:line="142" w:lineRule="exact"/>
              <w:rPr>
                <w:sz w:val="20"/>
                <w:szCs w:val="20"/>
                <w:color w:val="auto"/>
              </w:rPr>
            </w:pPr>
            <w:r>
              <w:rPr>
                <w:rFonts w:ascii="Arial" w:cs="Arial" w:eastAsia="Arial" w:hAnsi="Arial"/>
                <w:sz w:val="14"/>
                <w:szCs w:val="14"/>
                <w:color w:val="auto"/>
              </w:rPr>
              <w:t>​​ ​</w:t>
            </w:r>
          </w:p>
        </w:tc>
        <w:tc>
          <w:tcPr>
            <w:tcW w:w="34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94"/>
              <w:spacing w:after="0" w:line="142" w:lineRule="exact"/>
              <w:rPr>
                <w:sz w:val="20"/>
                <w:szCs w:val="20"/>
                <w:color w:val="auto"/>
              </w:rPr>
            </w:pPr>
            <w:r>
              <w:rPr>
                <w:rFonts w:ascii="Arial" w:cs="Arial" w:eastAsia="Arial" w:hAnsi="Arial"/>
                <w:sz w:val="14"/>
                <w:szCs w:val="14"/>
                <w:color w:val="auto"/>
              </w:rPr>
              <w:t>49,000</w:t>
            </w:r>
          </w:p>
        </w:tc>
        <w:tc>
          <w:tcPr>
            <w:tcW w:w="180" w:type="dxa"/>
            <w:vAlign w:val="bottom"/>
          </w:tcPr>
          <w:p>
            <w:pPr>
              <w:spacing w:after="0" w:line="142" w:lineRule="exact"/>
              <w:rPr>
                <w:sz w:val="20"/>
                <w:szCs w:val="20"/>
                <w:color w:val="auto"/>
              </w:rPr>
            </w:pPr>
            <w:r>
              <w:rPr>
                <w:rFonts w:ascii="Arial" w:cs="Arial" w:eastAsia="Arial" w:hAnsi="Arial"/>
                <w:sz w:val="14"/>
                <w:szCs w:val="14"/>
                <w:color w:val="auto"/>
              </w:rPr>
              <w:t>​​ ​</w:t>
            </w:r>
          </w:p>
        </w:tc>
        <w:tc>
          <w:tcPr>
            <w:tcW w:w="1060" w:type="dxa"/>
            <w:vAlign w:val="bottom"/>
          </w:tcPr>
          <w:p>
            <w:pPr>
              <w:jc w:val="center"/>
              <w:spacing w:after="0" w:line="142"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10"/>
                <w:szCs w:val="10"/>
                <w:color w:val="auto"/>
              </w:rPr>
              <w:t>​36,580</w:t>
            </w:r>
          </w:p>
        </w:tc>
        <w:tc>
          <w:tcPr>
            <w:tcW w:w="920" w:type="dxa"/>
            <w:vAlign w:val="bottom"/>
            <w:gridSpan w:val="2"/>
          </w:tcPr>
          <w:p>
            <w:pPr>
              <w:jc w:val="right"/>
              <w:spacing w:after="0" w:line="142" w:lineRule="exact"/>
              <w:rPr>
                <w:sz w:val="20"/>
                <w:szCs w:val="20"/>
                <w:color w:val="auto"/>
              </w:rPr>
            </w:pPr>
            <w:r>
              <w:rPr>
                <w:rFonts w:ascii="Arial" w:cs="Arial" w:eastAsia="Arial" w:hAnsi="Arial"/>
                <w:sz w:val="16"/>
                <w:szCs w:val="16"/>
                <w:color w:val="auto"/>
                <w:vertAlign w:val="superscript"/>
              </w:rPr>
              <w:t>​​ ​ ​</w:t>
            </w:r>
            <w:r>
              <w:rPr>
                <w:rFonts w:ascii="Arial" w:cs="Arial" w:eastAsia="Arial" w:hAnsi="Arial"/>
                <w:sz w:val="10"/>
                <w:szCs w:val="10"/>
                <w:color w:val="auto"/>
              </w:rPr>
              <w:t>​1,551,330</w:t>
            </w:r>
            <w:r>
              <w:rPr>
                <w:rFonts w:ascii="Arial" w:cs="Arial" w:eastAsia="Arial" w:hAnsi="Arial"/>
                <w:sz w:val="16"/>
                <w:szCs w:val="16"/>
                <w:color w:val="auto"/>
                <w:vertAlign w:val="superscript"/>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1840" w:type="dxa"/>
            <w:vAlign w:val="bottom"/>
            <w:vMerge w:val="restart"/>
          </w:tcPr>
          <w:p>
            <w:pPr>
              <w:ind w:left="60"/>
              <w:spacing w:after="0" w:line="153" w:lineRule="exact"/>
              <w:rPr>
                <w:sz w:val="20"/>
                <w:szCs w:val="20"/>
                <w:color w:val="auto"/>
              </w:rPr>
            </w:pPr>
            <w:r>
              <w:rPr>
                <w:rFonts w:ascii="Arial" w:cs="Arial" w:eastAsia="Arial" w:hAnsi="Arial"/>
                <w:sz w:val="14"/>
                <w:szCs w:val="14"/>
                <w:color w:val="auto"/>
              </w:rPr>
              <w:t>Chief Legal Officer and</w:t>
            </w:r>
          </w:p>
        </w:tc>
        <w:tc>
          <w:tcPr>
            <w:tcW w:w="120" w:type="dxa"/>
            <w:vAlign w:val="bottom"/>
          </w:tcPr>
          <w:p>
            <w:pPr>
              <w:spacing w:after="0"/>
              <w:rPr>
                <w:sz w:val="4"/>
                <w:szCs w:val="4"/>
                <w:color w:val="auto"/>
              </w:rPr>
            </w:pPr>
          </w:p>
        </w:tc>
        <w:tc>
          <w:tcPr>
            <w:tcW w:w="114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140" w:type="dxa"/>
            <w:vAlign w:val="bottom"/>
            <w:tcBorders>
              <w:bottom w:val="single" w:sz="8" w:color="4C4C4C"/>
            </w:tcBorders>
          </w:tcPr>
          <w:p>
            <w:pPr>
              <w:spacing w:after="0"/>
              <w:rPr>
                <w:sz w:val="4"/>
                <w:szCs w:val="4"/>
                <w:color w:val="auto"/>
              </w:rPr>
            </w:pPr>
          </w:p>
        </w:tc>
        <w:tc>
          <w:tcPr>
            <w:tcW w:w="46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100" w:type="dxa"/>
            <w:vAlign w:val="bottom"/>
            <w:tcBorders>
              <w:bottom w:val="single" w:sz="8" w:color="4C4C4C"/>
            </w:tcBorders>
          </w:tcPr>
          <w:p>
            <w:pPr>
              <w:spacing w:after="0"/>
              <w:rPr>
                <w:sz w:val="4"/>
                <w:szCs w:val="4"/>
                <w:color w:val="auto"/>
              </w:rPr>
            </w:pPr>
          </w:p>
        </w:tc>
        <w:tc>
          <w:tcPr>
            <w:tcW w:w="420" w:type="dxa"/>
            <w:vAlign w:val="bottom"/>
            <w:tcBorders>
              <w:bottom w:val="single" w:sz="8" w:color="4C4C4C"/>
            </w:tcBorders>
          </w:tcPr>
          <w:p>
            <w:pPr>
              <w:spacing w:after="0"/>
              <w:rPr>
                <w:sz w:val="4"/>
                <w:szCs w:val="4"/>
                <w:color w:val="auto"/>
              </w:rPr>
            </w:pPr>
          </w:p>
        </w:tc>
        <w:tc>
          <w:tcPr>
            <w:tcW w:w="28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18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720" w:type="dxa"/>
            <w:vAlign w:val="bottom"/>
            <w:tcBorders>
              <w:bottom w:val="single" w:sz="8" w:color="4C4C4C"/>
            </w:tcBorders>
          </w:tcPr>
          <w:p>
            <w:pPr>
              <w:spacing w:after="0"/>
              <w:rPr>
                <w:sz w:val="4"/>
                <w:szCs w:val="4"/>
                <w:color w:val="auto"/>
              </w:rPr>
            </w:pPr>
          </w:p>
        </w:tc>
        <w:tc>
          <w:tcPr>
            <w:tcW w:w="180" w:type="dxa"/>
            <w:vAlign w:val="bottom"/>
            <w:tcBorders>
              <w:bottom w:val="single" w:sz="8" w:color="4C4C4C"/>
            </w:tcBorders>
          </w:tcPr>
          <w:p>
            <w:pPr>
              <w:spacing w:after="0"/>
              <w:rPr>
                <w:sz w:val="4"/>
                <w:szCs w:val="4"/>
                <w:color w:val="auto"/>
              </w:rPr>
            </w:pPr>
          </w:p>
        </w:tc>
        <w:tc>
          <w:tcPr>
            <w:tcW w:w="1060" w:type="dxa"/>
            <w:vAlign w:val="bottom"/>
            <w:tcBorders>
              <w:bottom w:val="single" w:sz="8" w:color="4C4C4C"/>
            </w:tcBorders>
          </w:tcPr>
          <w:p>
            <w:pPr>
              <w:spacing w:after="0"/>
              <w:rPr>
                <w:sz w:val="4"/>
                <w:szCs w:val="4"/>
                <w:color w:val="auto"/>
              </w:rPr>
            </w:pPr>
          </w:p>
        </w:tc>
        <w:tc>
          <w:tcPr>
            <w:tcW w:w="280" w:type="dxa"/>
            <w:vAlign w:val="bottom"/>
            <w:tcBorders>
              <w:bottom w:val="single" w:sz="8" w:color="4C4C4C"/>
            </w:tcBorders>
          </w:tcPr>
          <w:p>
            <w:pPr>
              <w:spacing w:after="0"/>
              <w:rPr>
                <w:sz w:val="4"/>
                <w:szCs w:val="4"/>
                <w:color w:val="auto"/>
              </w:rPr>
            </w:pPr>
          </w:p>
        </w:tc>
        <w:tc>
          <w:tcPr>
            <w:tcW w:w="64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 ​​2022​ ​ ​​400,000​</w:t>
            </w:r>
          </w:p>
        </w:tc>
        <w:tc>
          <w:tcPr>
            <w:tcW w:w="60" w:type="dxa"/>
            <w:vAlign w:val="bottom"/>
          </w:tcPr>
          <w:p>
            <w:pPr>
              <w:spacing w:after="0"/>
              <w:rPr>
                <w:sz w:val="6"/>
                <w:szCs w:val="6"/>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800" w:type="dxa"/>
            <w:vAlign w:val="bottom"/>
            <w:gridSpan w:val="3"/>
            <w:vMerge w:val="restart"/>
          </w:tcPr>
          <w:p>
            <w:pPr>
              <w:jc w:val="right"/>
              <w:spacing w:after="0"/>
              <w:rPr>
                <w:sz w:val="20"/>
                <w:szCs w:val="20"/>
                <w:color w:val="auto"/>
              </w:rPr>
            </w:pPr>
            <w:r>
              <w:rPr>
                <w:rFonts w:ascii="Arial" w:cs="Arial" w:eastAsia="Arial" w:hAnsi="Arial"/>
                <w:sz w:val="14"/>
                <w:szCs w:val="14"/>
                <w:color w:val="auto"/>
              </w:rPr>
              <w:t>​​1,136,522​ ​</w:t>
            </w:r>
          </w:p>
        </w:tc>
        <w:tc>
          <w:tcPr>
            <w:tcW w:w="340" w:type="dxa"/>
            <w:vAlign w:val="bottom"/>
            <w:vMerge w:val="restart"/>
          </w:tcPr>
          <w:p>
            <w:pPr>
              <w:ind w:left="18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6"/>
                <w:szCs w:val="6"/>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ind w:right="194"/>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rPr>
                <w:sz w:val="20"/>
                <w:szCs w:val="20"/>
                <w:color w:val="auto"/>
              </w:rPr>
            </w:pPr>
            <w:r>
              <w:rPr>
                <w:rFonts w:ascii="Arial" w:cs="Arial" w:eastAsia="Arial" w:hAnsi="Arial"/>
                <w:sz w:val="14"/>
                <w:szCs w:val="14"/>
                <w:color w:val="auto"/>
              </w:rPr>
              <w:t>​​ ​</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​​34,860</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 ​ ​​1,571,382​</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840" w:type="dxa"/>
            <w:vAlign w:val="bottom"/>
            <w:vMerge w:val="restart"/>
          </w:tcPr>
          <w:p>
            <w:pPr>
              <w:ind w:left="60"/>
              <w:spacing w:after="0"/>
              <w:rPr>
                <w:sz w:val="20"/>
                <w:szCs w:val="20"/>
                <w:color w:val="auto"/>
              </w:rPr>
            </w:pPr>
            <w:r>
              <w:rPr>
                <w:rFonts w:ascii="Arial" w:cs="Arial" w:eastAsia="Arial" w:hAnsi="Arial"/>
                <w:sz w:val="14"/>
                <w:szCs w:val="14"/>
                <w:color w:val="auto"/>
              </w:rPr>
              <w:t>Corporate Secretary</w:t>
            </w:r>
          </w:p>
        </w:tc>
        <w:tc>
          <w:tcPr>
            <w:tcW w:w="1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60" w:type="dxa"/>
            <w:vAlign w:val="bottom"/>
            <w:tcBorders>
              <w:bottom w:val="single" w:sz="8" w:color="E7417A"/>
            </w:tcBorders>
          </w:tcPr>
          <w:p>
            <w:pPr>
              <w:spacing w:after="0"/>
              <w:rPr>
                <w:sz w:val="7"/>
                <w:szCs w:val="7"/>
                <w:color w:val="auto"/>
              </w:rPr>
            </w:pPr>
          </w:p>
        </w:tc>
        <w:tc>
          <w:tcPr>
            <w:tcW w:w="1840" w:type="dxa"/>
            <w:vAlign w:val="bottom"/>
            <w:tcBorders>
              <w:bottom w:val="single" w:sz="8" w:color="E7417A"/>
            </w:tcBorders>
            <w:vMerge w:val="continue"/>
          </w:tcPr>
          <w:p>
            <w:pPr>
              <w:spacing w:after="0"/>
              <w:rPr>
                <w:sz w:val="7"/>
                <w:szCs w:val="7"/>
                <w:color w:val="auto"/>
              </w:rPr>
            </w:pPr>
          </w:p>
        </w:tc>
        <w:tc>
          <w:tcPr>
            <w:tcW w:w="120" w:type="dxa"/>
            <w:vAlign w:val="bottom"/>
            <w:tcBorders>
              <w:bottom w:val="single" w:sz="8" w:color="E7417A"/>
            </w:tcBorders>
          </w:tcPr>
          <w:p>
            <w:pPr>
              <w:spacing w:after="0"/>
              <w:rPr>
                <w:sz w:val="7"/>
                <w:szCs w:val="7"/>
                <w:color w:val="auto"/>
              </w:rPr>
            </w:pPr>
          </w:p>
        </w:tc>
        <w:tc>
          <w:tcPr>
            <w:tcW w:w="1140" w:type="dxa"/>
            <w:vAlign w:val="bottom"/>
            <w:tcBorders>
              <w:bottom w:val="single" w:sz="8" w:color="E7417A"/>
            </w:tcBorders>
          </w:tcPr>
          <w:p>
            <w:pPr>
              <w:spacing w:after="0"/>
              <w:rPr>
                <w:sz w:val="7"/>
                <w:szCs w:val="7"/>
                <w:color w:val="auto"/>
              </w:rPr>
            </w:pPr>
          </w:p>
        </w:tc>
        <w:tc>
          <w:tcPr>
            <w:tcW w:w="60" w:type="dxa"/>
            <w:vAlign w:val="bottom"/>
            <w:tcBorders>
              <w:bottom w:val="single" w:sz="8" w:color="E7417A"/>
            </w:tcBorders>
          </w:tcPr>
          <w:p>
            <w:pPr>
              <w:spacing w:after="0"/>
              <w:rPr>
                <w:sz w:val="7"/>
                <w:szCs w:val="7"/>
                <w:color w:val="auto"/>
              </w:rPr>
            </w:pPr>
          </w:p>
        </w:tc>
        <w:tc>
          <w:tcPr>
            <w:tcW w:w="120" w:type="dxa"/>
            <w:vAlign w:val="bottom"/>
            <w:tcBorders>
              <w:bottom w:val="single" w:sz="8" w:color="E7417A"/>
            </w:tcBorders>
          </w:tcPr>
          <w:p>
            <w:pPr>
              <w:spacing w:after="0"/>
              <w:rPr>
                <w:sz w:val="7"/>
                <w:szCs w:val="7"/>
                <w:color w:val="auto"/>
              </w:rPr>
            </w:pPr>
          </w:p>
        </w:tc>
        <w:tc>
          <w:tcPr>
            <w:tcW w:w="140" w:type="dxa"/>
            <w:vAlign w:val="bottom"/>
            <w:tcBorders>
              <w:bottom w:val="single" w:sz="8" w:color="E7417A"/>
            </w:tcBorders>
          </w:tcPr>
          <w:p>
            <w:pPr>
              <w:spacing w:after="0"/>
              <w:rPr>
                <w:sz w:val="7"/>
                <w:szCs w:val="7"/>
                <w:color w:val="auto"/>
              </w:rPr>
            </w:pPr>
          </w:p>
        </w:tc>
        <w:tc>
          <w:tcPr>
            <w:tcW w:w="460" w:type="dxa"/>
            <w:vAlign w:val="bottom"/>
            <w:tcBorders>
              <w:bottom w:val="single" w:sz="8" w:color="E7417A"/>
            </w:tcBorders>
          </w:tcPr>
          <w:p>
            <w:pPr>
              <w:spacing w:after="0"/>
              <w:rPr>
                <w:sz w:val="7"/>
                <w:szCs w:val="7"/>
                <w:color w:val="auto"/>
              </w:rPr>
            </w:pPr>
          </w:p>
        </w:tc>
        <w:tc>
          <w:tcPr>
            <w:tcW w:w="160" w:type="dxa"/>
            <w:vAlign w:val="bottom"/>
            <w:tcBorders>
              <w:bottom w:val="single" w:sz="8" w:color="E7417A"/>
            </w:tcBorders>
          </w:tcPr>
          <w:p>
            <w:pPr>
              <w:spacing w:after="0"/>
              <w:rPr>
                <w:sz w:val="7"/>
                <w:szCs w:val="7"/>
                <w:color w:val="auto"/>
              </w:rPr>
            </w:pPr>
          </w:p>
        </w:tc>
        <w:tc>
          <w:tcPr>
            <w:tcW w:w="100" w:type="dxa"/>
            <w:vAlign w:val="bottom"/>
            <w:tcBorders>
              <w:bottom w:val="single" w:sz="8" w:color="E7417A"/>
            </w:tcBorders>
          </w:tcPr>
          <w:p>
            <w:pPr>
              <w:spacing w:after="0"/>
              <w:rPr>
                <w:sz w:val="7"/>
                <w:szCs w:val="7"/>
                <w:color w:val="auto"/>
              </w:rPr>
            </w:pPr>
          </w:p>
        </w:tc>
        <w:tc>
          <w:tcPr>
            <w:tcW w:w="420" w:type="dxa"/>
            <w:vAlign w:val="bottom"/>
            <w:tcBorders>
              <w:bottom w:val="single" w:sz="8" w:color="E7417A"/>
            </w:tcBorders>
          </w:tcPr>
          <w:p>
            <w:pPr>
              <w:spacing w:after="0"/>
              <w:rPr>
                <w:sz w:val="7"/>
                <w:szCs w:val="7"/>
                <w:color w:val="auto"/>
              </w:rPr>
            </w:pPr>
          </w:p>
        </w:tc>
        <w:tc>
          <w:tcPr>
            <w:tcW w:w="280" w:type="dxa"/>
            <w:vAlign w:val="bottom"/>
            <w:tcBorders>
              <w:bottom w:val="single" w:sz="8" w:color="E7417A"/>
            </w:tcBorders>
          </w:tcPr>
          <w:p>
            <w:pPr>
              <w:spacing w:after="0"/>
              <w:rPr>
                <w:sz w:val="7"/>
                <w:szCs w:val="7"/>
                <w:color w:val="auto"/>
              </w:rPr>
            </w:pPr>
          </w:p>
        </w:tc>
        <w:tc>
          <w:tcPr>
            <w:tcW w:w="340" w:type="dxa"/>
            <w:vAlign w:val="bottom"/>
            <w:tcBorders>
              <w:bottom w:val="single" w:sz="8" w:color="E7417A"/>
            </w:tcBorders>
          </w:tcPr>
          <w:p>
            <w:pPr>
              <w:spacing w:after="0"/>
              <w:rPr>
                <w:sz w:val="7"/>
                <w:szCs w:val="7"/>
                <w:color w:val="auto"/>
              </w:rPr>
            </w:pPr>
          </w:p>
        </w:tc>
        <w:tc>
          <w:tcPr>
            <w:tcW w:w="160" w:type="dxa"/>
            <w:vAlign w:val="bottom"/>
            <w:tcBorders>
              <w:bottom w:val="single" w:sz="8" w:color="E7417A"/>
            </w:tcBorders>
          </w:tcPr>
          <w:p>
            <w:pPr>
              <w:spacing w:after="0"/>
              <w:rPr>
                <w:sz w:val="7"/>
                <w:szCs w:val="7"/>
                <w:color w:val="auto"/>
              </w:rPr>
            </w:pPr>
          </w:p>
        </w:tc>
        <w:tc>
          <w:tcPr>
            <w:tcW w:w="180" w:type="dxa"/>
            <w:vAlign w:val="bottom"/>
            <w:tcBorders>
              <w:bottom w:val="single" w:sz="8" w:color="E7417A"/>
            </w:tcBorders>
          </w:tcPr>
          <w:p>
            <w:pPr>
              <w:spacing w:after="0"/>
              <w:rPr>
                <w:sz w:val="7"/>
                <w:szCs w:val="7"/>
                <w:color w:val="auto"/>
              </w:rPr>
            </w:pPr>
          </w:p>
        </w:tc>
        <w:tc>
          <w:tcPr>
            <w:tcW w:w="340" w:type="dxa"/>
            <w:vAlign w:val="bottom"/>
            <w:tcBorders>
              <w:bottom w:val="single" w:sz="8" w:color="E7417A"/>
            </w:tcBorders>
          </w:tcPr>
          <w:p>
            <w:pPr>
              <w:spacing w:after="0"/>
              <w:rPr>
                <w:sz w:val="7"/>
                <w:szCs w:val="7"/>
                <w:color w:val="auto"/>
              </w:rPr>
            </w:pPr>
          </w:p>
        </w:tc>
        <w:tc>
          <w:tcPr>
            <w:tcW w:w="720" w:type="dxa"/>
            <w:vAlign w:val="bottom"/>
            <w:tcBorders>
              <w:bottom w:val="single" w:sz="8" w:color="E7417A"/>
            </w:tcBorders>
          </w:tcPr>
          <w:p>
            <w:pPr>
              <w:spacing w:after="0"/>
              <w:rPr>
                <w:sz w:val="7"/>
                <w:szCs w:val="7"/>
                <w:color w:val="auto"/>
              </w:rPr>
            </w:pPr>
          </w:p>
        </w:tc>
        <w:tc>
          <w:tcPr>
            <w:tcW w:w="180" w:type="dxa"/>
            <w:vAlign w:val="bottom"/>
            <w:tcBorders>
              <w:bottom w:val="single" w:sz="8" w:color="E7417A"/>
            </w:tcBorders>
          </w:tcPr>
          <w:p>
            <w:pPr>
              <w:spacing w:after="0"/>
              <w:rPr>
                <w:sz w:val="7"/>
                <w:szCs w:val="7"/>
                <w:color w:val="auto"/>
              </w:rPr>
            </w:pPr>
          </w:p>
        </w:tc>
        <w:tc>
          <w:tcPr>
            <w:tcW w:w="1060" w:type="dxa"/>
            <w:vAlign w:val="bottom"/>
            <w:tcBorders>
              <w:bottom w:val="single" w:sz="8" w:color="E7417A"/>
            </w:tcBorders>
          </w:tcPr>
          <w:p>
            <w:pPr>
              <w:spacing w:after="0"/>
              <w:rPr>
                <w:sz w:val="7"/>
                <w:szCs w:val="7"/>
                <w:color w:val="auto"/>
              </w:rPr>
            </w:pPr>
          </w:p>
        </w:tc>
        <w:tc>
          <w:tcPr>
            <w:tcW w:w="280" w:type="dxa"/>
            <w:vAlign w:val="bottom"/>
            <w:tcBorders>
              <w:bottom w:val="single" w:sz="8" w:color="E7417A"/>
            </w:tcBorders>
          </w:tcPr>
          <w:p>
            <w:pPr>
              <w:spacing w:after="0"/>
              <w:rPr>
                <w:sz w:val="7"/>
                <w:szCs w:val="7"/>
                <w:color w:val="auto"/>
              </w:rPr>
            </w:pPr>
          </w:p>
        </w:tc>
        <w:tc>
          <w:tcPr>
            <w:tcW w:w="640" w:type="dxa"/>
            <w:vAlign w:val="bottom"/>
            <w:tcBorders>
              <w:bottom w:val="single" w:sz="8" w:color="E7417A"/>
            </w:tcBorders>
          </w:tcPr>
          <w:p>
            <w:pPr>
              <w:spacing w:after="0"/>
              <w:rPr>
                <w:sz w:val="7"/>
                <w:szCs w:val="7"/>
                <w:color w:val="auto"/>
              </w:rPr>
            </w:pPr>
          </w:p>
        </w:tc>
        <w:tc>
          <w:tcPr>
            <w:tcW w:w="60" w:type="dxa"/>
            <w:vAlign w:val="bottom"/>
            <w:tcBorders>
              <w:bottom w:val="single" w:sz="8" w:color="E7417A"/>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20"/>
                <w:szCs w:val="20"/>
                <w:color w:val="auto"/>
              </w:rPr>
            </w:pPr>
            <w:r>
              <w:rPr>
                <w:rFonts w:ascii="Arial" w:cs="Arial" w:eastAsia="Arial" w:hAnsi="Arial"/>
                <w:sz w:val="14"/>
                <w:szCs w:val="14"/>
                <w:color w:val="auto"/>
              </w:rPr>
              <w:t>​</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Dan Redington</w:t>
            </w:r>
            <w:r>
              <w:rPr>
                <w:rFonts w:ascii="Arial" w:cs="Arial" w:eastAsia="Arial" w:hAnsi="Arial"/>
                <w:sz w:val="14"/>
                <w:szCs w:val="14"/>
                <w:color w:val="auto"/>
              </w:rPr>
              <w:t>,</w:t>
            </w:r>
          </w:p>
        </w:tc>
        <w:tc>
          <w:tcPr>
            <w:tcW w:w="1260" w:type="dxa"/>
            <w:vAlign w:val="bottom"/>
            <w:gridSpan w:val="2"/>
          </w:tcPr>
          <w:p>
            <w:pPr>
              <w:jc w:val="right"/>
              <w:spacing w:after="0" w:line="163" w:lineRule="exact"/>
              <w:rPr>
                <w:sz w:val="20"/>
                <w:szCs w:val="20"/>
                <w:color w:val="auto"/>
              </w:rPr>
            </w:pPr>
            <w:r>
              <w:rPr>
                <w:rFonts w:ascii="Arial" w:cs="Arial" w:eastAsia="Arial" w:hAnsi="Arial"/>
                <w:sz w:val="18"/>
                <w:szCs w:val="18"/>
                <w:color w:val="auto"/>
                <w:vertAlign w:val="superscript"/>
              </w:rPr>
              <w:t>​ ​ ​</w:t>
            </w:r>
            <w:r>
              <w:rPr>
                <w:rFonts w:ascii="Arial" w:cs="Arial" w:eastAsia="Arial" w:hAnsi="Arial"/>
                <w:sz w:val="11"/>
                <w:szCs w:val="11"/>
                <w:color w:val="auto"/>
              </w:rPr>
              <w:t>​2024</w:t>
            </w:r>
            <w:r>
              <w:rPr>
                <w:rFonts w:ascii="Arial" w:cs="Arial" w:eastAsia="Arial" w:hAnsi="Arial"/>
                <w:sz w:val="18"/>
                <w:szCs w:val="18"/>
                <w:color w:val="auto"/>
                <w:vertAlign w:val="superscript"/>
              </w:rPr>
              <w:t>​ ​ ​</w:t>
            </w:r>
            <w:r>
              <w:rPr>
                <w:rFonts w:ascii="Arial" w:cs="Arial" w:eastAsia="Arial" w:hAnsi="Arial"/>
                <w:sz w:val="11"/>
                <w:szCs w:val="11"/>
                <w:color w:val="auto"/>
              </w:rPr>
              <w:t>​430,000</w:t>
            </w:r>
            <w:r>
              <w:rPr>
                <w:rFonts w:ascii="Arial" w:cs="Arial" w:eastAsia="Arial" w:hAnsi="Arial"/>
                <w:sz w:val="18"/>
                <w:szCs w:val="18"/>
                <w:color w:val="auto"/>
                <w:vertAlign w:val="superscript"/>
              </w:rPr>
              <w:t>​</w:t>
            </w:r>
          </w:p>
        </w:tc>
        <w:tc>
          <w:tcPr>
            <w:tcW w:w="6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163"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1"/>
                <w:szCs w:val="11"/>
                <w:color w:val="auto"/>
              </w:rPr>
              <w:t>​</w:t>
            </w:r>
          </w:p>
        </w:tc>
        <w:tc>
          <w:tcPr>
            <w:tcW w:w="700" w:type="dxa"/>
            <w:vAlign w:val="bottom"/>
            <w:gridSpan w:val="2"/>
          </w:tcPr>
          <w:p>
            <w:pPr>
              <w:jc w:val="right"/>
              <w:spacing w:after="0" w:line="163" w:lineRule="exact"/>
              <w:rPr>
                <w:sz w:val="20"/>
                <w:szCs w:val="20"/>
                <w:color w:val="auto"/>
              </w:rPr>
            </w:pPr>
            <w:r>
              <w:rPr>
                <w:rFonts w:ascii="Arial" w:cs="Arial" w:eastAsia="Arial" w:hAnsi="Arial"/>
                <w:sz w:val="11"/>
                <w:szCs w:val="11"/>
                <w:color w:val="auto"/>
              </w:rPr>
              <w:t>558,478</w:t>
            </w:r>
            <w:r>
              <w:rPr>
                <w:rFonts w:ascii="Arial" w:cs="Arial" w:eastAsia="Arial" w:hAnsi="Arial"/>
                <w:sz w:val="18"/>
                <w:szCs w:val="18"/>
                <w:color w:val="auto"/>
                <w:vertAlign w:val="superscript"/>
              </w:rPr>
              <w:t>​ ​</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106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225,750</w:t>
            </w:r>
          </w:p>
        </w:tc>
        <w:tc>
          <w:tcPr>
            <w:tcW w:w="180" w:type="dxa"/>
            <w:vAlign w:val="bottom"/>
          </w:tcPr>
          <w:p>
            <w:pPr>
              <w:spacing w:after="0"/>
              <w:rPr>
                <w:sz w:val="20"/>
                <w:szCs w:val="20"/>
                <w:color w:val="auto"/>
              </w:rPr>
            </w:pPr>
            <w:r>
              <w:rPr>
                <w:rFonts w:ascii="Arial" w:cs="Arial" w:eastAsia="Arial" w:hAnsi="Arial"/>
                <w:sz w:val="14"/>
                <w:szCs w:val="14"/>
                <w:color w:val="auto"/>
              </w:rPr>
              <w:t>​​ ​</w:t>
            </w:r>
          </w:p>
        </w:tc>
        <w:tc>
          <w:tcPr>
            <w:tcW w:w="1060" w:type="dxa"/>
            <w:vAlign w:val="bottom"/>
          </w:tcPr>
          <w:p>
            <w:pPr>
              <w:jc w:val="center"/>
              <w:spacing w:after="0" w:line="163"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1"/>
                <w:szCs w:val="11"/>
                <w:color w:val="auto"/>
              </w:rPr>
              <w:t>​36,831</w:t>
            </w:r>
          </w:p>
        </w:tc>
        <w:tc>
          <w:tcPr>
            <w:tcW w:w="920" w:type="dxa"/>
            <w:vAlign w:val="bottom"/>
            <w:gridSpan w:val="2"/>
          </w:tcPr>
          <w:p>
            <w:pPr>
              <w:jc w:val="right"/>
              <w:spacing w:after="0" w:line="163" w:lineRule="exact"/>
              <w:rPr>
                <w:sz w:val="20"/>
                <w:szCs w:val="20"/>
                <w:color w:val="auto"/>
              </w:rPr>
            </w:pPr>
            <w:r>
              <w:rPr>
                <w:rFonts w:ascii="Arial" w:cs="Arial" w:eastAsia="Arial" w:hAnsi="Arial"/>
                <w:sz w:val="18"/>
                <w:szCs w:val="18"/>
                <w:color w:val="auto"/>
                <w:vertAlign w:val="superscript"/>
              </w:rPr>
              <w:t>​​ ​ ​</w:t>
            </w:r>
            <w:r>
              <w:rPr>
                <w:rFonts w:ascii="Arial" w:cs="Arial" w:eastAsia="Arial" w:hAnsi="Arial"/>
                <w:sz w:val="11"/>
                <w:szCs w:val="11"/>
                <w:color w:val="auto"/>
              </w:rPr>
              <w:t>​1,251,059</w:t>
            </w:r>
            <w:r>
              <w:rPr>
                <w:rFonts w:ascii="Arial" w:cs="Arial" w:eastAsia="Arial" w:hAnsi="Arial"/>
                <w:sz w:val="18"/>
                <w:szCs w:val="18"/>
                <w:color w:val="auto"/>
                <w:vertAlign w:val="superscript"/>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1840" w:type="dxa"/>
            <w:vAlign w:val="bottom"/>
            <w:vMerge w:val="restart"/>
          </w:tcPr>
          <w:p>
            <w:pPr>
              <w:ind w:left="60"/>
              <w:spacing w:after="0"/>
              <w:rPr>
                <w:sz w:val="20"/>
                <w:szCs w:val="20"/>
                <w:color w:val="auto"/>
              </w:rPr>
            </w:pPr>
            <w:r>
              <w:rPr>
                <w:rFonts w:ascii="Arial" w:cs="Arial" w:eastAsia="Arial" w:hAnsi="Arial"/>
                <w:sz w:val="14"/>
                <w:szCs w:val="14"/>
                <w:color w:val="auto"/>
              </w:rPr>
              <w:t>Executive Vice President,</w:t>
            </w:r>
          </w:p>
        </w:tc>
        <w:tc>
          <w:tcPr>
            <w:tcW w:w="120" w:type="dxa"/>
            <w:vAlign w:val="bottom"/>
          </w:tcPr>
          <w:p>
            <w:pPr>
              <w:spacing w:after="0" w:line="20" w:lineRule="exact"/>
              <w:rPr>
                <w:sz w:val="1"/>
                <w:szCs w:val="1"/>
                <w:color w:val="auto"/>
              </w:rPr>
            </w:pPr>
          </w:p>
        </w:tc>
        <w:tc>
          <w:tcPr>
            <w:tcW w:w="114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120" w:type="dxa"/>
            <w:vAlign w:val="bottom"/>
            <w:tcBorders>
              <w:bottom w:val="single" w:sz="8" w:color="4C4C4C"/>
            </w:tcBorders>
          </w:tcPr>
          <w:p>
            <w:pPr>
              <w:spacing w:after="0" w:line="20" w:lineRule="exact"/>
              <w:rPr>
                <w:sz w:val="1"/>
                <w:szCs w:val="1"/>
                <w:color w:val="auto"/>
              </w:rPr>
            </w:pPr>
          </w:p>
        </w:tc>
        <w:tc>
          <w:tcPr>
            <w:tcW w:w="140" w:type="dxa"/>
            <w:vAlign w:val="bottom"/>
            <w:tcBorders>
              <w:bottom w:val="single" w:sz="8" w:color="4C4C4C"/>
            </w:tcBorders>
          </w:tcPr>
          <w:p>
            <w:pPr>
              <w:spacing w:after="0" w:line="20" w:lineRule="exact"/>
              <w:rPr>
                <w:sz w:val="1"/>
                <w:szCs w:val="1"/>
                <w:color w:val="auto"/>
              </w:rPr>
            </w:pPr>
          </w:p>
        </w:tc>
        <w:tc>
          <w:tcPr>
            <w:tcW w:w="460" w:type="dxa"/>
            <w:vAlign w:val="bottom"/>
            <w:tcBorders>
              <w:bottom w:val="single" w:sz="8" w:color="4C4C4C"/>
            </w:tcBorders>
          </w:tcPr>
          <w:p>
            <w:pPr>
              <w:spacing w:after="0" w:line="20" w:lineRule="exact"/>
              <w:rPr>
                <w:sz w:val="1"/>
                <w:szCs w:val="1"/>
                <w:color w:val="auto"/>
              </w:rPr>
            </w:pPr>
          </w:p>
        </w:tc>
        <w:tc>
          <w:tcPr>
            <w:tcW w:w="160" w:type="dxa"/>
            <w:vAlign w:val="bottom"/>
            <w:tcBorders>
              <w:bottom w:val="single" w:sz="8" w:color="4C4C4C"/>
            </w:tcBorders>
          </w:tcPr>
          <w:p>
            <w:pPr>
              <w:spacing w:after="0" w:line="20" w:lineRule="exact"/>
              <w:rPr>
                <w:sz w:val="1"/>
                <w:szCs w:val="1"/>
                <w:color w:val="auto"/>
              </w:rPr>
            </w:pPr>
          </w:p>
        </w:tc>
        <w:tc>
          <w:tcPr>
            <w:tcW w:w="100" w:type="dxa"/>
            <w:vAlign w:val="bottom"/>
            <w:tcBorders>
              <w:bottom w:val="single" w:sz="8" w:color="4C4C4C"/>
            </w:tcBorders>
          </w:tcPr>
          <w:p>
            <w:pPr>
              <w:spacing w:after="0" w:line="20" w:lineRule="exact"/>
              <w:rPr>
                <w:sz w:val="1"/>
                <w:szCs w:val="1"/>
                <w:color w:val="auto"/>
              </w:rPr>
            </w:pPr>
          </w:p>
        </w:tc>
        <w:tc>
          <w:tcPr>
            <w:tcW w:w="700" w:type="dxa"/>
            <w:vAlign w:val="bottom"/>
            <w:tcBorders>
              <w:bottom w:val="single" w:sz="8" w:color="4C4C4C"/>
            </w:tcBorders>
            <w:gridSpan w:val="2"/>
          </w:tcPr>
          <w:p>
            <w:pPr>
              <w:spacing w:after="0" w:line="20" w:lineRule="exact"/>
              <w:rPr>
                <w:sz w:val="1"/>
                <w:szCs w:val="1"/>
                <w:color w:val="auto"/>
              </w:rPr>
            </w:pPr>
          </w:p>
        </w:tc>
        <w:tc>
          <w:tcPr>
            <w:tcW w:w="340" w:type="dxa"/>
            <w:vAlign w:val="bottom"/>
            <w:tcBorders>
              <w:bottom w:val="single" w:sz="8" w:color="4C4C4C"/>
            </w:tcBorders>
          </w:tcPr>
          <w:p>
            <w:pPr>
              <w:spacing w:after="0" w:line="20" w:lineRule="exact"/>
              <w:rPr>
                <w:sz w:val="1"/>
                <w:szCs w:val="1"/>
                <w:color w:val="auto"/>
              </w:rPr>
            </w:pPr>
          </w:p>
        </w:tc>
        <w:tc>
          <w:tcPr>
            <w:tcW w:w="160" w:type="dxa"/>
            <w:vAlign w:val="bottom"/>
            <w:tcBorders>
              <w:bottom w:val="single" w:sz="8" w:color="4C4C4C"/>
            </w:tcBorders>
          </w:tcPr>
          <w:p>
            <w:pPr>
              <w:spacing w:after="0" w:line="20" w:lineRule="exact"/>
              <w:rPr>
                <w:sz w:val="1"/>
                <w:szCs w:val="1"/>
                <w:color w:val="auto"/>
              </w:rPr>
            </w:pPr>
          </w:p>
        </w:tc>
        <w:tc>
          <w:tcPr>
            <w:tcW w:w="180" w:type="dxa"/>
            <w:vAlign w:val="bottom"/>
            <w:tcBorders>
              <w:bottom w:val="single" w:sz="8" w:color="4C4C4C"/>
            </w:tcBorders>
          </w:tcPr>
          <w:p>
            <w:pPr>
              <w:spacing w:after="0" w:line="20" w:lineRule="exact"/>
              <w:rPr>
                <w:sz w:val="1"/>
                <w:szCs w:val="1"/>
                <w:color w:val="auto"/>
              </w:rPr>
            </w:pPr>
          </w:p>
        </w:tc>
        <w:tc>
          <w:tcPr>
            <w:tcW w:w="340" w:type="dxa"/>
            <w:vAlign w:val="bottom"/>
            <w:tcBorders>
              <w:bottom w:val="single" w:sz="8" w:color="4C4C4C"/>
            </w:tcBorders>
          </w:tcPr>
          <w:p>
            <w:pPr>
              <w:spacing w:after="0" w:line="20" w:lineRule="exact"/>
              <w:rPr>
                <w:sz w:val="1"/>
                <w:szCs w:val="1"/>
                <w:color w:val="auto"/>
              </w:rPr>
            </w:pPr>
          </w:p>
        </w:tc>
        <w:tc>
          <w:tcPr>
            <w:tcW w:w="720" w:type="dxa"/>
            <w:vAlign w:val="bottom"/>
            <w:tcBorders>
              <w:bottom w:val="single" w:sz="8" w:color="4C4C4C"/>
            </w:tcBorders>
          </w:tcPr>
          <w:p>
            <w:pPr>
              <w:spacing w:after="0" w:line="20" w:lineRule="exact"/>
              <w:rPr>
                <w:sz w:val="1"/>
                <w:szCs w:val="1"/>
                <w:color w:val="auto"/>
              </w:rPr>
            </w:pPr>
          </w:p>
        </w:tc>
        <w:tc>
          <w:tcPr>
            <w:tcW w:w="180" w:type="dxa"/>
            <w:vAlign w:val="bottom"/>
            <w:tcBorders>
              <w:bottom w:val="single" w:sz="8" w:color="4C4C4C"/>
            </w:tcBorders>
          </w:tcPr>
          <w:p>
            <w:pPr>
              <w:spacing w:after="0" w:line="20" w:lineRule="exact"/>
              <w:rPr>
                <w:sz w:val="1"/>
                <w:szCs w:val="1"/>
                <w:color w:val="auto"/>
              </w:rPr>
            </w:pPr>
          </w:p>
        </w:tc>
        <w:tc>
          <w:tcPr>
            <w:tcW w:w="1060" w:type="dxa"/>
            <w:vAlign w:val="bottom"/>
            <w:tcBorders>
              <w:bottom w:val="single" w:sz="8" w:color="4C4C4C"/>
            </w:tcBorders>
          </w:tcPr>
          <w:p>
            <w:pPr>
              <w:spacing w:after="0" w:line="20" w:lineRule="exact"/>
              <w:rPr>
                <w:sz w:val="1"/>
                <w:szCs w:val="1"/>
                <w:color w:val="auto"/>
              </w:rPr>
            </w:pPr>
          </w:p>
        </w:tc>
        <w:tc>
          <w:tcPr>
            <w:tcW w:w="920" w:type="dxa"/>
            <w:vAlign w:val="bottom"/>
            <w:tcBorders>
              <w:bottom w:val="single" w:sz="8" w:color="4C4C4C"/>
            </w:tcBorders>
            <w:gridSpan w:val="2"/>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4"/>
                <w:szCs w:val="14"/>
                <w:color w:val="auto"/>
              </w:rPr>
              <w:t>​ ​​2023​ ​ ​​405,000​</w:t>
            </w:r>
          </w:p>
        </w:tc>
        <w:tc>
          <w:tcPr>
            <w:tcW w:w="60" w:type="dxa"/>
            <w:vAlign w:val="bottom"/>
          </w:tcPr>
          <w:p>
            <w:pPr>
              <w:spacing w:after="0"/>
              <w:rPr>
                <w:sz w:val="12"/>
                <w:szCs w:val="12"/>
                <w:color w:val="auto"/>
              </w:rPr>
            </w:pPr>
          </w:p>
        </w:tc>
        <w:tc>
          <w:tcPr>
            <w:tcW w:w="12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800,289​ ​</w:t>
            </w:r>
          </w:p>
        </w:tc>
        <w:tc>
          <w:tcPr>
            <w:tcW w:w="340" w:type="dxa"/>
            <w:vAlign w:val="bottom"/>
          </w:tcPr>
          <w:p>
            <w:pPr>
              <w:ind w:left="180"/>
              <w:spacing w:after="0" w:line="142"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80" w:type="dxa"/>
            <w:vAlign w:val="bottom"/>
          </w:tcPr>
          <w:p>
            <w:pPr>
              <w:ind w:left="20"/>
              <w:spacing w:after="0" w:line="142" w:lineRule="exact"/>
              <w:rPr>
                <w:sz w:val="20"/>
                <w:szCs w:val="20"/>
                <w:color w:val="auto"/>
              </w:rPr>
            </w:pPr>
            <w:r>
              <w:rPr>
                <w:rFonts w:ascii="Arial" w:cs="Arial" w:eastAsia="Arial" w:hAnsi="Arial"/>
                <w:sz w:val="14"/>
                <w:szCs w:val="14"/>
                <w:color w:val="auto"/>
              </w:rPr>
              <w:t>​​ ​</w:t>
            </w:r>
          </w:p>
        </w:tc>
        <w:tc>
          <w:tcPr>
            <w:tcW w:w="34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94"/>
              <w:spacing w:after="0" w:line="142" w:lineRule="exact"/>
              <w:rPr>
                <w:sz w:val="20"/>
                <w:szCs w:val="20"/>
                <w:color w:val="auto"/>
              </w:rPr>
            </w:pPr>
            <w:r>
              <w:rPr>
                <w:rFonts w:ascii="Arial" w:cs="Arial" w:eastAsia="Arial" w:hAnsi="Arial"/>
                <w:sz w:val="14"/>
                <w:szCs w:val="14"/>
                <w:color w:val="auto"/>
              </w:rPr>
              <w:t>45,600</w:t>
            </w:r>
          </w:p>
        </w:tc>
        <w:tc>
          <w:tcPr>
            <w:tcW w:w="180" w:type="dxa"/>
            <w:vAlign w:val="bottom"/>
          </w:tcPr>
          <w:p>
            <w:pPr>
              <w:spacing w:after="0" w:line="142" w:lineRule="exact"/>
              <w:rPr>
                <w:sz w:val="20"/>
                <w:szCs w:val="20"/>
                <w:color w:val="auto"/>
              </w:rPr>
            </w:pPr>
            <w:r>
              <w:rPr>
                <w:rFonts w:ascii="Arial" w:cs="Arial" w:eastAsia="Arial" w:hAnsi="Arial"/>
                <w:sz w:val="14"/>
                <w:szCs w:val="14"/>
                <w:color w:val="auto"/>
              </w:rPr>
              <w:t>​​ ​</w:t>
            </w:r>
          </w:p>
        </w:tc>
        <w:tc>
          <w:tcPr>
            <w:tcW w:w="1060" w:type="dxa"/>
            <w:vAlign w:val="bottom"/>
          </w:tcPr>
          <w:p>
            <w:pPr>
              <w:jc w:val="center"/>
              <w:spacing w:after="0" w:line="142" w:lineRule="exact"/>
              <w:rPr>
                <w:sz w:val="20"/>
                <w:szCs w:val="20"/>
                <w:color w:val="auto"/>
              </w:rPr>
            </w:pPr>
            <w:r>
              <w:rPr>
                <w:rFonts w:ascii="Arial" w:cs="Arial" w:eastAsia="Arial" w:hAnsi="Arial"/>
                <w:sz w:val="14"/>
                <w:szCs w:val="14"/>
                <w:color w:val="auto"/>
              </w:rPr>
              <w:t>​​36,550</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 ​​1,287,439​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840" w:type="dxa"/>
            <w:vAlign w:val="bottom"/>
          </w:tcPr>
          <w:p>
            <w:pPr>
              <w:ind w:left="60"/>
              <w:spacing w:after="0"/>
              <w:rPr>
                <w:sz w:val="20"/>
                <w:szCs w:val="20"/>
                <w:color w:val="auto"/>
              </w:rPr>
            </w:pPr>
            <w:r>
              <w:rPr>
                <w:rFonts w:ascii="Arial" w:cs="Arial" w:eastAsia="Arial" w:hAnsi="Arial"/>
                <w:sz w:val="14"/>
                <w:szCs w:val="14"/>
                <w:color w:val="auto"/>
              </w:rPr>
              <w:t>Global Sales</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
        </w:trPr>
        <w:tc>
          <w:tcPr>
            <w:tcW w:w="60" w:type="dxa"/>
            <w:vAlign w:val="bottom"/>
            <w:shd w:val="clear" w:color="auto" w:fill="E7417A"/>
          </w:tcPr>
          <w:p>
            <w:pPr>
              <w:spacing w:after="0"/>
              <w:rPr>
                <w:sz w:val="20"/>
                <w:szCs w:val="20"/>
                <w:color w:val="auto"/>
              </w:rPr>
            </w:pPr>
            <w:r>
              <w:rPr>
                <w:rFonts w:ascii="Arial" w:cs="Arial" w:eastAsia="Arial" w:hAnsi="Arial"/>
                <w:sz w:val="1"/>
                <w:szCs w:val="1"/>
                <w:color w:val="auto"/>
              </w:rPr>
              <w:t>​</w:t>
            </w:r>
          </w:p>
        </w:tc>
        <w:tc>
          <w:tcPr>
            <w:tcW w:w="1840" w:type="dxa"/>
            <w:vAlign w:val="bottom"/>
            <w:shd w:val="clear" w:color="auto" w:fill="E7417A"/>
          </w:tcPr>
          <w:p>
            <w:pPr>
              <w:ind w:left="60"/>
              <w:spacing w:after="0"/>
              <w:rPr>
                <w:sz w:val="20"/>
                <w:szCs w:val="20"/>
                <w:color w:val="auto"/>
              </w:rPr>
            </w:pPr>
            <w:r>
              <w:rPr>
                <w:rFonts w:ascii="Arial" w:cs="Arial" w:eastAsia="Arial" w:hAnsi="Arial"/>
                <w:sz w:val="1"/>
                <w:szCs w:val="1"/>
                <w:b w:val="1"/>
                <w:bCs w:val="1"/>
                <w:color w:val="auto"/>
              </w:rPr>
              <w:t>Miguel Lopez</w:t>
            </w:r>
            <w:r>
              <w:rPr>
                <w:rFonts w:ascii="Arial" w:cs="Arial" w:eastAsia="Arial" w:hAnsi="Arial"/>
                <w:sz w:val="1"/>
                <w:szCs w:val="1"/>
                <w:color w:val="auto"/>
              </w:rPr>
              <w:t>,</w:t>
            </w:r>
          </w:p>
        </w:tc>
        <w:tc>
          <w:tcPr>
            <w:tcW w:w="1260" w:type="dxa"/>
            <w:vAlign w:val="bottom"/>
            <w:gridSpan w:val="2"/>
            <w:shd w:val="clear" w:color="auto" w:fill="E7417A"/>
          </w:tcPr>
          <w:p>
            <w:pPr>
              <w:jc w:val="right"/>
              <w:spacing w:after="0"/>
              <w:rPr>
                <w:sz w:val="20"/>
                <w:szCs w:val="20"/>
                <w:color w:val="auto"/>
              </w:rPr>
            </w:pPr>
            <w:r>
              <w:rPr>
                <w:rFonts w:ascii="Arial" w:cs="Arial" w:eastAsia="Arial" w:hAnsi="Arial"/>
                <w:sz w:val="1"/>
                <w:szCs w:val="1"/>
                <w:color w:val="auto"/>
                <w:vertAlign w:val="superscript"/>
              </w:rPr>
              <w:t>​ ​ ​</w:t>
            </w:r>
            <w:r>
              <w:rPr>
                <w:rFonts w:ascii="Arial" w:cs="Arial" w:eastAsia="Arial" w:hAnsi="Arial"/>
                <w:sz w:val="1"/>
                <w:szCs w:val="1"/>
                <w:color w:val="auto"/>
              </w:rPr>
              <w:t>​2024</w:t>
            </w:r>
            <w:r>
              <w:rPr>
                <w:rFonts w:ascii="Arial" w:cs="Arial" w:eastAsia="Arial" w:hAnsi="Arial"/>
                <w:sz w:val="1"/>
                <w:szCs w:val="1"/>
                <w:color w:val="auto"/>
                <w:vertAlign w:val="superscript"/>
              </w:rPr>
              <w:t>​ ​ ​</w:t>
            </w:r>
            <w:r>
              <w:rPr>
                <w:rFonts w:ascii="Arial" w:cs="Arial" w:eastAsia="Arial" w:hAnsi="Arial"/>
                <w:sz w:val="1"/>
                <w:szCs w:val="1"/>
                <w:color w:val="auto"/>
              </w:rPr>
              <w:t>​437,260</w:t>
            </w:r>
            <w:r>
              <w:rPr>
                <w:rFonts w:ascii="Arial" w:cs="Arial" w:eastAsia="Arial" w:hAnsi="Arial"/>
                <w:sz w:val="1"/>
                <w:szCs w:val="1"/>
                <w:color w:val="auto"/>
                <w:vertAlign w:val="superscript"/>
              </w:rPr>
              <w:t>​</w:t>
            </w:r>
          </w:p>
        </w:tc>
        <w:tc>
          <w:tcPr>
            <w:tcW w:w="60" w:type="dxa"/>
            <w:vAlign w:val="bottom"/>
            <w:shd w:val="clear" w:color="auto" w:fill="E7417A"/>
          </w:tcPr>
          <w:p>
            <w:pPr>
              <w:spacing w:after="0" w:line="20" w:lineRule="exact"/>
              <w:rPr>
                <w:sz w:val="1"/>
                <w:szCs w:val="1"/>
                <w:color w:val="auto"/>
              </w:rPr>
            </w:pPr>
          </w:p>
        </w:tc>
        <w:tc>
          <w:tcPr>
            <w:tcW w:w="120" w:type="dxa"/>
            <w:vAlign w:val="bottom"/>
            <w:shd w:val="clear" w:color="auto" w:fill="E7417A"/>
          </w:tcPr>
          <w:p>
            <w:pPr>
              <w:ind w:left="20"/>
              <w:spacing w:after="0"/>
              <w:rPr>
                <w:sz w:val="20"/>
                <w:szCs w:val="20"/>
                <w:color w:val="auto"/>
              </w:rPr>
            </w:pPr>
            <w:r>
              <w:rPr>
                <w:rFonts w:ascii="Arial" w:cs="Arial" w:eastAsia="Arial" w:hAnsi="Arial"/>
                <w:sz w:val="1"/>
                <w:szCs w:val="1"/>
                <w:color w:val="auto"/>
              </w:rPr>
              <w:t>​</w:t>
            </w:r>
          </w:p>
        </w:tc>
        <w:tc>
          <w:tcPr>
            <w:tcW w:w="600" w:type="dxa"/>
            <w:vAlign w:val="bottom"/>
            <w:gridSpan w:val="2"/>
            <w:shd w:val="clear" w:color="auto" w:fill="E7417A"/>
          </w:tcPr>
          <w:p>
            <w:pPr>
              <w:jc w:val="right"/>
              <w:spacing w:after="0"/>
              <w:rPr>
                <w:sz w:val="20"/>
                <w:szCs w:val="20"/>
                <w:color w:val="auto"/>
              </w:rPr>
            </w:pPr>
            <w:r>
              <w:rPr>
                <w:rFonts w:ascii="Arial" w:cs="Arial" w:eastAsia="Arial" w:hAnsi="Arial"/>
                <w:sz w:val="1"/>
                <w:szCs w:val="1"/>
                <w:color w:val="auto"/>
                <w:vertAlign w:val="superscript"/>
              </w:rPr>
              <w:t>​</w:t>
            </w:r>
            <w:r>
              <w:rPr>
                <w:rFonts w:ascii="Arial" w:cs="Arial" w:eastAsia="Arial" w:hAnsi="Arial"/>
                <w:sz w:val="1"/>
                <w:szCs w:val="1"/>
                <w:color w:val="auto"/>
              </w:rPr>
              <w:t>​100,000</w:t>
            </w:r>
            <w:r>
              <w:rPr>
                <w:rFonts w:ascii="Arial" w:cs="Arial" w:eastAsia="Arial" w:hAnsi="Arial"/>
                <w:sz w:val="1"/>
                <w:szCs w:val="1"/>
                <w:color w:val="auto"/>
                <w:vertAlign w:val="superscript"/>
              </w:rPr>
              <w:t>​</w:t>
            </w:r>
          </w:p>
        </w:tc>
        <w:tc>
          <w:tcPr>
            <w:tcW w:w="160" w:type="dxa"/>
            <w:vAlign w:val="bottom"/>
            <w:shd w:val="clear" w:color="auto" w:fill="E7417A"/>
          </w:tcPr>
          <w:p>
            <w:pPr>
              <w:jc w:val="center"/>
              <w:spacing w:after="0"/>
              <w:rPr>
                <w:sz w:val="20"/>
                <w:szCs w:val="20"/>
                <w:color w:val="auto"/>
              </w:rPr>
            </w:pPr>
            <w:r>
              <w:rPr>
                <w:rFonts w:ascii="Arial" w:cs="Arial" w:eastAsia="Arial" w:hAnsi="Arial"/>
                <w:sz w:val="1"/>
                <w:szCs w:val="1"/>
                <w:color w:val="auto"/>
              </w:rPr>
              <w:t>​</w:t>
            </w:r>
          </w:p>
        </w:tc>
        <w:tc>
          <w:tcPr>
            <w:tcW w:w="100" w:type="dxa"/>
            <w:vAlign w:val="bottom"/>
            <w:shd w:val="clear" w:color="auto" w:fill="E7417A"/>
          </w:tcPr>
          <w:p>
            <w:pPr>
              <w:spacing w:after="0"/>
              <w:rPr>
                <w:sz w:val="20"/>
                <w:szCs w:val="20"/>
                <w:color w:val="auto"/>
              </w:rPr>
            </w:pPr>
            <w:r>
              <w:rPr>
                <w:rFonts w:ascii="Arial" w:cs="Arial" w:eastAsia="Arial" w:hAnsi="Arial"/>
                <w:sz w:val="1"/>
                <w:szCs w:val="1"/>
                <w:color w:val="auto"/>
              </w:rPr>
              <w:t>​</w:t>
            </w:r>
            <w:r>
              <w:rPr>
                <w:rFonts w:ascii="Arial" w:cs="Arial" w:eastAsia="Arial" w:hAnsi="Arial"/>
                <w:sz w:val="1"/>
                <w:szCs w:val="1"/>
                <w:color w:val="auto"/>
                <w:vertAlign w:val="subscript"/>
              </w:rPr>
              <w:t>​</w:t>
            </w:r>
          </w:p>
        </w:tc>
        <w:tc>
          <w:tcPr>
            <w:tcW w:w="420" w:type="dxa"/>
            <w:vAlign w:val="bottom"/>
            <w:shd w:val="clear" w:color="auto" w:fill="E7417A"/>
          </w:tcPr>
          <w:p>
            <w:pPr>
              <w:spacing w:after="0" w:line="20" w:lineRule="exact"/>
              <w:rPr>
                <w:sz w:val="1"/>
                <w:szCs w:val="1"/>
                <w:color w:val="auto"/>
              </w:rPr>
            </w:pPr>
          </w:p>
        </w:tc>
        <w:tc>
          <w:tcPr>
            <w:tcW w:w="280" w:type="dxa"/>
            <w:vAlign w:val="bottom"/>
            <w:shd w:val="clear" w:color="auto" w:fill="E7417A"/>
          </w:tcPr>
          <w:p>
            <w:pPr>
              <w:jc w:val="right"/>
              <w:spacing w:after="0"/>
              <w:rPr>
                <w:sz w:val="20"/>
                <w:szCs w:val="20"/>
                <w:color w:val="auto"/>
              </w:rPr>
            </w:pPr>
            <w:r>
              <w:rPr>
                <w:rFonts w:ascii="Arial" w:cs="Arial" w:eastAsia="Arial" w:hAnsi="Arial"/>
                <w:sz w:val="1"/>
                <w:szCs w:val="1"/>
                <w:color w:val="auto"/>
                <w:vertAlign w:val="subscript"/>
              </w:rPr>
              <w:t>—</w:t>
            </w:r>
            <w:r>
              <w:rPr>
                <w:rFonts w:ascii="Arial" w:cs="Arial" w:eastAsia="Arial" w:hAnsi="Arial"/>
                <w:sz w:val="1"/>
                <w:szCs w:val="1"/>
                <w:color w:val="auto"/>
              </w:rPr>
              <w:t>​ ​</w:t>
            </w:r>
          </w:p>
        </w:tc>
        <w:tc>
          <w:tcPr>
            <w:tcW w:w="340" w:type="dxa"/>
            <w:vAlign w:val="bottom"/>
            <w:shd w:val="clear" w:color="auto" w:fill="E7417A"/>
          </w:tcPr>
          <w:p>
            <w:pPr>
              <w:ind w:left="180"/>
              <w:spacing w:after="0"/>
              <w:rPr>
                <w:sz w:val="20"/>
                <w:szCs w:val="20"/>
                <w:color w:val="auto"/>
              </w:rPr>
            </w:pPr>
            <w:r>
              <w:rPr>
                <w:rFonts w:ascii="Arial" w:cs="Arial" w:eastAsia="Arial" w:hAnsi="Arial"/>
                <w:sz w:val="1"/>
                <w:szCs w:val="1"/>
                <w:color w:val="auto"/>
                <w:vertAlign w:val="superscript"/>
              </w:rPr>
              <w:t>​</w:t>
            </w:r>
            <w:r>
              <w:rPr>
                <w:rFonts w:ascii="Arial" w:cs="Arial" w:eastAsia="Arial" w:hAnsi="Arial"/>
                <w:sz w:val="1"/>
                <w:szCs w:val="1"/>
                <w:color w:val="auto"/>
              </w:rPr>
              <w:t>​—</w:t>
            </w:r>
          </w:p>
        </w:tc>
        <w:tc>
          <w:tcPr>
            <w:tcW w:w="160" w:type="dxa"/>
            <w:vAlign w:val="bottom"/>
            <w:shd w:val="clear" w:color="auto" w:fill="E7417A"/>
          </w:tcPr>
          <w:p>
            <w:pPr>
              <w:spacing w:after="0" w:line="20" w:lineRule="exact"/>
              <w:rPr>
                <w:sz w:val="1"/>
                <w:szCs w:val="1"/>
                <w:color w:val="auto"/>
              </w:rPr>
            </w:pPr>
          </w:p>
        </w:tc>
        <w:tc>
          <w:tcPr>
            <w:tcW w:w="180" w:type="dxa"/>
            <w:vAlign w:val="bottom"/>
            <w:shd w:val="clear" w:color="auto" w:fill="E7417A"/>
          </w:tcPr>
          <w:p>
            <w:pPr>
              <w:ind w:left="20"/>
              <w:spacing w:after="0"/>
              <w:rPr>
                <w:sz w:val="20"/>
                <w:szCs w:val="20"/>
                <w:color w:val="auto"/>
              </w:rPr>
            </w:pPr>
            <w:r>
              <w:rPr>
                <w:rFonts w:ascii="Arial" w:cs="Arial" w:eastAsia="Arial" w:hAnsi="Arial"/>
                <w:sz w:val="1"/>
                <w:szCs w:val="1"/>
                <w:color w:val="auto"/>
              </w:rPr>
              <w:t>​​ ​</w:t>
            </w:r>
          </w:p>
        </w:tc>
        <w:tc>
          <w:tcPr>
            <w:tcW w:w="340" w:type="dxa"/>
            <w:vAlign w:val="bottom"/>
            <w:shd w:val="clear" w:color="auto" w:fill="E7417A"/>
          </w:tcPr>
          <w:p>
            <w:pPr>
              <w:ind w:left="260"/>
              <w:spacing w:after="0"/>
              <w:rPr>
                <w:sz w:val="20"/>
                <w:szCs w:val="20"/>
                <w:color w:val="auto"/>
              </w:rPr>
            </w:pPr>
            <w:r>
              <w:rPr>
                <w:rFonts w:ascii="Arial" w:cs="Arial" w:eastAsia="Arial" w:hAnsi="Arial"/>
                <w:sz w:val="1"/>
                <w:szCs w:val="1"/>
                <w:b w:val="1"/>
                <w:bCs w:val="1"/>
                <w:color w:val="auto"/>
              </w:rPr>
              <w:t>​</w:t>
            </w:r>
          </w:p>
        </w:tc>
        <w:tc>
          <w:tcPr>
            <w:tcW w:w="720" w:type="dxa"/>
            <w:vAlign w:val="bottom"/>
            <w:shd w:val="clear" w:color="auto" w:fill="E7417A"/>
          </w:tcPr>
          <w:p>
            <w:pPr>
              <w:jc w:val="right"/>
              <w:ind w:right="194"/>
              <w:spacing w:after="0"/>
              <w:rPr>
                <w:sz w:val="20"/>
                <w:szCs w:val="20"/>
                <w:color w:val="auto"/>
              </w:rPr>
            </w:pPr>
            <w:r>
              <w:rPr>
                <w:rFonts w:ascii="Arial" w:cs="Arial" w:eastAsia="Arial" w:hAnsi="Arial"/>
                <w:sz w:val="1"/>
                <w:szCs w:val="1"/>
                <w:color w:val="auto"/>
              </w:rPr>
              <w:t>—</w:t>
            </w:r>
          </w:p>
        </w:tc>
        <w:tc>
          <w:tcPr>
            <w:tcW w:w="180" w:type="dxa"/>
            <w:vAlign w:val="bottom"/>
            <w:shd w:val="clear" w:color="auto" w:fill="E7417A"/>
          </w:tcPr>
          <w:p>
            <w:pPr>
              <w:spacing w:after="0"/>
              <w:rPr>
                <w:sz w:val="20"/>
                <w:szCs w:val="20"/>
                <w:color w:val="auto"/>
              </w:rPr>
            </w:pPr>
            <w:r>
              <w:rPr>
                <w:rFonts w:ascii="Arial" w:cs="Arial" w:eastAsia="Arial" w:hAnsi="Arial"/>
                <w:sz w:val="1"/>
                <w:szCs w:val="1"/>
                <w:color w:val="auto"/>
              </w:rPr>
              <w:t>​​ ​</w:t>
            </w:r>
          </w:p>
        </w:tc>
        <w:tc>
          <w:tcPr>
            <w:tcW w:w="1060" w:type="dxa"/>
            <w:vAlign w:val="bottom"/>
            <w:shd w:val="clear" w:color="auto" w:fill="E7417A"/>
          </w:tcPr>
          <w:p>
            <w:pPr>
              <w:jc w:val="center"/>
              <w:spacing w:after="0"/>
              <w:rPr>
                <w:sz w:val="20"/>
                <w:szCs w:val="20"/>
                <w:color w:val="auto"/>
              </w:rPr>
            </w:pPr>
            <w:r>
              <w:rPr>
                <w:rFonts w:ascii="Arial" w:cs="Arial" w:eastAsia="Arial" w:hAnsi="Arial"/>
                <w:sz w:val="1"/>
                <w:szCs w:val="1"/>
                <w:color w:val="auto"/>
                <w:vertAlign w:val="superscript"/>
              </w:rPr>
              <w:t>​</w:t>
            </w:r>
            <w:r>
              <w:rPr>
                <w:rFonts w:ascii="Arial" w:cs="Arial" w:eastAsia="Arial" w:hAnsi="Arial"/>
                <w:sz w:val="1"/>
                <w:szCs w:val="1"/>
                <w:color w:val="auto"/>
              </w:rPr>
              <w:t>​16,269</w:t>
            </w:r>
          </w:p>
        </w:tc>
        <w:tc>
          <w:tcPr>
            <w:tcW w:w="280" w:type="dxa"/>
            <w:vAlign w:val="bottom"/>
            <w:shd w:val="clear" w:color="auto" w:fill="E7417A"/>
          </w:tcPr>
          <w:p>
            <w:pPr>
              <w:jc w:val="center"/>
              <w:ind w:right="4"/>
              <w:spacing w:after="0"/>
              <w:rPr>
                <w:sz w:val="20"/>
                <w:szCs w:val="20"/>
                <w:color w:val="auto"/>
              </w:rPr>
            </w:pPr>
            <w:r>
              <w:rPr>
                <w:rFonts w:ascii="Arial" w:cs="Arial" w:eastAsia="Arial" w:hAnsi="Arial"/>
                <w:sz w:val="1"/>
                <w:szCs w:val="1"/>
                <w:color w:val="auto"/>
              </w:rPr>
              <w:t>​​ ​ ​</w:t>
            </w:r>
            <w:r>
              <w:rPr>
                <w:rFonts w:ascii="Arial" w:cs="Arial" w:eastAsia="Arial" w:hAnsi="Arial"/>
                <w:sz w:val="1"/>
                <w:szCs w:val="1"/>
                <w:color w:val="auto"/>
                <w:vertAlign w:val="subscript"/>
              </w:rPr>
              <w:t>​</w:t>
            </w:r>
          </w:p>
        </w:tc>
        <w:tc>
          <w:tcPr>
            <w:tcW w:w="640" w:type="dxa"/>
            <w:vAlign w:val="bottom"/>
            <w:shd w:val="clear" w:color="auto" w:fill="E7417A"/>
          </w:tcPr>
          <w:p>
            <w:pPr>
              <w:jc w:val="right"/>
              <w:spacing w:after="0"/>
              <w:rPr>
                <w:sz w:val="20"/>
                <w:szCs w:val="20"/>
                <w:color w:val="auto"/>
              </w:rPr>
            </w:pPr>
            <w:r>
              <w:rPr>
                <w:rFonts w:ascii="Arial" w:cs="Arial" w:eastAsia="Arial" w:hAnsi="Arial"/>
                <w:sz w:val="1"/>
                <w:szCs w:val="1"/>
                <w:color w:val="auto"/>
              </w:rPr>
              <w:t>553,529</w:t>
            </w:r>
            <w:r>
              <w:rPr>
                <w:rFonts w:ascii="Arial" w:cs="Arial" w:eastAsia="Arial" w:hAnsi="Arial"/>
                <w:sz w:val="1"/>
                <w:szCs w:val="1"/>
                <w:color w:val="auto"/>
                <w:vertAlign w:val="superscript"/>
              </w:rPr>
              <w:t>​</w:t>
            </w:r>
          </w:p>
        </w:tc>
        <w:tc>
          <w:tcPr>
            <w:tcW w:w="60" w:type="dxa"/>
            <w:vAlign w:val="bottom"/>
            <w:shd w:val="clear" w:color="auto" w:fill="E7417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320" w:type="dxa"/>
            <w:vAlign w:val="bottom"/>
            <w:gridSpan w:val="3"/>
          </w:tcPr>
          <w:p>
            <w:pPr>
              <w:jc w:val="right"/>
              <w:spacing w:after="0"/>
              <w:rPr>
                <w:sz w:val="20"/>
                <w:szCs w:val="20"/>
                <w:color w:val="auto"/>
              </w:rPr>
            </w:pPr>
            <w:r>
              <w:rPr>
                <w:rFonts w:ascii="Arial" w:cs="Arial" w:eastAsia="Arial" w:hAnsi="Arial"/>
                <w:sz w:val="9"/>
                <w:szCs w:val="9"/>
                <w:color w:val="auto"/>
              </w:rPr>
              <w:t>(4)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840" w:type="dxa"/>
            <w:vAlign w:val="bottom"/>
            <w:vMerge w:val="restart"/>
          </w:tcPr>
          <w:p>
            <w:pPr>
              <w:ind w:left="60"/>
              <w:spacing w:after="0"/>
              <w:rPr>
                <w:sz w:val="20"/>
                <w:szCs w:val="20"/>
                <w:color w:val="auto"/>
              </w:rPr>
            </w:pPr>
            <w:r>
              <w:rPr>
                <w:rFonts w:ascii="Arial" w:cs="Arial" w:eastAsia="Arial" w:hAnsi="Arial"/>
                <w:sz w:val="14"/>
                <w:szCs w:val="14"/>
                <w:color w:val="auto"/>
              </w:rPr>
              <w:t>Former Executive Vice</w:t>
            </w:r>
          </w:p>
        </w:tc>
        <w:tc>
          <w:tcPr>
            <w:tcW w:w="120" w:type="dxa"/>
            <w:vAlign w:val="bottom"/>
          </w:tcPr>
          <w:p>
            <w:pPr>
              <w:spacing w:after="0"/>
              <w:rPr>
                <w:sz w:val="6"/>
                <w:szCs w:val="6"/>
                <w:color w:val="auto"/>
              </w:rPr>
            </w:pPr>
          </w:p>
        </w:tc>
        <w:tc>
          <w:tcPr>
            <w:tcW w:w="1140" w:type="dxa"/>
            <w:vAlign w:val="bottom"/>
            <w:tcBorders>
              <w:bottom w:val="single" w:sz="8" w:color="4C4C4C"/>
            </w:tcBorders>
          </w:tcPr>
          <w:p>
            <w:pPr>
              <w:spacing w:after="0"/>
              <w:rPr>
                <w:sz w:val="6"/>
                <w:szCs w:val="6"/>
                <w:color w:val="auto"/>
              </w:rPr>
            </w:pPr>
          </w:p>
        </w:tc>
        <w:tc>
          <w:tcPr>
            <w:tcW w:w="60" w:type="dxa"/>
            <w:vAlign w:val="bottom"/>
            <w:tcBorders>
              <w:bottom w:val="single" w:sz="8" w:color="4C4C4C"/>
            </w:tcBorders>
          </w:tcPr>
          <w:p>
            <w:pPr>
              <w:spacing w:after="0"/>
              <w:rPr>
                <w:sz w:val="6"/>
                <w:szCs w:val="6"/>
                <w:color w:val="auto"/>
              </w:rPr>
            </w:pPr>
          </w:p>
        </w:tc>
        <w:tc>
          <w:tcPr>
            <w:tcW w:w="120" w:type="dxa"/>
            <w:vAlign w:val="bottom"/>
            <w:tcBorders>
              <w:bottom w:val="single" w:sz="8" w:color="4C4C4C"/>
            </w:tcBorders>
          </w:tcPr>
          <w:p>
            <w:pPr>
              <w:spacing w:after="0"/>
              <w:rPr>
                <w:sz w:val="6"/>
                <w:szCs w:val="6"/>
                <w:color w:val="auto"/>
              </w:rPr>
            </w:pPr>
          </w:p>
        </w:tc>
        <w:tc>
          <w:tcPr>
            <w:tcW w:w="140" w:type="dxa"/>
            <w:vAlign w:val="bottom"/>
            <w:tcBorders>
              <w:bottom w:val="single" w:sz="8" w:color="4C4C4C"/>
            </w:tcBorders>
          </w:tcPr>
          <w:p>
            <w:pPr>
              <w:spacing w:after="0"/>
              <w:rPr>
                <w:sz w:val="6"/>
                <w:szCs w:val="6"/>
                <w:color w:val="auto"/>
              </w:rPr>
            </w:pPr>
          </w:p>
        </w:tc>
        <w:tc>
          <w:tcPr>
            <w:tcW w:w="460" w:type="dxa"/>
            <w:vAlign w:val="bottom"/>
            <w:tcBorders>
              <w:bottom w:val="single" w:sz="8" w:color="4C4C4C"/>
            </w:tcBorders>
          </w:tcPr>
          <w:p>
            <w:pPr>
              <w:spacing w:after="0"/>
              <w:rPr>
                <w:sz w:val="6"/>
                <w:szCs w:val="6"/>
                <w:color w:val="auto"/>
              </w:rPr>
            </w:pPr>
          </w:p>
        </w:tc>
        <w:tc>
          <w:tcPr>
            <w:tcW w:w="160" w:type="dxa"/>
            <w:vAlign w:val="bottom"/>
            <w:tcBorders>
              <w:bottom w:val="single" w:sz="8" w:color="4C4C4C"/>
            </w:tcBorders>
          </w:tcPr>
          <w:p>
            <w:pPr>
              <w:spacing w:after="0"/>
              <w:rPr>
                <w:sz w:val="6"/>
                <w:szCs w:val="6"/>
                <w:color w:val="auto"/>
              </w:rPr>
            </w:pPr>
          </w:p>
        </w:tc>
        <w:tc>
          <w:tcPr>
            <w:tcW w:w="800" w:type="dxa"/>
            <w:vAlign w:val="bottom"/>
            <w:tcBorders>
              <w:bottom w:val="single" w:sz="8" w:color="4C4C4C"/>
            </w:tcBorders>
            <w:gridSpan w:val="3"/>
          </w:tcPr>
          <w:p>
            <w:pPr>
              <w:spacing w:after="0"/>
              <w:rPr>
                <w:sz w:val="6"/>
                <w:szCs w:val="6"/>
                <w:color w:val="auto"/>
              </w:rPr>
            </w:pPr>
          </w:p>
        </w:tc>
        <w:tc>
          <w:tcPr>
            <w:tcW w:w="340" w:type="dxa"/>
            <w:vAlign w:val="bottom"/>
            <w:tcBorders>
              <w:bottom w:val="single" w:sz="8" w:color="4C4C4C"/>
            </w:tcBorders>
          </w:tcPr>
          <w:p>
            <w:pPr>
              <w:spacing w:after="0"/>
              <w:rPr>
                <w:sz w:val="6"/>
                <w:szCs w:val="6"/>
                <w:color w:val="auto"/>
              </w:rPr>
            </w:pPr>
          </w:p>
        </w:tc>
        <w:tc>
          <w:tcPr>
            <w:tcW w:w="160" w:type="dxa"/>
            <w:vAlign w:val="bottom"/>
            <w:tcBorders>
              <w:bottom w:val="single" w:sz="8" w:color="4C4C4C"/>
            </w:tcBorders>
          </w:tcPr>
          <w:p>
            <w:pPr>
              <w:spacing w:after="0"/>
              <w:rPr>
                <w:sz w:val="6"/>
                <w:szCs w:val="6"/>
                <w:color w:val="auto"/>
              </w:rPr>
            </w:pPr>
          </w:p>
        </w:tc>
        <w:tc>
          <w:tcPr>
            <w:tcW w:w="180" w:type="dxa"/>
            <w:vAlign w:val="bottom"/>
            <w:tcBorders>
              <w:bottom w:val="single" w:sz="8" w:color="4C4C4C"/>
            </w:tcBorders>
          </w:tcPr>
          <w:p>
            <w:pPr>
              <w:spacing w:after="0"/>
              <w:rPr>
                <w:sz w:val="6"/>
                <w:szCs w:val="6"/>
                <w:color w:val="auto"/>
              </w:rPr>
            </w:pPr>
          </w:p>
        </w:tc>
        <w:tc>
          <w:tcPr>
            <w:tcW w:w="340" w:type="dxa"/>
            <w:vAlign w:val="bottom"/>
            <w:tcBorders>
              <w:bottom w:val="single" w:sz="8" w:color="4C4C4C"/>
            </w:tcBorders>
          </w:tcPr>
          <w:p>
            <w:pPr>
              <w:spacing w:after="0"/>
              <w:rPr>
                <w:sz w:val="6"/>
                <w:szCs w:val="6"/>
                <w:color w:val="auto"/>
              </w:rPr>
            </w:pPr>
          </w:p>
        </w:tc>
        <w:tc>
          <w:tcPr>
            <w:tcW w:w="720" w:type="dxa"/>
            <w:vAlign w:val="bottom"/>
            <w:tcBorders>
              <w:bottom w:val="single" w:sz="8" w:color="4C4C4C"/>
            </w:tcBorders>
          </w:tcPr>
          <w:p>
            <w:pPr>
              <w:spacing w:after="0"/>
              <w:rPr>
                <w:sz w:val="6"/>
                <w:szCs w:val="6"/>
                <w:color w:val="auto"/>
              </w:rPr>
            </w:pPr>
          </w:p>
        </w:tc>
        <w:tc>
          <w:tcPr>
            <w:tcW w:w="180" w:type="dxa"/>
            <w:vAlign w:val="bottom"/>
            <w:tcBorders>
              <w:bottom w:val="single" w:sz="8" w:color="4C4C4C"/>
            </w:tcBorders>
          </w:tcPr>
          <w:p>
            <w:pPr>
              <w:spacing w:after="0"/>
              <w:rPr>
                <w:sz w:val="6"/>
                <w:szCs w:val="6"/>
                <w:color w:val="auto"/>
              </w:rPr>
            </w:pPr>
          </w:p>
        </w:tc>
        <w:tc>
          <w:tcPr>
            <w:tcW w:w="1060" w:type="dxa"/>
            <w:vAlign w:val="bottom"/>
            <w:tcBorders>
              <w:bottom w:val="single" w:sz="8" w:color="4C4C4C"/>
            </w:tcBorders>
          </w:tcPr>
          <w:p>
            <w:pPr>
              <w:spacing w:after="0"/>
              <w:rPr>
                <w:sz w:val="6"/>
                <w:szCs w:val="6"/>
                <w:color w:val="auto"/>
              </w:rPr>
            </w:pPr>
          </w:p>
        </w:tc>
        <w:tc>
          <w:tcPr>
            <w:tcW w:w="920" w:type="dxa"/>
            <w:vAlign w:val="bottom"/>
            <w:tcBorders>
              <w:bottom w:val="single" w:sz="8" w:color="4C4C4C"/>
            </w:tcBorders>
            <w:gridSpan w:val="2"/>
          </w:tcPr>
          <w:p>
            <w:pPr>
              <w:spacing w:after="0"/>
              <w:rPr>
                <w:sz w:val="6"/>
                <w:szCs w:val="6"/>
                <w:color w:val="auto"/>
              </w:rPr>
            </w:pPr>
          </w:p>
        </w:tc>
        <w:tc>
          <w:tcPr>
            <w:tcW w:w="60" w:type="dxa"/>
            <w:vAlign w:val="bottom"/>
            <w:tcBorders>
              <w:bottom w:val="single" w:sz="8" w:color="4C4C4C"/>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6"/>
                <w:szCs w:val="16"/>
                <w:color w:val="auto"/>
                <w:vertAlign w:val="superscript"/>
              </w:rPr>
              <w:t>​ ​</w:t>
            </w:r>
            <w:r>
              <w:rPr>
                <w:rFonts w:ascii="Arial" w:cs="Arial" w:eastAsia="Arial" w:hAnsi="Arial"/>
                <w:sz w:val="10"/>
                <w:szCs w:val="10"/>
                <w:color w:val="auto"/>
              </w:rPr>
              <w:t>​2023</w:t>
            </w:r>
            <w:r>
              <w:rPr>
                <w:rFonts w:ascii="Arial" w:cs="Arial" w:eastAsia="Arial" w:hAnsi="Arial"/>
                <w:sz w:val="16"/>
                <w:szCs w:val="16"/>
                <w:color w:val="auto"/>
                <w:vertAlign w:val="superscript"/>
              </w:rPr>
              <w:t>​ ​ ​</w:t>
            </w:r>
            <w:r>
              <w:rPr>
                <w:rFonts w:ascii="Arial" w:cs="Arial" w:eastAsia="Arial" w:hAnsi="Arial"/>
                <w:sz w:val="10"/>
                <w:szCs w:val="10"/>
                <w:color w:val="auto"/>
              </w:rPr>
              <w:t>​525,000</w:t>
            </w:r>
            <w:r>
              <w:rPr>
                <w:rFonts w:ascii="Arial" w:cs="Arial" w:eastAsia="Arial" w:hAnsi="Arial"/>
                <w:sz w:val="16"/>
                <w:szCs w:val="16"/>
                <w:color w:val="auto"/>
                <w:vertAlign w:val="superscript"/>
              </w:rPr>
              <w:t>​</w:t>
            </w:r>
          </w:p>
        </w:tc>
        <w:tc>
          <w:tcPr>
            <w:tcW w:w="60" w:type="dxa"/>
            <w:vAlign w:val="bottom"/>
          </w:tcPr>
          <w:p>
            <w:pPr>
              <w:spacing w:after="0"/>
              <w:rPr>
                <w:sz w:val="12"/>
                <w:szCs w:val="12"/>
                <w:color w:val="auto"/>
              </w:rPr>
            </w:pPr>
          </w:p>
        </w:tc>
        <w:tc>
          <w:tcPr>
            <w:tcW w:w="12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20"/>
              <w:spacing w:after="0" w:line="142" w:lineRule="exact"/>
              <w:rPr>
                <w:sz w:val="20"/>
                <w:szCs w:val="20"/>
                <w:color w:val="auto"/>
              </w:rPr>
            </w:pPr>
            <w:r>
              <w:rPr>
                <w:rFonts w:ascii="Arial" w:cs="Arial" w:eastAsia="Arial" w:hAnsi="Arial"/>
                <w:sz w:val="10"/>
                <w:szCs w:val="10"/>
                <w:color w:val="auto"/>
              </w:rPr>
              <w:t>​</w:t>
            </w:r>
            <w:r>
              <w:rPr>
                <w:rFonts w:ascii="Arial" w:cs="Arial" w:eastAsia="Arial" w:hAnsi="Arial"/>
                <w:sz w:val="16"/>
                <w:szCs w:val="16"/>
                <w:color w:val="auto"/>
                <w:vertAlign w:val="subscript"/>
              </w:rPr>
              <w:t>​</w:t>
            </w:r>
          </w:p>
        </w:tc>
        <w:tc>
          <w:tcPr>
            <w:tcW w:w="460" w:type="dxa"/>
            <w:vAlign w:val="bottom"/>
          </w:tcPr>
          <w:p>
            <w:pPr>
              <w:jc w:val="right"/>
              <w:spacing w:after="0" w:line="142"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10"/>
                <w:szCs w:val="10"/>
                <w:color w:val="auto"/>
              </w:rPr>
              <w:t>​</w:t>
            </w:r>
          </w:p>
        </w:tc>
        <w:tc>
          <w:tcPr>
            <w:tcW w:w="16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line="142"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10"/>
                <w:szCs w:val="10"/>
                <w:color w:val="auto"/>
              </w:rPr>
              <w:t>​1,443,344</w:t>
            </w:r>
            <w:r>
              <w:rPr>
                <w:rFonts w:ascii="Arial" w:cs="Arial" w:eastAsia="Arial" w:hAnsi="Arial"/>
                <w:sz w:val="16"/>
                <w:szCs w:val="16"/>
                <w:color w:val="auto"/>
                <w:vertAlign w:val="superscript"/>
              </w:rPr>
              <w:t>​ ​</w:t>
            </w:r>
          </w:p>
        </w:tc>
        <w:tc>
          <w:tcPr>
            <w:tcW w:w="340" w:type="dxa"/>
            <w:vAlign w:val="bottom"/>
          </w:tcPr>
          <w:p>
            <w:pPr>
              <w:ind w:left="180"/>
              <w:spacing w:after="0" w:line="142"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180" w:type="dxa"/>
            <w:vAlign w:val="bottom"/>
          </w:tcPr>
          <w:p>
            <w:pPr>
              <w:ind w:left="20"/>
              <w:spacing w:after="0" w:line="142" w:lineRule="exact"/>
              <w:rPr>
                <w:sz w:val="20"/>
                <w:szCs w:val="20"/>
                <w:color w:val="auto"/>
              </w:rPr>
            </w:pPr>
            <w:r>
              <w:rPr>
                <w:rFonts w:ascii="Arial" w:cs="Arial" w:eastAsia="Arial" w:hAnsi="Arial"/>
                <w:sz w:val="14"/>
                <w:szCs w:val="14"/>
                <w:color w:val="auto"/>
              </w:rPr>
              <w:t>​​ ​</w:t>
            </w:r>
          </w:p>
        </w:tc>
        <w:tc>
          <w:tcPr>
            <w:tcW w:w="34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94"/>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line="142" w:lineRule="exact"/>
              <w:rPr>
                <w:sz w:val="20"/>
                <w:szCs w:val="20"/>
                <w:color w:val="auto"/>
              </w:rPr>
            </w:pPr>
            <w:r>
              <w:rPr>
                <w:rFonts w:ascii="Arial" w:cs="Arial" w:eastAsia="Arial" w:hAnsi="Arial"/>
                <w:sz w:val="14"/>
                <w:szCs w:val="14"/>
                <w:color w:val="auto"/>
              </w:rPr>
              <w:t>​​ ​</w:t>
            </w:r>
          </w:p>
        </w:tc>
        <w:tc>
          <w:tcPr>
            <w:tcW w:w="1060" w:type="dxa"/>
            <w:vAlign w:val="bottom"/>
          </w:tcPr>
          <w:p>
            <w:pPr>
              <w:jc w:val="center"/>
              <w:spacing w:after="0" w:line="142"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10"/>
                <w:szCs w:val="10"/>
                <w:color w:val="auto"/>
              </w:rPr>
              <w:t>​17,191</w:t>
            </w:r>
          </w:p>
        </w:tc>
        <w:tc>
          <w:tcPr>
            <w:tcW w:w="920" w:type="dxa"/>
            <w:vAlign w:val="bottom"/>
            <w:gridSpan w:val="2"/>
          </w:tcPr>
          <w:p>
            <w:pPr>
              <w:jc w:val="right"/>
              <w:spacing w:after="0" w:line="142" w:lineRule="exact"/>
              <w:rPr>
                <w:sz w:val="20"/>
                <w:szCs w:val="20"/>
                <w:color w:val="auto"/>
              </w:rPr>
            </w:pPr>
            <w:r>
              <w:rPr>
                <w:rFonts w:ascii="Arial" w:cs="Arial" w:eastAsia="Arial" w:hAnsi="Arial"/>
                <w:sz w:val="16"/>
                <w:szCs w:val="16"/>
                <w:color w:val="auto"/>
                <w:vertAlign w:val="superscript"/>
              </w:rPr>
              <w:t>​​ ​ ​</w:t>
            </w:r>
            <w:r>
              <w:rPr>
                <w:rFonts w:ascii="Arial" w:cs="Arial" w:eastAsia="Arial" w:hAnsi="Arial"/>
                <w:sz w:val="10"/>
                <w:szCs w:val="10"/>
                <w:color w:val="auto"/>
              </w:rPr>
              <w:t>​1,985,535</w:t>
            </w:r>
            <w:r>
              <w:rPr>
                <w:rFonts w:ascii="Arial" w:cs="Arial" w:eastAsia="Arial" w:hAnsi="Arial"/>
                <w:sz w:val="16"/>
                <w:szCs w:val="16"/>
                <w:color w:val="auto"/>
                <w:vertAlign w:val="superscript"/>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840" w:type="dxa"/>
            <w:vAlign w:val="bottom"/>
            <w:vMerge w:val="restart"/>
          </w:tcPr>
          <w:p>
            <w:pPr>
              <w:ind w:left="60"/>
              <w:spacing w:after="0" w:line="153" w:lineRule="exact"/>
              <w:rPr>
                <w:sz w:val="20"/>
                <w:szCs w:val="20"/>
                <w:color w:val="auto"/>
              </w:rPr>
            </w:pPr>
            <w:r>
              <w:rPr>
                <w:rFonts w:ascii="Arial" w:cs="Arial" w:eastAsia="Arial" w:hAnsi="Arial"/>
                <w:sz w:val="14"/>
                <w:szCs w:val="14"/>
                <w:color w:val="auto"/>
              </w:rPr>
              <w:t>President, Chief Legal</w:t>
            </w:r>
          </w:p>
        </w:tc>
        <w:tc>
          <w:tcPr>
            <w:tcW w:w="120" w:type="dxa"/>
            <w:vAlign w:val="bottom"/>
          </w:tcPr>
          <w:p>
            <w:pPr>
              <w:spacing w:after="0"/>
              <w:rPr>
                <w:sz w:val="3"/>
                <w:szCs w:val="3"/>
                <w:color w:val="auto"/>
              </w:rPr>
            </w:pPr>
          </w:p>
        </w:tc>
        <w:tc>
          <w:tcPr>
            <w:tcW w:w="1140" w:type="dxa"/>
            <w:vAlign w:val="bottom"/>
            <w:tcBorders>
              <w:bottom w:val="single" w:sz="8" w:color="4C4C4C"/>
            </w:tcBorders>
          </w:tcPr>
          <w:p>
            <w:pPr>
              <w:spacing w:after="0"/>
              <w:rPr>
                <w:sz w:val="3"/>
                <w:szCs w:val="3"/>
                <w:color w:val="auto"/>
              </w:rPr>
            </w:pPr>
          </w:p>
        </w:tc>
        <w:tc>
          <w:tcPr>
            <w:tcW w:w="60" w:type="dxa"/>
            <w:vAlign w:val="bottom"/>
            <w:tcBorders>
              <w:bottom w:val="single" w:sz="8" w:color="4C4C4C"/>
            </w:tcBorders>
          </w:tcPr>
          <w:p>
            <w:pPr>
              <w:spacing w:after="0"/>
              <w:rPr>
                <w:sz w:val="3"/>
                <w:szCs w:val="3"/>
                <w:color w:val="auto"/>
              </w:rPr>
            </w:pPr>
          </w:p>
        </w:tc>
        <w:tc>
          <w:tcPr>
            <w:tcW w:w="120" w:type="dxa"/>
            <w:vAlign w:val="bottom"/>
            <w:tcBorders>
              <w:bottom w:val="single" w:sz="8" w:color="4C4C4C"/>
            </w:tcBorders>
          </w:tcPr>
          <w:p>
            <w:pPr>
              <w:spacing w:after="0"/>
              <w:rPr>
                <w:sz w:val="3"/>
                <w:szCs w:val="3"/>
                <w:color w:val="auto"/>
              </w:rPr>
            </w:pPr>
          </w:p>
        </w:tc>
        <w:tc>
          <w:tcPr>
            <w:tcW w:w="140" w:type="dxa"/>
            <w:vAlign w:val="bottom"/>
            <w:tcBorders>
              <w:bottom w:val="single" w:sz="8" w:color="4C4C4C"/>
            </w:tcBorders>
          </w:tcPr>
          <w:p>
            <w:pPr>
              <w:spacing w:after="0"/>
              <w:rPr>
                <w:sz w:val="3"/>
                <w:szCs w:val="3"/>
                <w:color w:val="auto"/>
              </w:rPr>
            </w:pPr>
          </w:p>
        </w:tc>
        <w:tc>
          <w:tcPr>
            <w:tcW w:w="460" w:type="dxa"/>
            <w:vAlign w:val="bottom"/>
            <w:tcBorders>
              <w:bottom w:val="single" w:sz="8" w:color="4C4C4C"/>
            </w:tcBorders>
          </w:tcPr>
          <w:p>
            <w:pPr>
              <w:spacing w:after="0"/>
              <w:rPr>
                <w:sz w:val="3"/>
                <w:szCs w:val="3"/>
                <w:color w:val="auto"/>
              </w:rPr>
            </w:pPr>
          </w:p>
        </w:tc>
        <w:tc>
          <w:tcPr>
            <w:tcW w:w="160" w:type="dxa"/>
            <w:vAlign w:val="bottom"/>
            <w:tcBorders>
              <w:bottom w:val="single" w:sz="8" w:color="4C4C4C"/>
            </w:tcBorders>
          </w:tcPr>
          <w:p>
            <w:pPr>
              <w:spacing w:after="0"/>
              <w:rPr>
                <w:sz w:val="3"/>
                <w:szCs w:val="3"/>
                <w:color w:val="auto"/>
              </w:rPr>
            </w:pPr>
          </w:p>
        </w:tc>
        <w:tc>
          <w:tcPr>
            <w:tcW w:w="100" w:type="dxa"/>
            <w:vAlign w:val="bottom"/>
            <w:tcBorders>
              <w:bottom w:val="single" w:sz="8" w:color="4C4C4C"/>
            </w:tcBorders>
          </w:tcPr>
          <w:p>
            <w:pPr>
              <w:spacing w:after="0"/>
              <w:rPr>
                <w:sz w:val="3"/>
                <w:szCs w:val="3"/>
                <w:color w:val="auto"/>
              </w:rPr>
            </w:pPr>
          </w:p>
        </w:tc>
        <w:tc>
          <w:tcPr>
            <w:tcW w:w="420" w:type="dxa"/>
            <w:vAlign w:val="bottom"/>
            <w:tcBorders>
              <w:bottom w:val="single" w:sz="8" w:color="4C4C4C"/>
            </w:tcBorders>
          </w:tcPr>
          <w:p>
            <w:pPr>
              <w:spacing w:after="0"/>
              <w:rPr>
                <w:sz w:val="3"/>
                <w:szCs w:val="3"/>
                <w:color w:val="auto"/>
              </w:rPr>
            </w:pPr>
          </w:p>
        </w:tc>
        <w:tc>
          <w:tcPr>
            <w:tcW w:w="280" w:type="dxa"/>
            <w:vAlign w:val="bottom"/>
            <w:tcBorders>
              <w:bottom w:val="single" w:sz="8" w:color="4C4C4C"/>
            </w:tcBorders>
          </w:tcPr>
          <w:p>
            <w:pPr>
              <w:spacing w:after="0"/>
              <w:rPr>
                <w:sz w:val="3"/>
                <w:szCs w:val="3"/>
                <w:color w:val="auto"/>
              </w:rPr>
            </w:pPr>
          </w:p>
        </w:tc>
        <w:tc>
          <w:tcPr>
            <w:tcW w:w="340" w:type="dxa"/>
            <w:vAlign w:val="bottom"/>
            <w:tcBorders>
              <w:bottom w:val="single" w:sz="8" w:color="4C4C4C"/>
            </w:tcBorders>
          </w:tcPr>
          <w:p>
            <w:pPr>
              <w:spacing w:after="0"/>
              <w:rPr>
                <w:sz w:val="3"/>
                <w:szCs w:val="3"/>
                <w:color w:val="auto"/>
              </w:rPr>
            </w:pPr>
          </w:p>
        </w:tc>
        <w:tc>
          <w:tcPr>
            <w:tcW w:w="160" w:type="dxa"/>
            <w:vAlign w:val="bottom"/>
            <w:tcBorders>
              <w:bottom w:val="single" w:sz="8" w:color="4C4C4C"/>
            </w:tcBorders>
          </w:tcPr>
          <w:p>
            <w:pPr>
              <w:spacing w:after="0"/>
              <w:rPr>
                <w:sz w:val="3"/>
                <w:szCs w:val="3"/>
                <w:color w:val="auto"/>
              </w:rPr>
            </w:pPr>
          </w:p>
        </w:tc>
        <w:tc>
          <w:tcPr>
            <w:tcW w:w="180" w:type="dxa"/>
            <w:vAlign w:val="bottom"/>
            <w:tcBorders>
              <w:bottom w:val="single" w:sz="8" w:color="4C4C4C"/>
            </w:tcBorders>
          </w:tcPr>
          <w:p>
            <w:pPr>
              <w:spacing w:after="0"/>
              <w:rPr>
                <w:sz w:val="3"/>
                <w:szCs w:val="3"/>
                <w:color w:val="auto"/>
              </w:rPr>
            </w:pPr>
          </w:p>
        </w:tc>
        <w:tc>
          <w:tcPr>
            <w:tcW w:w="340" w:type="dxa"/>
            <w:vAlign w:val="bottom"/>
            <w:tcBorders>
              <w:bottom w:val="single" w:sz="8" w:color="4C4C4C"/>
            </w:tcBorders>
          </w:tcPr>
          <w:p>
            <w:pPr>
              <w:spacing w:after="0"/>
              <w:rPr>
                <w:sz w:val="3"/>
                <w:szCs w:val="3"/>
                <w:color w:val="auto"/>
              </w:rPr>
            </w:pPr>
          </w:p>
        </w:tc>
        <w:tc>
          <w:tcPr>
            <w:tcW w:w="720" w:type="dxa"/>
            <w:vAlign w:val="bottom"/>
            <w:tcBorders>
              <w:bottom w:val="single" w:sz="8" w:color="4C4C4C"/>
            </w:tcBorders>
          </w:tcPr>
          <w:p>
            <w:pPr>
              <w:spacing w:after="0"/>
              <w:rPr>
                <w:sz w:val="3"/>
                <w:szCs w:val="3"/>
                <w:color w:val="auto"/>
              </w:rPr>
            </w:pPr>
          </w:p>
        </w:tc>
        <w:tc>
          <w:tcPr>
            <w:tcW w:w="180" w:type="dxa"/>
            <w:vAlign w:val="bottom"/>
            <w:tcBorders>
              <w:bottom w:val="single" w:sz="8" w:color="4C4C4C"/>
            </w:tcBorders>
          </w:tcPr>
          <w:p>
            <w:pPr>
              <w:spacing w:after="0"/>
              <w:rPr>
                <w:sz w:val="3"/>
                <w:szCs w:val="3"/>
                <w:color w:val="auto"/>
              </w:rPr>
            </w:pPr>
          </w:p>
        </w:tc>
        <w:tc>
          <w:tcPr>
            <w:tcW w:w="1060" w:type="dxa"/>
            <w:vAlign w:val="bottom"/>
            <w:tcBorders>
              <w:bottom w:val="single" w:sz="8" w:color="4C4C4C"/>
            </w:tcBorders>
          </w:tcPr>
          <w:p>
            <w:pPr>
              <w:spacing w:after="0"/>
              <w:rPr>
                <w:sz w:val="3"/>
                <w:szCs w:val="3"/>
                <w:color w:val="auto"/>
              </w:rPr>
            </w:pPr>
          </w:p>
        </w:tc>
        <w:tc>
          <w:tcPr>
            <w:tcW w:w="280" w:type="dxa"/>
            <w:vAlign w:val="bottom"/>
            <w:tcBorders>
              <w:bottom w:val="single" w:sz="8" w:color="4C4C4C"/>
            </w:tcBorders>
          </w:tcPr>
          <w:p>
            <w:pPr>
              <w:spacing w:after="0"/>
              <w:rPr>
                <w:sz w:val="3"/>
                <w:szCs w:val="3"/>
                <w:color w:val="auto"/>
              </w:rPr>
            </w:pPr>
          </w:p>
        </w:tc>
        <w:tc>
          <w:tcPr>
            <w:tcW w:w="640" w:type="dxa"/>
            <w:vAlign w:val="bottom"/>
            <w:tcBorders>
              <w:bottom w:val="single" w:sz="8" w:color="4C4C4C"/>
            </w:tcBorders>
          </w:tcPr>
          <w:p>
            <w:pPr>
              <w:spacing w:after="0"/>
              <w:rPr>
                <w:sz w:val="3"/>
                <w:szCs w:val="3"/>
                <w:color w:val="auto"/>
              </w:rPr>
            </w:pPr>
          </w:p>
        </w:tc>
        <w:tc>
          <w:tcPr>
            <w:tcW w:w="60" w:type="dxa"/>
            <w:vAlign w:val="bottom"/>
            <w:tcBorders>
              <w:bottom w:val="single" w:sz="8" w:color="4C4C4C"/>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6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 ​​2022​ ​ ​​525,000​</w:t>
            </w:r>
          </w:p>
        </w:tc>
        <w:tc>
          <w:tcPr>
            <w:tcW w:w="60" w:type="dxa"/>
            <w:vAlign w:val="bottom"/>
          </w:tcPr>
          <w:p>
            <w:pPr>
              <w:spacing w:after="0"/>
              <w:rPr>
                <w:sz w:val="8"/>
                <w:szCs w:val="8"/>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800" w:type="dxa"/>
            <w:vAlign w:val="bottom"/>
            <w:gridSpan w:val="3"/>
            <w:vMerge w:val="restart"/>
          </w:tcPr>
          <w:p>
            <w:pPr>
              <w:jc w:val="right"/>
              <w:spacing w:after="0"/>
              <w:rPr>
                <w:sz w:val="20"/>
                <w:szCs w:val="20"/>
                <w:color w:val="auto"/>
              </w:rPr>
            </w:pPr>
            <w:r>
              <w:rPr>
                <w:rFonts w:ascii="Arial" w:cs="Arial" w:eastAsia="Arial" w:hAnsi="Arial"/>
                <w:sz w:val="14"/>
                <w:szCs w:val="14"/>
                <w:color w:val="auto"/>
              </w:rPr>
              <w:t>​​1,439,403​ ​</w:t>
            </w:r>
          </w:p>
        </w:tc>
        <w:tc>
          <w:tcPr>
            <w:tcW w:w="340" w:type="dxa"/>
            <w:vAlign w:val="bottom"/>
            <w:vMerge w:val="restart"/>
          </w:tcPr>
          <w:p>
            <w:pPr>
              <w:ind w:left="18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8"/>
                <w:szCs w:val="8"/>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ind w:right="194"/>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rPr>
                <w:sz w:val="20"/>
                <w:szCs w:val="20"/>
                <w:color w:val="auto"/>
              </w:rPr>
            </w:pPr>
            <w:r>
              <w:rPr>
                <w:rFonts w:ascii="Arial" w:cs="Arial" w:eastAsia="Arial" w:hAnsi="Arial"/>
                <w:sz w:val="14"/>
                <w:szCs w:val="14"/>
                <w:color w:val="auto"/>
              </w:rPr>
              <w:t>​​ ​</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​​24,521</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 ​ ​​1,998,924​</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60" w:type="dxa"/>
            <w:vAlign w:val="bottom"/>
          </w:tcPr>
          <w:p>
            <w:pPr>
              <w:spacing w:after="0"/>
              <w:rPr>
                <w:sz w:val="8"/>
                <w:szCs w:val="8"/>
                <w:color w:val="auto"/>
              </w:rPr>
            </w:pPr>
          </w:p>
        </w:tc>
        <w:tc>
          <w:tcPr>
            <w:tcW w:w="1840" w:type="dxa"/>
            <w:vAlign w:val="bottom"/>
            <w:vMerge w:val="restart"/>
          </w:tcPr>
          <w:p>
            <w:pPr>
              <w:ind w:left="60"/>
              <w:spacing w:after="0"/>
              <w:rPr>
                <w:sz w:val="20"/>
                <w:szCs w:val="20"/>
                <w:color w:val="auto"/>
              </w:rPr>
            </w:pPr>
            <w:r>
              <w:rPr>
                <w:rFonts w:ascii="Arial" w:cs="Arial" w:eastAsia="Arial" w:hAnsi="Arial"/>
                <w:sz w:val="14"/>
                <w:szCs w:val="14"/>
                <w:color w:val="auto"/>
              </w:rPr>
              <w:t>Officer and Corporate</w:t>
            </w:r>
          </w:p>
        </w:tc>
        <w:tc>
          <w:tcPr>
            <w:tcW w:w="1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1040"/>
        <w:spacing w:after="0"/>
        <w:rPr>
          <w:sz w:val="20"/>
          <w:szCs w:val="20"/>
          <w:color w:val="auto"/>
        </w:rPr>
      </w:pPr>
      <w:r>
        <w:rPr>
          <w:rFonts w:ascii="Arial" w:cs="Arial" w:eastAsia="Arial" w:hAnsi="Arial"/>
          <w:sz w:val="14"/>
          <w:szCs w:val="14"/>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23495</wp:posOffset>
            </wp:positionV>
            <wp:extent cx="562356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224" w:lineRule="exact"/>
        <w:rPr>
          <w:sz w:val="20"/>
          <w:szCs w:val="20"/>
          <w:color w:val="auto"/>
        </w:rPr>
      </w:pPr>
    </w:p>
    <w:p>
      <w:pPr>
        <w:ind w:left="1400" w:right="139" w:hanging="368"/>
        <w:spacing w:after="0" w:line="259" w:lineRule="auto"/>
        <w:tabs>
          <w:tab w:leader="none" w:pos="14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amounts shown in this column do not reflect compensation actually received by the NEO. Instead, the amounts primarily reflect the grant date fair value of each stock award granted to each NEO. The grant date fair values of stock awards were calculated in accordance with ASC 718. The methodology for calculating the grant date fair value of stock awards is discussed in Note 20 to our Audited Financial Statements for the year ended December 31, 2024. The grant date fair value of restricted stock units is equal to the closing price of our common stock on the date of grant. In 2024, 2023 and 2022, we granted PSUs with both performance and service conditions to all of the NEOs. PSUs that include a market condition require the use of a Monte Carlo simulation approach to model future stock price movements based upon the risk-free rate of return, the volatility of each entity and, where applicable, the pair-wise covariance between each entity. These results are then used to calculate the grant date fair values of the respective PSUs.</w:t>
      </w:r>
    </w:p>
    <w:p>
      <w:pPr>
        <w:spacing w:after="0" w:line="216" w:lineRule="exact"/>
        <w:rPr>
          <w:rFonts w:ascii="Arial" w:cs="Arial" w:eastAsia="Arial" w:hAnsi="Arial"/>
          <w:sz w:val="14"/>
          <w:szCs w:val="14"/>
          <w:color w:val="auto"/>
        </w:rPr>
      </w:pPr>
    </w:p>
    <w:p>
      <w:pPr>
        <w:ind w:left="1400" w:hanging="368"/>
        <w:spacing w:after="0"/>
        <w:tabs>
          <w:tab w:leader="none" w:pos="14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amounts shown in this column represent the cash amounts earned under our SMCIP.</w:t>
      </w:r>
    </w:p>
    <w:p>
      <w:pPr>
        <w:spacing w:after="0" w:line="82" w:lineRule="exact"/>
        <w:rPr>
          <w:rFonts w:ascii="Arial" w:cs="Arial" w:eastAsia="Arial" w:hAnsi="Arial"/>
          <w:sz w:val="14"/>
          <w:szCs w:val="14"/>
          <w:color w:val="auto"/>
        </w:rPr>
      </w:pPr>
    </w:p>
    <w:p>
      <w:pPr>
        <w:ind w:left="1400" w:right="619" w:hanging="368"/>
        <w:spacing w:after="0" w:line="285" w:lineRule="auto"/>
        <w:tabs>
          <w:tab w:leader="none" w:pos="14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This column includes the incremental cost of certain perquisites and other personal benefits provided to the NEOs. The components of All Other Compensation for 2024 are as follows:</w:t>
      </w:r>
    </w:p>
    <w:p>
      <w:pPr>
        <w:spacing w:after="0" w:line="140" w:lineRule="exact"/>
        <w:rPr>
          <w:sz w:val="20"/>
          <w:szCs w:val="20"/>
          <w:color w:val="auto"/>
        </w:rPr>
      </w:pPr>
    </w:p>
    <w:tbl>
      <w:tblPr>
        <w:tblLayout w:type="fixed"/>
        <w:tblInd w:w="1400" w:type="dxa"/>
        <w:tblCellMar>
          <w:top w:w="0" w:type="dxa"/>
          <w:left w:w="0" w:type="dxa"/>
          <w:bottom w:w="0" w:type="dxa"/>
          <w:right w:w="0" w:type="dxa"/>
        </w:tblCellMar>
      </w:tblPr>
      <w:tr>
        <w:trPr>
          <w:trHeight w:val="215"/>
        </w:trPr>
        <w:tc>
          <w:tcPr>
            <w:tcW w:w="60" w:type="dxa"/>
            <w:vAlign w:val="bottom"/>
            <w:shd w:val="clear" w:color="auto" w:fill="62259D"/>
          </w:tcPr>
          <w:p>
            <w:pPr>
              <w:spacing w:after="0"/>
              <w:rPr>
                <w:sz w:val="18"/>
                <w:szCs w:val="18"/>
                <w:color w:val="auto"/>
              </w:rPr>
            </w:pPr>
          </w:p>
        </w:tc>
        <w:tc>
          <w:tcPr>
            <w:tcW w:w="2520" w:type="dxa"/>
            <w:vAlign w:val="bottom"/>
            <w:shd w:val="clear" w:color="auto" w:fill="62259D"/>
          </w:tcPr>
          <w:p>
            <w:pPr>
              <w:spacing w:after="0"/>
              <w:rPr>
                <w:sz w:val="18"/>
                <w:szCs w:val="18"/>
                <w:color w:val="auto"/>
              </w:rPr>
            </w:pPr>
          </w:p>
        </w:tc>
        <w:tc>
          <w:tcPr>
            <w:tcW w:w="180" w:type="dxa"/>
            <w:vAlign w:val="bottom"/>
            <w:shd w:val="clear" w:color="auto" w:fill="62259D"/>
          </w:tcPr>
          <w:p>
            <w:pPr>
              <w:spacing w:after="0"/>
              <w:rPr>
                <w:sz w:val="18"/>
                <w:szCs w:val="18"/>
                <w:color w:val="auto"/>
              </w:rPr>
            </w:pPr>
          </w:p>
        </w:tc>
        <w:tc>
          <w:tcPr>
            <w:tcW w:w="940" w:type="dxa"/>
            <w:vAlign w:val="bottom"/>
            <w:gridSpan w:val="2"/>
            <w:shd w:val="clear" w:color="auto" w:fill="62259D"/>
          </w:tcPr>
          <w:p>
            <w:pPr>
              <w:ind w:left="220"/>
              <w:spacing w:after="0"/>
              <w:rPr>
                <w:sz w:val="20"/>
                <w:szCs w:val="20"/>
                <w:color w:val="auto"/>
              </w:rPr>
            </w:pPr>
            <w:r>
              <w:rPr>
                <w:rFonts w:ascii="Arial" w:cs="Arial" w:eastAsia="Arial" w:hAnsi="Arial"/>
                <w:sz w:val="16"/>
                <w:szCs w:val="16"/>
                <w:b w:val="1"/>
                <w:bCs w:val="1"/>
                <w:color w:val="FEFEFE"/>
              </w:rPr>
              <w:t>Bruce</w:t>
            </w:r>
          </w:p>
        </w:tc>
        <w:tc>
          <w:tcPr>
            <w:tcW w:w="220" w:type="dxa"/>
            <w:vAlign w:val="bottom"/>
            <w:shd w:val="clear" w:color="auto" w:fill="62259D"/>
          </w:tcPr>
          <w:p>
            <w:pPr>
              <w:spacing w:after="0"/>
              <w:rPr>
                <w:sz w:val="18"/>
                <w:szCs w:val="18"/>
                <w:color w:val="auto"/>
              </w:rPr>
            </w:pPr>
          </w:p>
        </w:tc>
        <w:tc>
          <w:tcPr>
            <w:tcW w:w="860" w:type="dxa"/>
            <w:vAlign w:val="bottom"/>
            <w:gridSpan w:val="2"/>
            <w:shd w:val="clear" w:color="auto" w:fill="62259D"/>
          </w:tcPr>
          <w:p>
            <w:pPr>
              <w:ind w:left="220"/>
              <w:spacing w:after="0"/>
              <w:rPr>
                <w:sz w:val="20"/>
                <w:szCs w:val="20"/>
                <w:color w:val="auto"/>
              </w:rPr>
            </w:pPr>
            <w:r>
              <w:rPr>
                <w:rFonts w:ascii="Arial" w:cs="Arial" w:eastAsia="Arial" w:hAnsi="Arial"/>
                <w:sz w:val="16"/>
                <w:szCs w:val="16"/>
                <w:b w:val="1"/>
                <w:bCs w:val="1"/>
                <w:color w:val="FEFEFE"/>
              </w:rPr>
              <w:t>John</w:t>
            </w:r>
          </w:p>
        </w:tc>
        <w:tc>
          <w:tcPr>
            <w:tcW w:w="280" w:type="dxa"/>
            <w:vAlign w:val="bottom"/>
            <w:shd w:val="clear" w:color="auto" w:fill="62259D"/>
          </w:tcPr>
          <w:p>
            <w:pPr>
              <w:spacing w:after="0"/>
              <w:rPr>
                <w:sz w:val="18"/>
                <w:szCs w:val="18"/>
                <w:color w:val="auto"/>
              </w:rPr>
            </w:pPr>
          </w:p>
        </w:tc>
        <w:tc>
          <w:tcPr>
            <w:tcW w:w="480" w:type="dxa"/>
            <w:vAlign w:val="bottom"/>
            <w:shd w:val="clear" w:color="auto" w:fill="62259D"/>
          </w:tcPr>
          <w:p>
            <w:pPr>
              <w:jc w:val="center"/>
              <w:ind w:right="39"/>
              <w:spacing w:after="0"/>
              <w:rPr>
                <w:sz w:val="20"/>
                <w:szCs w:val="20"/>
                <w:color w:val="auto"/>
              </w:rPr>
            </w:pPr>
            <w:r>
              <w:rPr>
                <w:rFonts w:ascii="Arial" w:cs="Arial" w:eastAsia="Arial" w:hAnsi="Arial"/>
                <w:sz w:val="16"/>
                <w:szCs w:val="16"/>
                <w:b w:val="1"/>
                <w:bCs w:val="1"/>
                <w:color w:val="FEFEFE"/>
              </w:rPr>
              <w:t>Sam</w:t>
            </w:r>
          </w:p>
        </w:tc>
        <w:tc>
          <w:tcPr>
            <w:tcW w:w="160" w:type="dxa"/>
            <w:vAlign w:val="bottom"/>
            <w:shd w:val="clear" w:color="auto" w:fill="62259D"/>
          </w:tcPr>
          <w:p>
            <w:pPr>
              <w:spacing w:after="0"/>
              <w:rPr>
                <w:sz w:val="18"/>
                <w:szCs w:val="18"/>
                <w:color w:val="auto"/>
              </w:rPr>
            </w:pPr>
          </w:p>
        </w:tc>
        <w:tc>
          <w:tcPr>
            <w:tcW w:w="660" w:type="dxa"/>
            <w:vAlign w:val="bottom"/>
            <w:gridSpan w:val="2"/>
            <w:shd w:val="clear" w:color="auto" w:fill="62259D"/>
          </w:tcPr>
          <w:p>
            <w:pPr>
              <w:jc w:val="right"/>
              <w:spacing w:after="0"/>
              <w:rPr>
                <w:sz w:val="20"/>
                <w:szCs w:val="20"/>
                <w:color w:val="auto"/>
              </w:rPr>
            </w:pPr>
            <w:r>
              <w:rPr>
                <w:rFonts w:ascii="Arial" w:cs="Arial" w:eastAsia="Arial" w:hAnsi="Arial"/>
                <w:sz w:val="16"/>
                <w:szCs w:val="16"/>
                <w:b w:val="1"/>
                <w:bCs w:val="1"/>
                <w:color w:val="FEFEFE"/>
              </w:rPr>
              <w:t>Patrick</w:t>
            </w:r>
          </w:p>
        </w:tc>
        <w:tc>
          <w:tcPr>
            <w:tcW w:w="260" w:type="dxa"/>
            <w:vAlign w:val="bottom"/>
            <w:shd w:val="clear" w:color="auto" w:fill="62259D"/>
          </w:tcPr>
          <w:p>
            <w:pPr>
              <w:spacing w:after="0"/>
              <w:rPr>
                <w:sz w:val="18"/>
                <w:szCs w:val="18"/>
                <w:color w:val="auto"/>
              </w:rPr>
            </w:pPr>
          </w:p>
        </w:tc>
        <w:tc>
          <w:tcPr>
            <w:tcW w:w="180" w:type="dxa"/>
            <w:vAlign w:val="bottom"/>
            <w:shd w:val="clear" w:color="auto" w:fill="62259D"/>
          </w:tcPr>
          <w:p>
            <w:pPr>
              <w:spacing w:after="0"/>
              <w:rPr>
                <w:sz w:val="18"/>
                <w:szCs w:val="18"/>
                <w:color w:val="auto"/>
              </w:rPr>
            </w:pPr>
          </w:p>
        </w:tc>
        <w:tc>
          <w:tcPr>
            <w:tcW w:w="640" w:type="dxa"/>
            <w:vAlign w:val="bottom"/>
            <w:shd w:val="clear" w:color="auto" w:fill="62259D"/>
          </w:tcPr>
          <w:p>
            <w:pPr>
              <w:jc w:val="right"/>
              <w:ind w:right="199"/>
              <w:spacing w:after="0"/>
              <w:rPr>
                <w:sz w:val="20"/>
                <w:szCs w:val="20"/>
                <w:color w:val="auto"/>
              </w:rPr>
            </w:pPr>
            <w:r>
              <w:rPr>
                <w:rFonts w:ascii="Arial" w:cs="Arial" w:eastAsia="Arial" w:hAnsi="Arial"/>
                <w:sz w:val="16"/>
                <w:szCs w:val="16"/>
                <w:b w:val="1"/>
                <w:bCs w:val="1"/>
                <w:color w:val="FEFEFE"/>
              </w:rPr>
              <w:t>Dan</w:t>
            </w:r>
          </w:p>
        </w:tc>
        <w:tc>
          <w:tcPr>
            <w:tcW w:w="820" w:type="dxa"/>
            <w:vAlign w:val="bottom"/>
            <w:gridSpan w:val="2"/>
            <w:shd w:val="clear" w:color="auto" w:fill="62259D"/>
          </w:tcPr>
          <w:p>
            <w:pPr>
              <w:jc w:val="right"/>
              <w:spacing w:after="0"/>
              <w:rPr>
                <w:sz w:val="20"/>
                <w:szCs w:val="20"/>
                <w:color w:val="auto"/>
              </w:rPr>
            </w:pPr>
            <w:r>
              <w:rPr>
                <w:rFonts w:ascii="Arial" w:cs="Arial" w:eastAsia="Arial" w:hAnsi="Arial"/>
                <w:sz w:val="16"/>
                <w:szCs w:val="16"/>
                <w:b w:val="1"/>
                <w:bCs w:val="1"/>
                <w:color w:val="FEFEFE"/>
              </w:rPr>
              <w:t>Miguel</w:t>
            </w:r>
          </w:p>
        </w:tc>
        <w:tc>
          <w:tcPr>
            <w:tcW w:w="120" w:type="dxa"/>
            <w:vAlign w:val="bottom"/>
            <w:shd w:val="clear" w:color="auto" w:fill="62259D"/>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shd w:val="clear" w:color="auto" w:fill="62259D"/>
          </w:tcPr>
          <w:p>
            <w:pPr>
              <w:spacing w:after="0"/>
              <w:rPr>
                <w:sz w:val="16"/>
                <w:szCs w:val="16"/>
                <w:color w:val="auto"/>
              </w:rPr>
            </w:pPr>
          </w:p>
        </w:tc>
        <w:tc>
          <w:tcPr>
            <w:tcW w:w="2520" w:type="dxa"/>
            <w:vAlign w:val="bottom"/>
            <w:shd w:val="clear" w:color="auto" w:fill="62259D"/>
          </w:tcPr>
          <w:p>
            <w:pPr>
              <w:ind w:left="20"/>
              <w:spacing w:after="0"/>
              <w:rPr>
                <w:sz w:val="20"/>
                <w:szCs w:val="20"/>
                <w:color w:val="auto"/>
              </w:rPr>
            </w:pPr>
            <w:r>
              <w:rPr>
                <w:rFonts w:ascii="Arial" w:cs="Arial" w:eastAsia="Arial" w:hAnsi="Arial"/>
                <w:sz w:val="16"/>
                <w:szCs w:val="16"/>
                <w:b w:val="1"/>
                <w:bCs w:val="1"/>
                <w:color w:val="FEFEFE"/>
              </w:rPr>
              <w:t>2024 Compensation</w:t>
            </w:r>
          </w:p>
        </w:tc>
        <w:tc>
          <w:tcPr>
            <w:tcW w:w="180" w:type="dxa"/>
            <w:vAlign w:val="bottom"/>
            <w:shd w:val="clear" w:color="auto" w:fill="62259D"/>
          </w:tcPr>
          <w:p>
            <w:pPr>
              <w:spacing w:after="0"/>
              <w:rPr>
                <w:sz w:val="16"/>
                <w:szCs w:val="16"/>
                <w:color w:val="auto"/>
              </w:rPr>
            </w:pPr>
          </w:p>
        </w:tc>
        <w:tc>
          <w:tcPr>
            <w:tcW w:w="940" w:type="dxa"/>
            <w:vAlign w:val="bottom"/>
            <w:gridSpan w:val="2"/>
            <w:shd w:val="clear" w:color="auto" w:fill="62259D"/>
          </w:tcPr>
          <w:p>
            <w:pPr>
              <w:jc w:val="right"/>
              <w:spacing w:after="0"/>
              <w:rPr>
                <w:sz w:val="20"/>
                <w:szCs w:val="20"/>
                <w:color w:val="auto"/>
              </w:rPr>
            </w:pPr>
            <w:r>
              <w:rPr>
                <w:rFonts w:ascii="Arial" w:cs="Arial" w:eastAsia="Arial" w:hAnsi="Arial"/>
                <w:sz w:val="16"/>
                <w:szCs w:val="16"/>
                <w:b w:val="1"/>
                <w:bCs w:val="1"/>
                <w:color w:val="FEFEFE"/>
              </w:rPr>
              <w:t>McClelland</w:t>
            </w:r>
          </w:p>
        </w:tc>
        <w:tc>
          <w:tcPr>
            <w:tcW w:w="220" w:type="dxa"/>
            <w:vAlign w:val="bottom"/>
            <w:shd w:val="clear" w:color="auto" w:fill="62259D"/>
          </w:tcPr>
          <w:p>
            <w:pPr>
              <w:spacing w:after="0"/>
              <w:rPr>
                <w:sz w:val="16"/>
                <w:szCs w:val="16"/>
                <w:color w:val="auto"/>
              </w:rPr>
            </w:pPr>
          </w:p>
        </w:tc>
        <w:tc>
          <w:tcPr>
            <w:tcW w:w="860" w:type="dxa"/>
            <w:vAlign w:val="bottom"/>
            <w:gridSpan w:val="2"/>
            <w:shd w:val="clear" w:color="auto" w:fill="62259D"/>
          </w:tcPr>
          <w:p>
            <w:pPr>
              <w:spacing w:after="0"/>
              <w:rPr>
                <w:sz w:val="20"/>
                <w:szCs w:val="20"/>
                <w:color w:val="auto"/>
              </w:rPr>
            </w:pPr>
            <w:r>
              <w:rPr>
                <w:rFonts w:ascii="Arial" w:cs="Arial" w:eastAsia="Arial" w:hAnsi="Arial"/>
                <w:sz w:val="16"/>
                <w:szCs w:val="16"/>
                <w:b w:val="1"/>
                <w:bCs w:val="1"/>
                <w:color w:val="FEFEFE"/>
              </w:rPr>
              <w:t>Townsend</w:t>
            </w:r>
          </w:p>
        </w:tc>
        <w:tc>
          <w:tcPr>
            <w:tcW w:w="760" w:type="dxa"/>
            <w:vAlign w:val="bottom"/>
            <w:gridSpan w:val="2"/>
            <w:shd w:val="clear" w:color="auto" w:fill="62259D"/>
          </w:tcPr>
          <w:p>
            <w:pPr>
              <w:jc w:val="center"/>
              <w:ind w:left="90"/>
              <w:spacing w:after="0"/>
              <w:rPr>
                <w:sz w:val="20"/>
                <w:szCs w:val="20"/>
                <w:color w:val="auto"/>
              </w:rPr>
            </w:pPr>
            <w:r>
              <w:rPr>
                <w:rFonts w:ascii="Arial" w:cs="Arial" w:eastAsia="Arial" w:hAnsi="Arial"/>
                <w:sz w:val="16"/>
                <w:szCs w:val="16"/>
                <w:b w:val="1"/>
                <w:bCs w:val="1"/>
                <w:color w:val="FEFEFE"/>
              </w:rPr>
              <w:t>Bucci</w:t>
            </w:r>
          </w:p>
        </w:tc>
        <w:tc>
          <w:tcPr>
            <w:tcW w:w="160" w:type="dxa"/>
            <w:vAlign w:val="bottom"/>
            <w:shd w:val="clear" w:color="auto" w:fill="62259D"/>
          </w:tcPr>
          <w:p>
            <w:pPr>
              <w:spacing w:after="0"/>
              <w:rPr>
                <w:sz w:val="16"/>
                <w:szCs w:val="16"/>
                <w:color w:val="auto"/>
              </w:rPr>
            </w:pPr>
          </w:p>
        </w:tc>
        <w:tc>
          <w:tcPr>
            <w:tcW w:w="660" w:type="dxa"/>
            <w:vAlign w:val="bottom"/>
            <w:gridSpan w:val="2"/>
            <w:shd w:val="clear" w:color="auto" w:fill="62259D"/>
          </w:tcPr>
          <w:p>
            <w:pPr>
              <w:jc w:val="right"/>
              <w:spacing w:after="0"/>
              <w:rPr>
                <w:sz w:val="20"/>
                <w:szCs w:val="20"/>
                <w:color w:val="auto"/>
              </w:rPr>
            </w:pPr>
            <w:r>
              <w:rPr>
                <w:rFonts w:ascii="Arial" w:cs="Arial" w:eastAsia="Arial" w:hAnsi="Arial"/>
                <w:sz w:val="16"/>
                <w:szCs w:val="16"/>
                <w:b w:val="1"/>
                <w:bCs w:val="1"/>
                <w:color w:val="FEFEFE"/>
              </w:rPr>
              <w:t>Macken</w:t>
            </w:r>
          </w:p>
        </w:tc>
        <w:tc>
          <w:tcPr>
            <w:tcW w:w="1080" w:type="dxa"/>
            <w:vAlign w:val="bottom"/>
            <w:gridSpan w:val="3"/>
            <w:shd w:val="clear" w:color="auto" w:fill="62259D"/>
          </w:tcPr>
          <w:p>
            <w:pPr>
              <w:jc w:val="right"/>
              <w:spacing w:after="0"/>
              <w:rPr>
                <w:sz w:val="20"/>
                <w:szCs w:val="20"/>
                <w:color w:val="auto"/>
              </w:rPr>
            </w:pPr>
            <w:r>
              <w:rPr>
                <w:rFonts w:ascii="Arial" w:cs="Arial" w:eastAsia="Arial" w:hAnsi="Arial"/>
                <w:sz w:val="16"/>
                <w:szCs w:val="16"/>
                <w:b w:val="1"/>
                <w:bCs w:val="1"/>
                <w:color w:val="FEFEFE"/>
              </w:rPr>
              <w:t>Redington</w:t>
            </w:r>
          </w:p>
        </w:tc>
        <w:tc>
          <w:tcPr>
            <w:tcW w:w="820" w:type="dxa"/>
            <w:vAlign w:val="bottom"/>
            <w:gridSpan w:val="2"/>
            <w:shd w:val="clear" w:color="auto" w:fill="62259D"/>
          </w:tcPr>
          <w:p>
            <w:pPr>
              <w:jc w:val="right"/>
              <w:spacing w:after="0"/>
              <w:rPr>
                <w:sz w:val="20"/>
                <w:szCs w:val="20"/>
                <w:color w:val="auto"/>
              </w:rPr>
            </w:pPr>
            <w:r>
              <w:rPr>
                <w:rFonts w:ascii="Arial" w:cs="Arial" w:eastAsia="Arial" w:hAnsi="Arial"/>
                <w:sz w:val="16"/>
                <w:szCs w:val="16"/>
                <w:b w:val="1"/>
                <w:bCs w:val="1"/>
                <w:color w:val="FEFEFE"/>
              </w:rPr>
              <w:t>Lopez</w:t>
            </w:r>
          </w:p>
        </w:tc>
        <w:tc>
          <w:tcPr>
            <w:tcW w:w="120" w:type="dxa"/>
            <w:vAlign w:val="bottom"/>
            <w:shd w:val="clear" w:color="auto" w:fill="62259D"/>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62259D"/>
          </w:tcPr>
          <w:p>
            <w:pPr>
              <w:ind w:left="40"/>
              <w:spacing w:after="0"/>
              <w:rPr>
                <w:sz w:val="20"/>
                <w:szCs w:val="20"/>
                <w:color w:val="auto"/>
              </w:rPr>
            </w:pPr>
            <w:r>
              <w:rPr>
                <w:rFonts w:ascii="Arial" w:cs="Arial" w:eastAsia="Arial" w:hAnsi="Arial"/>
                <w:sz w:val="16"/>
                <w:szCs w:val="16"/>
                <w:b w:val="1"/>
                <w:bCs w:val="1"/>
                <w:color w:val="FEFEFE"/>
              </w:rPr>
              <w:t>​Components</w:t>
            </w:r>
          </w:p>
        </w:tc>
        <w:tc>
          <w:tcPr>
            <w:tcW w:w="180" w:type="dxa"/>
            <w:vAlign w:val="bottom"/>
            <w:shd w:val="clear" w:color="auto" w:fill="62259D"/>
          </w:tcPr>
          <w:p>
            <w:pPr>
              <w:ind w:left="60"/>
              <w:spacing w:after="0"/>
              <w:rPr>
                <w:sz w:val="20"/>
                <w:szCs w:val="20"/>
                <w:color w:val="auto"/>
              </w:rPr>
            </w:pPr>
            <w:r>
              <w:rPr>
                <w:rFonts w:ascii="Arial" w:cs="Arial" w:eastAsia="Arial" w:hAnsi="Arial"/>
                <w:sz w:val="16"/>
                <w:szCs w:val="16"/>
                <w:b w:val="1"/>
                <w:bCs w:val="1"/>
                <w:color w:val="FEFEFE"/>
              </w:rPr>
              <w:t>​ ​</w:t>
            </w:r>
          </w:p>
        </w:tc>
        <w:tc>
          <w:tcPr>
            <w:tcW w:w="300" w:type="dxa"/>
            <w:vAlign w:val="bottom"/>
            <w:shd w:val="clear" w:color="auto" w:fill="62259D"/>
          </w:tcPr>
          <w:p>
            <w:pPr>
              <w:spacing w:after="0"/>
              <w:rPr>
                <w:sz w:val="20"/>
                <w:szCs w:val="20"/>
                <w:color w:val="auto"/>
              </w:rPr>
            </w:pPr>
          </w:p>
        </w:tc>
        <w:tc>
          <w:tcPr>
            <w:tcW w:w="640" w:type="dxa"/>
            <w:vAlign w:val="bottom"/>
            <w:shd w:val="clear" w:color="auto" w:fill="62259D"/>
          </w:tcPr>
          <w:p>
            <w:pPr>
              <w:jc w:val="right"/>
              <w:ind w:right="259"/>
              <w:spacing w:after="0"/>
              <w:rPr>
                <w:sz w:val="20"/>
                <w:szCs w:val="20"/>
                <w:color w:val="auto"/>
              </w:rPr>
            </w:pPr>
            <w:r>
              <w:rPr>
                <w:rFonts w:ascii="Arial" w:cs="Arial" w:eastAsia="Arial" w:hAnsi="Arial"/>
                <w:sz w:val="16"/>
                <w:szCs w:val="16"/>
                <w:b w:val="1"/>
                <w:bCs w:val="1"/>
                <w:color w:val="FEFEFE"/>
              </w:rPr>
              <w:t>($)</w:t>
            </w:r>
          </w:p>
        </w:tc>
        <w:tc>
          <w:tcPr>
            <w:tcW w:w="220" w:type="dxa"/>
            <w:vAlign w:val="bottom"/>
            <w:shd w:val="clear" w:color="auto" w:fill="62259D"/>
          </w:tcPr>
          <w:p>
            <w:pPr>
              <w:ind w:left="100"/>
              <w:spacing w:after="0"/>
              <w:rPr>
                <w:sz w:val="20"/>
                <w:szCs w:val="20"/>
                <w:color w:val="auto"/>
              </w:rPr>
            </w:pPr>
            <w:r>
              <w:rPr>
                <w:rFonts w:ascii="Arial" w:cs="Arial" w:eastAsia="Arial" w:hAnsi="Arial"/>
                <w:sz w:val="16"/>
                <w:szCs w:val="16"/>
                <w:b w:val="1"/>
                <w:bCs w:val="1"/>
                <w:color w:val="FEFEFE"/>
              </w:rPr>
              <w:t>​ ​</w:t>
            </w:r>
          </w:p>
        </w:tc>
        <w:tc>
          <w:tcPr>
            <w:tcW w:w="300" w:type="dxa"/>
            <w:vAlign w:val="bottom"/>
            <w:shd w:val="clear" w:color="auto" w:fill="62259D"/>
          </w:tcPr>
          <w:p>
            <w:pPr>
              <w:spacing w:after="0"/>
              <w:rPr>
                <w:sz w:val="20"/>
                <w:szCs w:val="20"/>
                <w:color w:val="auto"/>
              </w:rPr>
            </w:pPr>
          </w:p>
        </w:tc>
        <w:tc>
          <w:tcPr>
            <w:tcW w:w="560" w:type="dxa"/>
            <w:vAlign w:val="bottom"/>
            <w:shd w:val="clear" w:color="auto" w:fill="62259D"/>
          </w:tcPr>
          <w:p>
            <w:pPr>
              <w:jc w:val="right"/>
              <w:ind w:right="219"/>
              <w:spacing w:after="0"/>
              <w:rPr>
                <w:sz w:val="20"/>
                <w:szCs w:val="20"/>
                <w:color w:val="auto"/>
              </w:rPr>
            </w:pPr>
            <w:r>
              <w:rPr>
                <w:rFonts w:ascii="Arial" w:cs="Arial" w:eastAsia="Arial" w:hAnsi="Arial"/>
                <w:sz w:val="16"/>
                <w:szCs w:val="16"/>
                <w:b w:val="1"/>
                <w:bCs w:val="1"/>
                <w:color w:val="FEFEFE"/>
              </w:rPr>
              <w:t>($)</w:t>
            </w:r>
          </w:p>
        </w:tc>
        <w:tc>
          <w:tcPr>
            <w:tcW w:w="280" w:type="dxa"/>
            <w:vAlign w:val="bottom"/>
            <w:shd w:val="clear" w:color="auto" w:fill="62259D"/>
          </w:tcPr>
          <w:p>
            <w:pPr>
              <w:ind w:left="100"/>
              <w:spacing w:after="0"/>
              <w:rPr>
                <w:sz w:val="20"/>
                <w:szCs w:val="20"/>
                <w:color w:val="auto"/>
              </w:rPr>
            </w:pPr>
            <w:r>
              <w:rPr>
                <w:rFonts w:ascii="Arial" w:cs="Arial" w:eastAsia="Arial" w:hAnsi="Arial"/>
                <w:sz w:val="16"/>
                <w:szCs w:val="16"/>
                <w:b w:val="1"/>
                <w:bCs w:val="1"/>
                <w:color w:val="FEFEFE"/>
              </w:rPr>
              <w:t>​ ​</w:t>
            </w:r>
          </w:p>
        </w:tc>
        <w:tc>
          <w:tcPr>
            <w:tcW w:w="640" w:type="dxa"/>
            <w:vAlign w:val="bottom"/>
            <w:gridSpan w:val="2"/>
            <w:shd w:val="clear" w:color="auto" w:fill="62259D"/>
          </w:tcPr>
          <w:p>
            <w:pPr>
              <w:jc w:val="right"/>
              <w:spacing w:after="0"/>
              <w:rPr>
                <w:sz w:val="20"/>
                <w:szCs w:val="20"/>
                <w:color w:val="auto"/>
              </w:rPr>
            </w:pPr>
            <w:r>
              <w:rPr>
                <w:rFonts w:ascii="Arial" w:cs="Arial" w:eastAsia="Arial" w:hAnsi="Arial"/>
                <w:sz w:val="16"/>
                <w:szCs w:val="16"/>
                <w:b w:val="1"/>
                <w:bCs w:val="1"/>
                <w:color w:val="FEFEFE"/>
              </w:rPr>
              <w:t>($)  ​ ​</w:t>
            </w:r>
          </w:p>
        </w:tc>
        <w:tc>
          <w:tcPr>
            <w:tcW w:w="180" w:type="dxa"/>
            <w:vAlign w:val="bottom"/>
            <w:shd w:val="clear" w:color="auto" w:fill="62259D"/>
          </w:tcPr>
          <w:p>
            <w:pPr>
              <w:spacing w:after="0"/>
              <w:rPr>
                <w:sz w:val="20"/>
                <w:szCs w:val="20"/>
                <w:color w:val="auto"/>
              </w:rPr>
            </w:pPr>
          </w:p>
        </w:tc>
        <w:tc>
          <w:tcPr>
            <w:tcW w:w="480" w:type="dxa"/>
            <w:vAlign w:val="bottom"/>
            <w:shd w:val="clear" w:color="auto" w:fill="62259D"/>
          </w:tcPr>
          <w:p>
            <w:pPr>
              <w:jc w:val="right"/>
              <w:ind w:right="119"/>
              <w:spacing w:after="0"/>
              <w:rPr>
                <w:sz w:val="20"/>
                <w:szCs w:val="20"/>
                <w:color w:val="auto"/>
              </w:rPr>
            </w:pPr>
            <w:r>
              <w:rPr>
                <w:rFonts w:ascii="Arial" w:cs="Arial" w:eastAsia="Arial" w:hAnsi="Arial"/>
                <w:sz w:val="16"/>
                <w:szCs w:val="16"/>
                <w:b w:val="1"/>
                <w:bCs w:val="1"/>
                <w:color w:val="FEFEFE"/>
              </w:rPr>
              <w:t>($)</w:t>
            </w:r>
          </w:p>
        </w:tc>
        <w:tc>
          <w:tcPr>
            <w:tcW w:w="260" w:type="dxa"/>
            <w:vAlign w:val="bottom"/>
            <w:shd w:val="clear" w:color="auto" w:fill="62259D"/>
          </w:tcPr>
          <w:p>
            <w:pPr>
              <w:jc w:val="right"/>
              <w:spacing w:after="0"/>
              <w:rPr>
                <w:sz w:val="20"/>
                <w:szCs w:val="20"/>
                <w:color w:val="auto"/>
              </w:rPr>
            </w:pPr>
            <w:r>
              <w:rPr>
                <w:rFonts w:ascii="Arial" w:cs="Arial" w:eastAsia="Arial" w:hAnsi="Arial"/>
                <w:sz w:val="16"/>
                <w:szCs w:val="16"/>
                <w:b w:val="1"/>
                <w:bCs w:val="1"/>
                <w:color w:val="FEFEFE"/>
              </w:rPr>
              <w:t>​ ​</w:t>
            </w:r>
          </w:p>
        </w:tc>
        <w:tc>
          <w:tcPr>
            <w:tcW w:w="180" w:type="dxa"/>
            <w:vAlign w:val="bottom"/>
            <w:shd w:val="clear" w:color="auto" w:fill="62259D"/>
          </w:tcPr>
          <w:p>
            <w:pPr>
              <w:spacing w:after="0"/>
              <w:rPr>
                <w:sz w:val="20"/>
                <w:szCs w:val="20"/>
                <w:color w:val="auto"/>
              </w:rPr>
            </w:pPr>
          </w:p>
        </w:tc>
        <w:tc>
          <w:tcPr>
            <w:tcW w:w="640" w:type="dxa"/>
            <w:vAlign w:val="bottom"/>
            <w:shd w:val="clear" w:color="auto" w:fill="62259D"/>
          </w:tcPr>
          <w:p>
            <w:pPr>
              <w:jc w:val="right"/>
              <w:ind w:right="219"/>
              <w:spacing w:after="0"/>
              <w:rPr>
                <w:sz w:val="20"/>
                <w:szCs w:val="20"/>
                <w:color w:val="auto"/>
              </w:rPr>
            </w:pPr>
            <w:r>
              <w:rPr>
                <w:rFonts w:ascii="Arial" w:cs="Arial" w:eastAsia="Arial" w:hAnsi="Arial"/>
                <w:sz w:val="16"/>
                <w:szCs w:val="16"/>
                <w:b w:val="1"/>
                <w:bCs w:val="1"/>
                <w:color w:val="FEFEFE"/>
              </w:rPr>
              <w:t>($)</w:t>
            </w:r>
          </w:p>
        </w:tc>
        <w:tc>
          <w:tcPr>
            <w:tcW w:w="340" w:type="dxa"/>
            <w:vAlign w:val="bottom"/>
            <w:shd w:val="clear" w:color="auto" w:fill="62259D"/>
          </w:tcPr>
          <w:p>
            <w:pPr>
              <w:jc w:val="right"/>
              <w:ind w:right="49"/>
              <w:spacing w:after="0"/>
              <w:rPr>
                <w:sz w:val="20"/>
                <w:szCs w:val="20"/>
                <w:color w:val="auto"/>
              </w:rPr>
            </w:pPr>
            <w:r>
              <w:rPr>
                <w:rFonts w:ascii="Arial" w:cs="Arial" w:eastAsia="Arial" w:hAnsi="Arial"/>
                <w:sz w:val="16"/>
                <w:szCs w:val="16"/>
                <w:b w:val="1"/>
                <w:bCs w:val="1"/>
                <w:color w:val="FEFEFE"/>
              </w:rPr>
              <w:t>​ ​</w:t>
            </w:r>
          </w:p>
        </w:tc>
        <w:tc>
          <w:tcPr>
            <w:tcW w:w="600" w:type="dxa"/>
            <w:vAlign w:val="bottom"/>
            <w:gridSpan w:val="2"/>
            <w:shd w:val="clear" w:color="auto" w:fill="62259D"/>
          </w:tcPr>
          <w:p>
            <w:pPr>
              <w:jc w:val="right"/>
              <w:spacing w:after="0"/>
              <w:rPr>
                <w:sz w:val="20"/>
                <w:szCs w:val="20"/>
                <w:color w:val="auto"/>
              </w:rPr>
            </w:pPr>
            <w:r>
              <w:rPr>
                <w:rFonts w:ascii="Arial" w:cs="Arial" w:eastAsia="Arial" w:hAnsi="Arial"/>
                <w:sz w:val="16"/>
                <w:szCs w:val="16"/>
                <w:b w:val="1"/>
                <w:bCs w:val="1"/>
                <w:color w:val="FEFEFE"/>
              </w:rPr>
              <w:t>($)   ​</w:t>
            </w:r>
          </w:p>
        </w:tc>
        <w:tc>
          <w:tcPr>
            <w:tcW w:w="0" w:type="dxa"/>
            <w:vAlign w:val="bottom"/>
          </w:tcPr>
          <w:p>
            <w:pPr>
              <w:spacing w:after="0"/>
              <w:rPr>
                <w:sz w:val="1"/>
                <w:szCs w:val="1"/>
                <w:color w:val="auto"/>
              </w:rPr>
            </w:pPr>
          </w:p>
        </w:tc>
      </w:tr>
      <w:tr>
        <w:trPr>
          <w:trHeight w:val="189"/>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2520" w:type="dxa"/>
            <w:vAlign w:val="bottom"/>
          </w:tcPr>
          <w:p>
            <w:pPr>
              <w:ind w:left="20"/>
              <w:spacing w:after="0" w:line="189" w:lineRule="exact"/>
              <w:rPr>
                <w:sz w:val="20"/>
                <w:szCs w:val="20"/>
                <w:color w:val="auto"/>
              </w:rPr>
            </w:pPr>
            <w:r>
              <w:rPr>
                <w:rFonts w:ascii="Arial" w:cs="Arial" w:eastAsia="Arial" w:hAnsi="Arial"/>
                <w:sz w:val="16"/>
                <w:szCs w:val="16"/>
                <w:color w:val="auto"/>
              </w:rPr>
              <w:t>Health Benefits</w:t>
            </w:r>
            <w:r>
              <w:rPr>
                <w:rFonts w:ascii="Arial" w:cs="Arial" w:eastAsia="Arial" w:hAnsi="Arial"/>
                <w:sz w:val="19"/>
                <w:szCs w:val="19"/>
                <w:color w:val="auto"/>
                <w:vertAlign w:val="superscript"/>
              </w:rPr>
              <w:t>(a)</w:t>
            </w: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940" w:type="dxa"/>
            <w:vAlign w:val="bottom"/>
            <w:gridSpan w:val="2"/>
          </w:tcPr>
          <w:p>
            <w:pPr>
              <w:jc w:val="right"/>
              <w:ind w:right="99"/>
              <w:spacing w:after="0"/>
              <w:rPr>
                <w:sz w:val="20"/>
                <w:szCs w:val="20"/>
                <w:color w:val="auto"/>
              </w:rPr>
            </w:pPr>
            <w:r>
              <w:rPr>
                <w:rFonts w:ascii="Arial" w:cs="Arial" w:eastAsia="Arial" w:hAnsi="Arial"/>
                <w:sz w:val="16"/>
                <w:szCs w:val="16"/>
                <w:color w:val="auto"/>
              </w:rPr>
              <w:t>​ 28,485</w:t>
            </w:r>
          </w:p>
        </w:tc>
        <w:tc>
          <w:tcPr>
            <w:tcW w:w="22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860" w:type="dxa"/>
            <w:vAlign w:val="bottom"/>
            <w:gridSpan w:val="2"/>
          </w:tcPr>
          <w:p>
            <w:pPr>
              <w:jc w:val="right"/>
              <w:ind w:right="99"/>
              <w:spacing w:after="0"/>
              <w:rPr>
                <w:sz w:val="20"/>
                <w:szCs w:val="20"/>
                <w:color w:val="auto"/>
              </w:rPr>
            </w:pPr>
            <w:r>
              <w:rPr>
                <w:rFonts w:ascii="Arial" w:cs="Arial" w:eastAsia="Arial" w:hAnsi="Arial"/>
                <w:sz w:val="16"/>
                <w:szCs w:val="16"/>
                <w:color w:val="auto"/>
              </w:rPr>
              <w:t>​ 2,959</w:t>
            </w:r>
          </w:p>
        </w:tc>
        <w:tc>
          <w:tcPr>
            <w:tcW w:w="760" w:type="dxa"/>
            <w:vAlign w:val="bottom"/>
            <w:gridSpan w:val="2"/>
          </w:tcPr>
          <w:p>
            <w:pPr>
              <w:ind w:left="240"/>
              <w:spacing w:after="0"/>
              <w:rPr>
                <w:sz w:val="20"/>
                <w:szCs w:val="20"/>
                <w:color w:val="auto"/>
              </w:rPr>
            </w:pPr>
            <w:r>
              <w:rPr>
                <w:rFonts w:ascii="Arial" w:cs="Arial" w:eastAsia="Arial" w:hAnsi="Arial"/>
                <w:sz w:val="16"/>
                <w:szCs w:val="16"/>
                <w:color w:val="auto"/>
              </w:rPr>
              <w:t>​ 7,964</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 28,515</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28,485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8,073</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60" w:type="dxa"/>
            <w:vAlign w:val="bottom"/>
            <w:tcBorders>
              <w:bottom w:val="single" w:sz="8" w:color="E7417A"/>
            </w:tcBorders>
            <w:vMerge w:val="continue"/>
          </w:tcPr>
          <w:p>
            <w:pPr>
              <w:spacing w:after="0"/>
              <w:rPr>
                <w:sz w:val="5"/>
                <w:szCs w:val="5"/>
                <w:color w:val="auto"/>
              </w:rPr>
            </w:pPr>
          </w:p>
        </w:tc>
        <w:tc>
          <w:tcPr>
            <w:tcW w:w="2520" w:type="dxa"/>
            <w:vAlign w:val="bottom"/>
            <w:tcBorders>
              <w:bottom w:val="single" w:sz="8" w:color="E7417A"/>
            </w:tcBorders>
          </w:tcPr>
          <w:p>
            <w:pPr>
              <w:spacing w:after="0"/>
              <w:rPr>
                <w:sz w:val="5"/>
                <w:szCs w:val="5"/>
                <w:color w:val="auto"/>
              </w:rPr>
            </w:pPr>
          </w:p>
        </w:tc>
        <w:tc>
          <w:tcPr>
            <w:tcW w:w="180" w:type="dxa"/>
            <w:vAlign w:val="bottom"/>
            <w:tcBorders>
              <w:bottom w:val="single" w:sz="8" w:color="E7417A"/>
            </w:tcBorders>
            <w:vMerge w:val="continue"/>
          </w:tcPr>
          <w:p>
            <w:pPr>
              <w:spacing w:after="0"/>
              <w:rPr>
                <w:sz w:val="5"/>
                <w:szCs w:val="5"/>
                <w:color w:val="auto"/>
              </w:rPr>
            </w:pPr>
          </w:p>
        </w:tc>
        <w:tc>
          <w:tcPr>
            <w:tcW w:w="300" w:type="dxa"/>
            <w:vAlign w:val="bottom"/>
            <w:tcBorders>
              <w:bottom w:val="single" w:sz="8" w:color="E7417A"/>
            </w:tcBorders>
          </w:tcPr>
          <w:p>
            <w:pPr>
              <w:ind w:left="180"/>
              <w:spacing w:after="0" w:line="68" w:lineRule="exact"/>
              <w:rPr>
                <w:sz w:val="20"/>
                <w:szCs w:val="20"/>
                <w:color w:val="auto"/>
              </w:rPr>
            </w:pPr>
            <w:r>
              <w:rPr>
                <w:rFonts w:ascii="Arial" w:cs="Arial" w:eastAsia="Arial" w:hAnsi="Arial"/>
                <w:sz w:val="7"/>
                <w:szCs w:val="7"/>
                <w:color w:val="auto"/>
              </w:rPr>
              <w:t>​</w:t>
            </w:r>
          </w:p>
        </w:tc>
        <w:tc>
          <w:tcPr>
            <w:tcW w:w="640" w:type="dxa"/>
            <w:vAlign w:val="bottom"/>
            <w:tcBorders>
              <w:bottom w:val="single" w:sz="8" w:color="E7417A"/>
            </w:tcBorders>
          </w:tcPr>
          <w:p>
            <w:pPr>
              <w:spacing w:after="0"/>
              <w:rPr>
                <w:sz w:val="5"/>
                <w:szCs w:val="5"/>
                <w:color w:val="auto"/>
              </w:rPr>
            </w:pPr>
          </w:p>
        </w:tc>
        <w:tc>
          <w:tcPr>
            <w:tcW w:w="220" w:type="dxa"/>
            <w:vAlign w:val="bottom"/>
            <w:tcBorders>
              <w:bottom w:val="single" w:sz="8" w:color="E7417A"/>
            </w:tcBorders>
            <w:vMerge w:val="continue"/>
          </w:tcPr>
          <w:p>
            <w:pPr>
              <w:spacing w:after="0"/>
              <w:rPr>
                <w:sz w:val="5"/>
                <w:szCs w:val="5"/>
                <w:color w:val="auto"/>
              </w:rPr>
            </w:pPr>
          </w:p>
        </w:tc>
        <w:tc>
          <w:tcPr>
            <w:tcW w:w="300" w:type="dxa"/>
            <w:vAlign w:val="bottom"/>
            <w:tcBorders>
              <w:bottom w:val="single" w:sz="8" w:color="E7417A"/>
            </w:tcBorders>
          </w:tcPr>
          <w:p>
            <w:pPr>
              <w:ind w:left="200"/>
              <w:spacing w:after="0" w:line="68" w:lineRule="exact"/>
              <w:rPr>
                <w:sz w:val="20"/>
                <w:szCs w:val="20"/>
                <w:color w:val="auto"/>
              </w:rPr>
            </w:pPr>
            <w:r>
              <w:rPr>
                <w:rFonts w:ascii="Arial" w:cs="Arial" w:eastAsia="Arial" w:hAnsi="Arial"/>
                <w:sz w:val="7"/>
                <w:szCs w:val="7"/>
                <w:color w:val="auto"/>
              </w:rPr>
              <w:t>​</w:t>
            </w:r>
          </w:p>
        </w:tc>
        <w:tc>
          <w:tcPr>
            <w:tcW w:w="560" w:type="dxa"/>
            <w:vAlign w:val="bottom"/>
            <w:tcBorders>
              <w:bottom w:val="single" w:sz="8" w:color="E7417A"/>
            </w:tcBorders>
          </w:tcPr>
          <w:p>
            <w:pPr>
              <w:spacing w:after="0"/>
              <w:rPr>
                <w:sz w:val="5"/>
                <w:szCs w:val="5"/>
                <w:color w:val="auto"/>
              </w:rPr>
            </w:pPr>
          </w:p>
        </w:tc>
        <w:tc>
          <w:tcPr>
            <w:tcW w:w="280" w:type="dxa"/>
            <w:vAlign w:val="bottom"/>
            <w:tcBorders>
              <w:bottom w:val="single" w:sz="8" w:color="E7417A"/>
            </w:tcBorders>
          </w:tcPr>
          <w:p>
            <w:pPr>
              <w:ind w:left="20"/>
              <w:spacing w:after="0" w:line="68" w:lineRule="exact"/>
              <w:rPr>
                <w:sz w:val="20"/>
                <w:szCs w:val="20"/>
                <w:color w:val="auto"/>
              </w:rPr>
            </w:pPr>
            <w:r>
              <w:rPr>
                <w:rFonts w:ascii="Arial" w:cs="Arial" w:eastAsia="Arial" w:hAnsi="Arial"/>
                <w:sz w:val="7"/>
                <w:szCs w:val="7"/>
                <w:color w:val="auto"/>
              </w:rPr>
              <w:t>​​ ​ ​</w:t>
            </w:r>
          </w:p>
        </w:tc>
        <w:tc>
          <w:tcPr>
            <w:tcW w:w="480" w:type="dxa"/>
            <w:vAlign w:val="bottom"/>
            <w:tcBorders>
              <w:bottom w:val="single" w:sz="8" w:color="E7417A"/>
            </w:tcBorders>
          </w:tcPr>
          <w:p>
            <w:pPr>
              <w:spacing w:after="0"/>
              <w:rPr>
                <w:sz w:val="5"/>
                <w:szCs w:val="5"/>
                <w:color w:val="auto"/>
              </w:rPr>
            </w:pPr>
          </w:p>
        </w:tc>
        <w:tc>
          <w:tcPr>
            <w:tcW w:w="160" w:type="dxa"/>
            <w:vAlign w:val="bottom"/>
            <w:tcBorders>
              <w:bottom w:val="single" w:sz="8" w:color="E7417A"/>
            </w:tcBorders>
            <w:vMerge w:val="continue"/>
          </w:tcPr>
          <w:p>
            <w:pPr>
              <w:spacing w:after="0"/>
              <w:rPr>
                <w:sz w:val="5"/>
                <w:szCs w:val="5"/>
                <w:color w:val="auto"/>
              </w:rPr>
            </w:pPr>
          </w:p>
        </w:tc>
        <w:tc>
          <w:tcPr>
            <w:tcW w:w="180" w:type="dxa"/>
            <w:vAlign w:val="bottom"/>
            <w:tcBorders>
              <w:bottom w:val="single" w:sz="8" w:color="E7417A"/>
            </w:tcBorders>
          </w:tcPr>
          <w:p>
            <w:pPr>
              <w:ind w:left="40"/>
              <w:spacing w:after="0" w:line="68" w:lineRule="exact"/>
              <w:rPr>
                <w:sz w:val="20"/>
                <w:szCs w:val="20"/>
                <w:color w:val="auto"/>
              </w:rPr>
            </w:pPr>
            <w:r>
              <w:rPr>
                <w:rFonts w:ascii="Arial" w:cs="Arial" w:eastAsia="Arial" w:hAnsi="Arial"/>
                <w:sz w:val="7"/>
                <w:szCs w:val="7"/>
                <w:color w:val="auto"/>
              </w:rPr>
              <w:t>​</w:t>
            </w:r>
          </w:p>
        </w:tc>
        <w:tc>
          <w:tcPr>
            <w:tcW w:w="480" w:type="dxa"/>
            <w:vAlign w:val="bottom"/>
            <w:tcBorders>
              <w:bottom w:val="single" w:sz="8" w:color="E7417A"/>
            </w:tcBorders>
          </w:tcPr>
          <w:p>
            <w:pPr>
              <w:spacing w:after="0"/>
              <w:rPr>
                <w:sz w:val="5"/>
                <w:szCs w:val="5"/>
                <w:color w:val="auto"/>
              </w:rPr>
            </w:pPr>
          </w:p>
        </w:tc>
        <w:tc>
          <w:tcPr>
            <w:tcW w:w="260" w:type="dxa"/>
            <w:vAlign w:val="bottom"/>
            <w:tcBorders>
              <w:bottom w:val="single" w:sz="8" w:color="E7417A"/>
            </w:tcBorders>
            <w:vMerge w:val="continue"/>
          </w:tcPr>
          <w:p>
            <w:pPr>
              <w:spacing w:after="0"/>
              <w:rPr>
                <w:sz w:val="5"/>
                <w:szCs w:val="5"/>
                <w:color w:val="auto"/>
              </w:rPr>
            </w:pPr>
          </w:p>
        </w:tc>
        <w:tc>
          <w:tcPr>
            <w:tcW w:w="180" w:type="dxa"/>
            <w:vAlign w:val="bottom"/>
            <w:tcBorders>
              <w:bottom w:val="single" w:sz="8" w:color="E7417A"/>
            </w:tcBorders>
          </w:tcPr>
          <w:p>
            <w:pPr>
              <w:jc w:val="right"/>
              <w:ind w:right="13"/>
              <w:spacing w:after="0" w:line="68" w:lineRule="exact"/>
              <w:rPr>
                <w:sz w:val="20"/>
                <w:szCs w:val="20"/>
                <w:color w:val="auto"/>
              </w:rPr>
            </w:pPr>
            <w:r>
              <w:rPr>
                <w:rFonts w:ascii="Arial" w:cs="Arial" w:eastAsia="Arial" w:hAnsi="Arial"/>
                <w:sz w:val="7"/>
                <w:szCs w:val="7"/>
                <w:color w:val="auto"/>
              </w:rPr>
              <w:t>​</w:t>
            </w:r>
          </w:p>
        </w:tc>
        <w:tc>
          <w:tcPr>
            <w:tcW w:w="640" w:type="dxa"/>
            <w:vAlign w:val="bottom"/>
            <w:tcBorders>
              <w:bottom w:val="single" w:sz="8" w:color="E7417A"/>
            </w:tcBorders>
          </w:tcPr>
          <w:p>
            <w:pPr>
              <w:spacing w:after="0"/>
              <w:rPr>
                <w:sz w:val="5"/>
                <w:szCs w:val="5"/>
                <w:color w:val="auto"/>
              </w:rPr>
            </w:pPr>
          </w:p>
        </w:tc>
        <w:tc>
          <w:tcPr>
            <w:tcW w:w="340" w:type="dxa"/>
            <w:vAlign w:val="bottom"/>
            <w:tcBorders>
              <w:bottom w:val="single" w:sz="8" w:color="E7417A"/>
            </w:tcBorders>
          </w:tcPr>
          <w:p>
            <w:pPr>
              <w:jc w:val="right"/>
              <w:spacing w:after="0" w:line="68" w:lineRule="exact"/>
              <w:rPr>
                <w:sz w:val="20"/>
                <w:szCs w:val="20"/>
                <w:color w:val="auto"/>
              </w:rPr>
            </w:pPr>
            <w:r>
              <w:rPr>
                <w:rFonts w:ascii="Arial" w:cs="Arial" w:eastAsia="Arial" w:hAnsi="Arial"/>
                <w:sz w:val="7"/>
                <w:szCs w:val="7"/>
                <w:color w:val="auto"/>
              </w:rPr>
              <w:t>​​ ​ ​</w:t>
            </w:r>
          </w:p>
        </w:tc>
        <w:tc>
          <w:tcPr>
            <w:tcW w:w="480" w:type="dxa"/>
            <w:vAlign w:val="bottom"/>
            <w:tcBorders>
              <w:bottom w:val="single" w:sz="8" w:color="E7417A"/>
            </w:tcBorders>
          </w:tcPr>
          <w:p>
            <w:pPr>
              <w:spacing w:after="0"/>
              <w:rPr>
                <w:sz w:val="5"/>
                <w:szCs w:val="5"/>
                <w:color w:val="auto"/>
              </w:rPr>
            </w:pPr>
          </w:p>
        </w:tc>
        <w:tc>
          <w:tcPr>
            <w:tcW w:w="120" w:type="dxa"/>
            <w:vAlign w:val="bottom"/>
            <w:tcBorders>
              <w:bottom w:val="single" w:sz="8" w:color="E7417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520" w:type="dxa"/>
            <w:vAlign w:val="bottom"/>
          </w:tcPr>
          <w:p>
            <w:pPr>
              <w:ind w:left="20"/>
              <w:spacing w:after="0"/>
              <w:rPr>
                <w:sz w:val="20"/>
                <w:szCs w:val="20"/>
                <w:color w:val="auto"/>
              </w:rPr>
            </w:pPr>
            <w:r>
              <w:rPr>
                <w:rFonts w:ascii="Arial" w:cs="Arial" w:eastAsia="Arial" w:hAnsi="Arial"/>
                <w:sz w:val="16"/>
                <w:szCs w:val="16"/>
                <w:color w:val="auto"/>
              </w:rPr>
              <w:t>401(k) matching contributions/</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2520" w:type="dxa"/>
            <w:vAlign w:val="bottom"/>
          </w:tcPr>
          <w:p>
            <w:pPr>
              <w:ind w:left="20"/>
              <w:spacing w:after="0"/>
              <w:rPr>
                <w:sz w:val="20"/>
                <w:szCs w:val="20"/>
                <w:color w:val="auto"/>
              </w:rPr>
            </w:pPr>
            <w:r>
              <w:rPr>
                <w:rFonts w:ascii="Arial" w:cs="Arial" w:eastAsia="Arial" w:hAnsi="Arial"/>
                <w:sz w:val="16"/>
                <w:szCs w:val="16"/>
                <w:color w:val="auto"/>
              </w:rPr>
              <w:t>pension and profit sharing</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580" w:type="dxa"/>
            <w:vAlign w:val="bottom"/>
            <w:tcBorders>
              <w:bottom w:val="single" w:sz="8" w:color="E7417A"/>
            </w:tcBorders>
            <w:gridSpan w:val="2"/>
          </w:tcPr>
          <w:p>
            <w:pPr>
              <w:spacing w:after="0"/>
              <w:rPr>
                <w:sz w:val="20"/>
                <w:szCs w:val="20"/>
                <w:color w:val="auto"/>
              </w:rPr>
            </w:pPr>
            <w:r>
              <w:rPr>
                <w:rFonts w:ascii="Arial" w:cs="Arial" w:eastAsia="Arial" w:hAnsi="Arial"/>
                <w:sz w:val="16"/>
                <w:szCs w:val="16"/>
                <w:color w:val="auto"/>
              </w:rPr>
              <w:t>​ contribution</w:t>
            </w:r>
            <w:r>
              <w:rPr>
                <w:rFonts w:ascii="Arial" w:cs="Arial" w:eastAsia="Arial" w:hAnsi="Arial"/>
                <w:sz w:val="19"/>
                <w:szCs w:val="19"/>
                <w:color w:val="auto"/>
                <w:vertAlign w:val="superscript"/>
              </w:rPr>
              <w:t>(b)</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ind w:left="1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7417A"/>
            </w:tcBorders>
          </w:tcPr>
          <w:p>
            <w:pPr>
              <w:jc w:val="right"/>
              <w:ind w:right="99"/>
              <w:spacing w:after="0"/>
              <w:rPr>
                <w:sz w:val="20"/>
                <w:szCs w:val="20"/>
                <w:color w:val="auto"/>
              </w:rPr>
            </w:pPr>
            <w:r>
              <w:rPr>
                <w:rFonts w:ascii="Arial" w:cs="Arial" w:eastAsia="Arial" w:hAnsi="Arial"/>
                <w:sz w:val="16"/>
                <w:szCs w:val="16"/>
                <w:color w:val="auto"/>
              </w:rPr>
              <w:t>6,600</w:t>
            </w:r>
          </w:p>
        </w:tc>
        <w:tc>
          <w:tcPr>
            <w:tcW w:w="22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E7417A"/>
            </w:tcBorders>
          </w:tcPr>
          <w:p>
            <w:pPr>
              <w:jc w:val="right"/>
              <w:ind w:right="99"/>
              <w:spacing w:after="0"/>
              <w:rPr>
                <w:sz w:val="20"/>
                <w:szCs w:val="20"/>
                <w:color w:val="auto"/>
              </w:rPr>
            </w:pPr>
            <w:r>
              <w:rPr>
                <w:rFonts w:ascii="Arial" w:cs="Arial" w:eastAsia="Arial" w:hAnsi="Arial"/>
                <w:sz w:val="16"/>
                <w:szCs w:val="16"/>
                <w:color w:val="auto"/>
              </w:rPr>
              <w:t>769</w:t>
            </w:r>
          </w:p>
        </w:tc>
        <w:tc>
          <w:tcPr>
            <w:tcW w:w="2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 ​ ​</w:t>
            </w:r>
          </w:p>
        </w:tc>
        <w:tc>
          <w:tcPr>
            <w:tcW w:w="640" w:type="dxa"/>
            <w:vAlign w:val="bottom"/>
            <w:tcBorders>
              <w:bottom w:val="single" w:sz="8" w:color="E7417A"/>
            </w:tcBorders>
            <w:gridSpan w:val="2"/>
          </w:tcPr>
          <w:p>
            <w:pPr>
              <w:jc w:val="right"/>
              <w:spacing w:after="0"/>
              <w:rPr>
                <w:sz w:val="20"/>
                <w:szCs w:val="20"/>
                <w:color w:val="auto"/>
              </w:rPr>
            </w:pPr>
            <w:r>
              <w:rPr>
                <w:rFonts w:ascii="Arial" w:cs="Arial" w:eastAsia="Arial" w:hAnsi="Arial"/>
                <w:sz w:val="16"/>
                <w:szCs w:val="16"/>
                <w:color w:val="auto"/>
              </w:rPr>
              <w:t>6,752​ ​</w:t>
            </w:r>
          </w:p>
        </w:tc>
        <w:tc>
          <w:tcPr>
            <w:tcW w:w="180" w:type="dxa"/>
            <w:vAlign w:val="bottom"/>
            <w:tcBorders>
              <w:bottom w:val="single" w:sz="8" w:color="E7417A"/>
            </w:tcBorders>
          </w:tcPr>
          <w:p>
            <w:pPr>
              <w:ind w:left="40"/>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6900</w:t>
            </w:r>
          </w:p>
        </w:tc>
        <w:tc>
          <w:tcPr>
            <w:tcW w:w="26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7417A"/>
            </w:tcBorders>
          </w:tcPr>
          <w:p>
            <w:pPr>
              <w:jc w:val="right"/>
              <w:ind w:right="19"/>
              <w:spacing w:after="0"/>
              <w:rPr>
                <w:sz w:val="20"/>
                <w:szCs w:val="20"/>
                <w:color w:val="auto"/>
              </w:rPr>
            </w:pPr>
            <w:r>
              <w:rPr>
                <w:rFonts w:ascii="Arial" w:cs="Arial" w:eastAsia="Arial" w:hAnsi="Arial"/>
                <w:sz w:val="16"/>
                <w:szCs w:val="16"/>
                <w:color w:val="auto"/>
              </w:rPr>
              <w:t>6900</w:t>
            </w:r>
          </w:p>
        </w:tc>
        <w:tc>
          <w:tcPr>
            <w:tcW w:w="34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p>
        </w:tc>
        <w:tc>
          <w:tcPr>
            <w:tcW w:w="600" w:type="dxa"/>
            <w:vAlign w:val="bottom"/>
            <w:tcBorders>
              <w:bottom w:val="single" w:sz="8" w:color="E7417A"/>
            </w:tcBorders>
            <w:gridSpan w:val="2"/>
          </w:tcPr>
          <w:p>
            <w:pPr>
              <w:jc w:val="right"/>
              <w:spacing w:after="0"/>
              <w:rPr>
                <w:sz w:val="20"/>
                <w:szCs w:val="20"/>
                <w:color w:val="auto"/>
              </w:rPr>
            </w:pPr>
            <w:r>
              <w:rPr>
                <w:rFonts w:ascii="Arial" w:cs="Arial" w:eastAsia="Arial" w:hAnsi="Arial"/>
                <w:sz w:val="16"/>
                <w:szCs w:val="16"/>
                <w:color w:val="auto"/>
              </w:rPr>
              <w:t>6900​​</w:t>
            </w: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520" w:type="dxa"/>
            <w:vAlign w:val="bottom"/>
          </w:tcPr>
          <w:p>
            <w:pPr>
              <w:ind w:left="20"/>
              <w:spacing w:after="0"/>
              <w:rPr>
                <w:sz w:val="20"/>
                <w:szCs w:val="20"/>
                <w:color w:val="auto"/>
              </w:rPr>
            </w:pPr>
            <w:r>
              <w:rPr>
                <w:rFonts w:ascii="Arial" w:cs="Arial" w:eastAsia="Arial" w:hAnsi="Arial"/>
                <w:sz w:val="16"/>
                <w:szCs w:val="16"/>
                <w:color w:val="auto"/>
              </w:rPr>
              <w:t>Life, disability and excess liability</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580" w:type="dxa"/>
            <w:vAlign w:val="bottom"/>
            <w:tcBorders>
              <w:bottom w:val="single" w:sz="8" w:color="E7417A"/>
            </w:tcBorders>
            <w:gridSpan w:val="2"/>
          </w:tcPr>
          <w:p>
            <w:pPr>
              <w:spacing w:after="0"/>
              <w:rPr>
                <w:sz w:val="20"/>
                <w:szCs w:val="20"/>
                <w:color w:val="auto"/>
              </w:rPr>
            </w:pPr>
            <w:r>
              <w:rPr>
                <w:rFonts w:ascii="Arial" w:cs="Arial" w:eastAsia="Arial" w:hAnsi="Arial"/>
                <w:sz w:val="16"/>
                <w:szCs w:val="16"/>
                <w:color w:val="auto"/>
              </w:rPr>
              <w:t>​ insurance</w:t>
            </w:r>
            <w:r>
              <w:rPr>
                <w:rFonts w:ascii="Arial" w:cs="Arial" w:eastAsia="Arial" w:hAnsi="Arial"/>
                <w:sz w:val="19"/>
                <w:szCs w:val="19"/>
                <w:color w:val="auto"/>
                <w:vertAlign w:val="superscript"/>
              </w:rPr>
              <w:t>(a)</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ind w:left="1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7417A"/>
            </w:tcBorders>
          </w:tcPr>
          <w:p>
            <w:pPr>
              <w:jc w:val="right"/>
              <w:ind w:right="99"/>
              <w:spacing w:after="0"/>
              <w:rPr>
                <w:sz w:val="20"/>
                <w:szCs w:val="20"/>
                <w:color w:val="auto"/>
              </w:rPr>
            </w:pPr>
            <w:r>
              <w:rPr>
                <w:rFonts w:ascii="Arial" w:cs="Arial" w:eastAsia="Arial" w:hAnsi="Arial"/>
                <w:sz w:val="16"/>
                <w:szCs w:val="16"/>
                <w:color w:val="auto"/>
              </w:rPr>
              <w:t>1,129</w:t>
            </w:r>
          </w:p>
        </w:tc>
        <w:tc>
          <w:tcPr>
            <w:tcW w:w="22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E7417A"/>
            </w:tcBorders>
          </w:tcPr>
          <w:p>
            <w:pPr>
              <w:jc w:val="right"/>
              <w:ind w:right="99"/>
              <w:spacing w:after="0"/>
              <w:rPr>
                <w:sz w:val="20"/>
                <w:szCs w:val="20"/>
                <w:color w:val="auto"/>
              </w:rPr>
            </w:pPr>
            <w:r>
              <w:rPr>
                <w:rFonts w:ascii="Arial" w:cs="Arial" w:eastAsia="Arial" w:hAnsi="Arial"/>
                <w:sz w:val="16"/>
                <w:szCs w:val="16"/>
                <w:color w:val="auto"/>
              </w:rPr>
              <w:t>273</w:t>
            </w:r>
          </w:p>
        </w:tc>
        <w:tc>
          <w:tcPr>
            <w:tcW w:w="2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 ​ ​</w:t>
            </w:r>
          </w:p>
        </w:tc>
        <w:tc>
          <w:tcPr>
            <w:tcW w:w="640" w:type="dxa"/>
            <w:vAlign w:val="bottom"/>
            <w:tcBorders>
              <w:bottom w:val="single" w:sz="8" w:color="E7417A"/>
            </w:tcBorders>
            <w:gridSpan w:val="2"/>
          </w:tcPr>
          <w:p>
            <w:pPr>
              <w:jc w:val="right"/>
              <w:spacing w:after="0"/>
              <w:rPr>
                <w:sz w:val="20"/>
                <w:szCs w:val="20"/>
                <w:color w:val="auto"/>
              </w:rPr>
            </w:pPr>
            <w:r>
              <w:rPr>
                <w:rFonts w:ascii="Arial" w:cs="Arial" w:eastAsia="Arial" w:hAnsi="Arial"/>
                <w:sz w:val="16"/>
                <w:szCs w:val="16"/>
                <w:color w:val="auto"/>
              </w:rPr>
              <w:t>3,218​ ​</w:t>
            </w:r>
          </w:p>
        </w:tc>
        <w:tc>
          <w:tcPr>
            <w:tcW w:w="180" w:type="dxa"/>
            <w:vAlign w:val="bottom"/>
            <w:tcBorders>
              <w:bottom w:val="single" w:sz="8" w:color="E7417A"/>
            </w:tcBorders>
          </w:tcPr>
          <w:p>
            <w:pPr>
              <w:ind w:left="40"/>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1112</w:t>
            </w:r>
          </w:p>
        </w:tc>
        <w:tc>
          <w:tcPr>
            <w:tcW w:w="26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E7417A"/>
            </w:tcBorders>
            <w:gridSpan w:val="2"/>
          </w:tcPr>
          <w:p>
            <w:pPr>
              <w:jc w:val="right"/>
              <w:ind w:right="19"/>
              <w:spacing w:after="0"/>
              <w:rPr>
                <w:sz w:val="20"/>
                <w:szCs w:val="20"/>
                <w:color w:val="auto"/>
              </w:rPr>
            </w:pPr>
            <w:r>
              <w:rPr>
                <w:rFonts w:ascii="Arial" w:cs="Arial" w:eastAsia="Arial" w:hAnsi="Arial"/>
                <w:sz w:val="16"/>
                <w:szCs w:val="16"/>
                <w:color w:val="auto"/>
              </w:rPr>
              <w:t>​​ 1110.34</w:t>
            </w:r>
          </w:p>
        </w:tc>
        <w:tc>
          <w:tcPr>
            <w:tcW w:w="34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p>
        </w:tc>
        <w:tc>
          <w:tcPr>
            <w:tcW w:w="600" w:type="dxa"/>
            <w:vAlign w:val="bottom"/>
            <w:tcBorders>
              <w:bottom w:val="single" w:sz="8" w:color="E7417A"/>
            </w:tcBorders>
            <w:gridSpan w:val="2"/>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183"/>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2520" w:type="dxa"/>
            <w:vAlign w:val="bottom"/>
          </w:tcPr>
          <w:p>
            <w:pPr>
              <w:ind w:left="20"/>
              <w:spacing w:after="0" w:line="183" w:lineRule="exact"/>
              <w:rPr>
                <w:sz w:val="20"/>
                <w:szCs w:val="20"/>
                <w:color w:val="auto"/>
              </w:rPr>
            </w:pPr>
            <w:r>
              <w:rPr>
                <w:rFonts w:ascii="Arial" w:cs="Arial" w:eastAsia="Arial" w:hAnsi="Arial"/>
                <w:sz w:val="16"/>
                <w:szCs w:val="16"/>
                <w:color w:val="auto"/>
              </w:rPr>
              <w:t>Travel medical coverage</w:t>
            </w:r>
            <w:r>
              <w:rPr>
                <w:rFonts w:ascii="Arial" w:cs="Arial" w:eastAsia="Arial" w:hAnsi="Arial"/>
                <w:sz w:val="19"/>
                <w:szCs w:val="19"/>
                <w:color w:val="auto"/>
                <w:vertAlign w:val="superscript"/>
              </w:rPr>
              <w:t>(a)</w:t>
            </w: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300" w:type="dxa"/>
            <w:vAlign w:val="bottom"/>
          </w:tcPr>
          <w:p>
            <w:pPr>
              <w:ind w:left="200"/>
              <w:spacing w:after="0" w:line="183" w:lineRule="exact"/>
              <w:rPr>
                <w:sz w:val="20"/>
                <w:szCs w:val="20"/>
                <w:color w:val="auto"/>
              </w:rPr>
            </w:pPr>
            <w:r>
              <w:rPr>
                <w:rFonts w:ascii="Arial" w:cs="Arial" w:eastAsia="Arial" w:hAnsi="Arial"/>
                <w:sz w:val="16"/>
                <w:szCs w:val="16"/>
                <w:color w:val="auto"/>
              </w:rPr>
              <w:t>​</w:t>
            </w:r>
          </w:p>
        </w:tc>
        <w:tc>
          <w:tcPr>
            <w:tcW w:w="640" w:type="dxa"/>
            <w:vAlign w:val="bottom"/>
          </w:tcPr>
          <w:p>
            <w:pPr>
              <w:jc w:val="right"/>
              <w:ind w:right="99"/>
              <w:spacing w:after="0" w:line="183" w:lineRule="exact"/>
              <w:rPr>
                <w:sz w:val="20"/>
                <w:szCs w:val="20"/>
                <w:color w:val="auto"/>
              </w:rPr>
            </w:pPr>
            <w:r>
              <w:rPr>
                <w:rFonts w:ascii="Arial" w:cs="Arial" w:eastAsia="Arial" w:hAnsi="Arial"/>
                <w:sz w:val="16"/>
                <w:szCs w:val="16"/>
                <w:color w:val="auto"/>
              </w:rPr>
              <w:t>336</w:t>
            </w:r>
          </w:p>
        </w:tc>
        <w:tc>
          <w:tcPr>
            <w:tcW w:w="22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300" w:type="dxa"/>
            <w:vAlign w:val="bottom"/>
          </w:tcPr>
          <w:p>
            <w:pPr>
              <w:ind w:left="220"/>
              <w:spacing w:after="0" w:line="183" w:lineRule="exact"/>
              <w:rPr>
                <w:sz w:val="20"/>
                <w:szCs w:val="20"/>
                <w:color w:val="auto"/>
              </w:rPr>
            </w:pPr>
            <w:r>
              <w:rPr>
                <w:rFonts w:ascii="Arial" w:cs="Arial" w:eastAsia="Arial" w:hAnsi="Arial"/>
                <w:sz w:val="16"/>
                <w:szCs w:val="16"/>
                <w:color w:val="auto"/>
              </w:rPr>
              <w:t>​</w:t>
            </w:r>
          </w:p>
        </w:tc>
        <w:tc>
          <w:tcPr>
            <w:tcW w:w="5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65</w:t>
            </w:r>
          </w:p>
        </w:tc>
        <w:tc>
          <w:tcPr>
            <w:tcW w:w="280" w:type="dxa"/>
            <w:vAlign w:val="bottom"/>
          </w:tcPr>
          <w:p>
            <w:pPr>
              <w:ind w:left="240"/>
              <w:spacing w:after="0" w:line="183" w:lineRule="exact"/>
              <w:rPr>
                <w:sz w:val="20"/>
                <w:szCs w:val="20"/>
                <w:color w:val="auto"/>
              </w:rPr>
            </w:pPr>
            <w:r>
              <w:rPr>
                <w:rFonts w:ascii="Arial" w:cs="Arial" w:eastAsia="Arial" w:hAnsi="Arial"/>
                <w:sz w:val="16"/>
                <w:szCs w:val="16"/>
                <w:color w:val="auto"/>
              </w:rPr>
              <w:t>​</w:t>
            </w:r>
          </w:p>
        </w:tc>
        <w:tc>
          <w:tcPr>
            <w:tcW w:w="480" w:type="dxa"/>
            <w:vAlign w:val="bottom"/>
          </w:tcPr>
          <w:p>
            <w:pPr>
              <w:jc w:val="right"/>
              <w:spacing w:after="0" w:line="183" w:lineRule="exact"/>
              <w:rPr>
                <w:sz w:val="20"/>
                <w:szCs w:val="20"/>
                <w:color w:val="auto"/>
              </w:rPr>
            </w:pPr>
            <w:r>
              <w:rPr>
                <w:rFonts w:ascii="Arial" w:cs="Arial" w:eastAsia="Arial" w:hAnsi="Arial"/>
                <w:sz w:val="16"/>
                <w:szCs w:val="16"/>
                <w:color w:val="auto"/>
              </w:rPr>
              <w:t>336</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180" w:type="dxa"/>
            <w:vAlign w:val="bottom"/>
          </w:tcPr>
          <w:p>
            <w:pPr>
              <w:ind w:left="60"/>
              <w:spacing w:after="0" w:line="183" w:lineRule="exact"/>
              <w:rPr>
                <w:sz w:val="20"/>
                <w:szCs w:val="20"/>
                <w:color w:val="auto"/>
              </w:rPr>
            </w:pPr>
            <w:r>
              <w:rPr>
                <w:rFonts w:ascii="Arial" w:cs="Arial" w:eastAsia="Arial" w:hAnsi="Arial"/>
                <w:sz w:val="16"/>
                <w:szCs w:val="16"/>
                <w:color w:val="auto"/>
              </w:rPr>
              <w:t>​</w:t>
            </w:r>
          </w:p>
        </w:tc>
        <w:tc>
          <w:tcPr>
            <w:tcW w:w="480" w:type="dxa"/>
            <w:vAlign w:val="bottom"/>
          </w:tcPr>
          <w:p>
            <w:pPr>
              <w:jc w:val="right"/>
              <w:spacing w:after="0" w:line="183" w:lineRule="exact"/>
              <w:rPr>
                <w:sz w:val="20"/>
                <w:szCs w:val="20"/>
                <w:color w:val="auto"/>
              </w:rPr>
            </w:pPr>
            <w:r>
              <w:rPr>
                <w:rFonts w:ascii="Arial" w:cs="Arial" w:eastAsia="Arial" w:hAnsi="Arial"/>
                <w:sz w:val="16"/>
                <w:szCs w:val="16"/>
                <w:color w:val="auto"/>
              </w:rPr>
              <w:t>336</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1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336</w:t>
            </w:r>
          </w:p>
        </w:tc>
        <w:tc>
          <w:tcPr>
            <w:tcW w:w="3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480" w:type="dxa"/>
            <w:vAlign w:val="bottom"/>
          </w:tcPr>
          <w:p>
            <w:pPr>
              <w:jc w:val="right"/>
              <w:spacing w:after="0" w:line="183" w:lineRule="exact"/>
              <w:rPr>
                <w:sz w:val="20"/>
                <w:szCs w:val="20"/>
                <w:color w:val="auto"/>
              </w:rPr>
            </w:pPr>
            <w:r>
              <w:rPr>
                <w:rFonts w:ascii="Arial" w:cs="Arial" w:eastAsia="Arial" w:hAnsi="Arial"/>
                <w:sz w:val="16"/>
                <w:szCs w:val="16"/>
                <w:color w:val="auto"/>
              </w:rPr>
              <w:t>310</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60" w:type="dxa"/>
            <w:vAlign w:val="bottom"/>
            <w:tcBorders>
              <w:bottom w:val="single" w:sz="8" w:color="E7417A"/>
            </w:tcBorders>
            <w:vMerge w:val="continue"/>
          </w:tcPr>
          <w:p>
            <w:pPr>
              <w:spacing w:after="0"/>
              <w:rPr>
                <w:sz w:val="5"/>
                <w:szCs w:val="5"/>
                <w:color w:val="auto"/>
              </w:rPr>
            </w:pPr>
          </w:p>
        </w:tc>
        <w:tc>
          <w:tcPr>
            <w:tcW w:w="2520" w:type="dxa"/>
            <w:vAlign w:val="bottom"/>
            <w:tcBorders>
              <w:bottom w:val="single" w:sz="8" w:color="E7417A"/>
            </w:tcBorders>
          </w:tcPr>
          <w:p>
            <w:pPr>
              <w:spacing w:after="0"/>
              <w:rPr>
                <w:sz w:val="5"/>
                <w:szCs w:val="5"/>
                <w:color w:val="auto"/>
              </w:rPr>
            </w:pPr>
          </w:p>
        </w:tc>
        <w:tc>
          <w:tcPr>
            <w:tcW w:w="180" w:type="dxa"/>
            <w:vAlign w:val="bottom"/>
            <w:tcBorders>
              <w:bottom w:val="single" w:sz="8" w:color="E7417A"/>
            </w:tcBorders>
            <w:vMerge w:val="continue"/>
          </w:tcPr>
          <w:p>
            <w:pPr>
              <w:spacing w:after="0"/>
              <w:rPr>
                <w:sz w:val="5"/>
                <w:szCs w:val="5"/>
                <w:color w:val="auto"/>
              </w:rPr>
            </w:pPr>
          </w:p>
        </w:tc>
        <w:tc>
          <w:tcPr>
            <w:tcW w:w="300" w:type="dxa"/>
            <w:vAlign w:val="bottom"/>
            <w:tcBorders>
              <w:bottom w:val="single" w:sz="8" w:color="E7417A"/>
            </w:tcBorders>
          </w:tcPr>
          <w:p>
            <w:pPr>
              <w:ind w:left="180"/>
              <w:spacing w:after="0" w:line="68" w:lineRule="exact"/>
              <w:rPr>
                <w:sz w:val="20"/>
                <w:szCs w:val="20"/>
                <w:color w:val="auto"/>
              </w:rPr>
            </w:pPr>
            <w:r>
              <w:rPr>
                <w:rFonts w:ascii="Arial" w:cs="Arial" w:eastAsia="Arial" w:hAnsi="Arial"/>
                <w:sz w:val="7"/>
                <w:szCs w:val="7"/>
                <w:color w:val="auto"/>
              </w:rPr>
              <w:t>​</w:t>
            </w:r>
          </w:p>
        </w:tc>
        <w:tc>
          <w:tcPr>
            <w:tcW w:w="640" w:type="dxa"/>
            <w:vAlign w:val="bottom"/>
            <w:tcBorders>
              <w:bottom w:val="single" w:sz="8" w:color="E7417A"/>
            </w:tcBorders>
          </w:tcPr>
          <w:p>
            <w:pPr>
              <w:spacing w:after="0"/>
              <w:rPr>
                <w:sz w:val="5"/>
                <w:szCs w:val="5"/>
                <w:color w:val="auto"/>
              </w:rPr>
            </w:pPr>
          </w:p>
        </w:tc>
        <w:tc>
          <w:tcPr>
            <w:tcW w:w="220" w:type="dxa"/>
            <w:vAlign w:val="bottom"/>
            <w:tcBorders>
              <w:bottom w:val="single" w:sz="8" w:color="E7417A"/>
            </w:tcBorders>
            <w:vMerge w:val="continue"/>
          </w:tcPr>
          <w:p>
            <w:pPr>
              <w:spacing w:after="0"/>
              <w:rPr>
                <w:sz w:val="5"/>
                <w:szCs w:val="5"/>
                <w:color w:val="auto"/>
              </w:rPr>
            </w:pPr>
          </w:p>
        </w:tc>
        <w:tc>
          <w:tcPr>
            <w:tcW w:w="300" w:type="dxa"/>
            <w:vAlign w:val="bottom"/>
            <w:tcBorders>
              <w:bottom w:val="single" w:sz="8" w:color="E7417A"/>
            </w:tcBorders>
          </w:tcPr>
          <w:p>
            <w:pPr>
              <w:ind w:left="200"/>
              <w:spacing w:after="0" w:line="68" w:lineRule="exact"/>
              <w:rPr>
                <w:sz w:val="20"/>
                <w:szCs w:val="20"/>
                <w:color w:val="auto"/>
              </w:rPr>
            </w:pPr>
            <w:r>
              <w:rPr>
                <w:rFonts w:ascii="Arial" w:cs="Arial" w:eastAsia="Arial" w:hAnsi="Arial"/>
                <w:sz w:val="7"/>
                <w:szCs w:val="7"/>
                <w:color w:val="auto"/>
              </w:rPr>
              <w:t>​</w:t>
            </w:r>
          </w:p>
        </w:tc>
        <w:tc>
          <w:tcPr>
            <w:tcW w:w="560" w:type="dxa"/>
            <w:vAlign w:val="bottom"/>
            <w:tcBorders>
              <w:bottom w:val="single" w:sz="8" w:color="E7417A"/>
            </w:tcBorders>
          </w:tcPr>
          <w:p>
            <w:pPr>
              <w:spacing w:after="0"/>
              <w:rPr>
                <w:sz w:val="5"/>
                <w:szCs w:val="5"/>
                <w:color w:val="auto"/>
              </w:rPr>
            </w:pPr>
          </w:p>
        </w:tc>
        <w:tc>
          <w:tcPr>
            <w:tcW w:w="280" w:type="dxa"/>
            <w:vAlign w:val="bottom"/>
            <w:tcBorders>
              <w:bottom w:val="single" w:sz="8" w:color="E7417A"/>
            </w:tcBorders>
          </w:tcPr>
          <w:p>
            <w:pPr>
              <w:ind w:left="20"/>
              <w:spacing w:after="0" w:line="68" w:lineRule="exact"/>
              <w:rPr>
                <w:sz w:val="20"/>
                <w:szCs w:val="20"/>
                <w:color w:val="auto"/>
              </w:rPr>
            </w:pPr>
            <w:r>
              <w:rPr>
                <w:rFonts w:ascii="Arial" w:cs="Arial" w:eastAsia="Arial" w:hAnsi="Arial"/>
                <w:sz w:val="7"/>
                <w:szCs w:val="7"/>
                <w:color w:val="auto"/>
              </w:rPr>
              <w:t>​​ ​ ​</w:t>
            </w:r>
          </w:p>
        </w:tc>
        <w:tc>
          <w:tcPr>
            <w:tcW w:w="480" w:type="dxa"/>
            <w:vAlign w:val="bottom"/>
            <w:tcBorders>
              <w:bottom w:val="single" w:sz="8" w:color="E7417A"/>
            </w:tcBorders>
          </w:tcPr>
          <w:p>
            <w:pPr>
              <w:spacing w:after="0"/>
              <w:rPr>
                <w:sz w:val="5"/>
                <w:szCs w:val="5"/>
                <w:color w:val="auto"/>
              </w:rPr>
            </w:pPr>
          </w:p>
        </w:tc>
        <w:tc>
          <w:tcPr>
            <w:tcW w:w="160" w:type="dxa"/>
            <w:vAlign w:val="bottom"/>
            <w:tcBorders>
              <w:bottom w:val="single" w:sz="8" w:color="E7417A"/>
            </w:tcBorders>
            <w:vMerge w:val="continue"/>
          </w:tcPr>
          <w:p>
            <w:pPr>
              <w:spacing w:after="0"/>
              <w:rPr>
                <w:sz w:val="5"/>
                <w:szCs w:val="5"/>
                <w:color w:val="auto"/>
              </w:rPr>
            </w:pPr>
          </w:p>
        </w:tc>
        <w:tc>
          <w:tcPr>
            <w:tcW w:w="180" w:type="dxa"/>
            <w:vAlign w:val="bottom"/>
            <w:tcBorders>
              <w:bottom w:val="single" w:sz="8" w:color="E7417A"/>
            </w:tcBorders>
          </w:tcPr>
          <w:p>
            <w:pPr>
              <w:ind w:left="40"/>
              <w:spacing w:after="0" w:line="68" w:lineRule="exact"/>
              <w:rPr>
                <w:sz w:val="20"/>
                <w:szCs w:val="20"/>
                <w:color w:val="auto"/>
              </w:rPr>
            </w:pPr>
            <w:r>
              <w:rPr>
                <w:rFonts w:ascii="Arial" w:cs="Arial" w:eastAsia="Arial" w:hAnsi="Arial"/>
                <w:sz w:val="7"/>
                <w:szCs w:val="7"/>
                <w:color w:val="auto"/>
              </w:rPr>
              <w:t>​</w:t>
            </w:r>
          </w:p>
        </w:tc>
        <w:tc>
          <w:tcPr>
            <w:tcW w:w="480" w:type="dxa"/>
            <w:vAlign w:val="bottom"/>
            <w:tcBorders>
              <w:bottom w:val="single" w:sz="8" w:color="E7417A"/>
            </w:tcBorders>
          </w:tcPr>
          <w:p>
            <w:pPr>
              <w:spacing w:after="0"/>
              <w:rPr>
                <w:sz w:val="5"/>
                <w:szCs w:val="5"/>
                <w:color w:val="auto"/>
              </w:rPr>
            </w:pPr>
          </w:p>
        </w:tc>
        <w:tc>
          <w:tcPr>
            <w:tcW w:w="260" w:type="dxa"/>
            <w:vAlign w:val="bottom"/>
            <w:tcBorders>
              <w:bottom w:val="single" w:sz="8" w:color="E7417A"/>
            </w:tcBorders>
            <w:vMerge w:val="continue"/>
          </w:tcPr>
          <w:p>
            <w:pPr>
              <w:spacing w:after="0"/>
              <w:rPr>
                <w:sz w:val="5"/>
                <w:szCs w:val="5"/>
                <w:color w:val="auto"/>
              </w:rPr>
            </w:pPr>
          </w:p>
        </w:tc>
        <w:tc>
          <w:tcPr>
            <w:tcW w:w="180" w:type="dxa"/>
            <w:vAlign w:val="bottom"/>
            <w:tcBorders>
              <w:bottom w:val="single" w:sz="8" w:color="E7417A"/>
            </w:tcBorders>
          </w:tcPr>
          <w:p>
            <w:pPr>
              <w:jc w:val="right"/>
              <w:ind w:right="13"/>
              <w:spacing w:after="0" w:line="68" w:lineRule="exact"/>
              <w:rPr>
                <w:sz w:val="20"/>
                <w:szCs w:val="20"/>
                <w:color w:val="auto"/>
              </w:rPr>
            </w:pPr>
            <w:r>
              <w:rPr>
                <w:rFonts w:ascii="Arial" w:cs="Arial" w:eastAsia="Arial" w:hAnsi="Arial"/>
                <w:sz w:val="7"/>
                <w:szCs w:val="7"/>
                <w:color w:val="auto"/>
              </w:rPr>
              <w:t>​</w:t>
            </w:r>
          </w:p>
        </w:tc>
        <w:tc>
          <w:tcPr>
            <w:tcW w:w="640" w:type="dxa"/>
            <w:vAlign w:val="bottom"/>
            <w:tcBorders>
              <w:bottom w:val="single" w:sz="8" w:color="E7417A"/>
            </w:tcBorders>
          </w:tcPr>
          <w:p>
            <w:pPr>
              <w:spacing w:after="0"/>
              <w:rPr>
                <w:sz w:val="5"/>
                <w:szCs w:val="5"/>
                <w:color w:val="auto"/>
              </w:rPr>
            </w:pPr>
          </w:p>
        </w:tc>
        <w:tc>
          <w:tcPr>
            <w:tcW w:w="340" w:type="dxa"/>
            <w:vAlign w:val="bottom"/>
            <w:tcBorders>
              <w:bottom w:val="single" w:sz="8" w:color="E7417A"/>
            </w:tcBorders>
          </w:tcPr>
          <w:p>
            <w:pPr>
              <w:jc w:val="right"/>
              <w:spacing w:after="0" w:line="68" w:lineRule="exact"/>
              <w:rPr>
                <w:sz w:val="20"/>
                <w:szCs w:val="20"/>
                <w:color w:val="auto"/>
              </w:rPr>
            </w:pPr>
            <w:r>
              <w:rPr>
                <w:rFonts w:ascii="Arial" w:cs="Arial" w:eastAsia="Arial" w:hAnsi="Arial"/>
                <w:sz w:val="7"/>
                <w:szCs w:val="7"/>
                <w:color w:val="auto"/>
              </w:rPr>
              <w:t>​​ ​ ​</w:t>
            </w:r>
          </w:p>
        </w:tc>
        <w:tc>
          <w:tcPr>
            <w:tcW w:w="480" w:type="dxa"/>
            <w:vAlign w:val="bottom"/>
            <w:tcBorders>
              <w:bottom w:val="single" w:sz="8" w:color="E7417A"/>
            </w:tcBorders>
          </w:tcPr>
          <w:p>
            <w:pPr>
              <w:spacing w:after="0"/>
              <w:rPr>
                <w:sz w:val="5"/>
                <w:szCs w:val="5"/>
                <w:color w:val="auto"/>
              </w:rPr>
            </w:pPr>
          </w:p>
        </w:tc>
        <w:tc>
          <w:tcPr>
            <w:tcW w:w="120" w:type="dxa"/>
            <w:vAlign w:val="bottom"/>
            <w:tcBorders>
              <w:bottom w:val="single" w:sz="8" w:color="E7417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580" w:type="dxa"/>
            <w:vAlign w:val="bottom"/>
            <w:tcBorders>
              <w:bottom w:val="single" w:sz="8" w:color="62259D"/>
            </w:tcBorders>
            <w:gridSpan w:val="2"/>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Total All Other Compensation</w:t>
            </w:r>
          </w:p>
        </w:tc>
        <w:tc>
          <w:tcPr>
            <w:tcW w:w="180" w:type="dxa"/>
            <w:vAlign w:val="bottom"/>
            <w:tcBorders>
              <w:bottom w:val="single" w:sz="8" w:color="62259D"/>
            </w:tcBorders>
          </w:tcPr>
          <w:p>
            <w:pPr>
              <w:ind w:left="20"/>
              <w:spacing w:after="0"/>
              <w:rPr>
                <w:sz w:val="20"/>
                <w:szCs w:val="20"/>
                <w:color w:val="auto"/>
              </w:rPr>
            </w:pPr>
            <w:r>
              <w:rPr>
                <w:rFonts w:ascii="Arial" w:cs="Arial" w:eastAsia="Arial" w:hAnsi="Arial"/>
                <w:sz w:val="16"/>
                <w:szCs w:val="16"/>
                <w:color w:val="auto"/>
              </w:rPr>
              <w:t>​ ​</w:t>
            </w:r>
          </w:p>
        </w:tc>
        <w:tc>
          <w:tcPr>
            <w:tcW w:w="940" w:type="dxa"/>
            <w:vAlign w:val="bottom"/>
            <w:tcBorders>
              <w:bottom w:val="single" w:sz="8" w:color="62259D"/>
            </w:tcBorders>
            <w:gridSpan w:val="2"/>
          </w:tcPr>
          <w:p>
            <w:pPr>
              <w:jc w:val="right"/>
              <w:ind w:right="9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36,550</w:t>
            </w:r>
          </w:p>
        </w:tc>
        <w:tc>
          <w:tcPr>
            <w:tcW w:w="220" w:type="dxa"/>
            <w:vAlign w:val="bottom"/>
            <w:tcBorders>
              <w:bottom w:val="single" w:sz="8" w:color="62259D"/>
            </w:tcBorders>
          </w:tcPr>
          <w:p>
            <w:pPr>
              <w:ind w:left="20"/>
              <w:spacing w:after="0"/>
              <w:rPr>
                <w:sz w:val="20"/>
                <w:szCs w:val="20"/>
                <w:color w:val="auto"/>
              </w:rPr>
            </w:pPr>
            <w:r>
              <w:rPr>
                <w:rFonts w:ascii="Arial" w:cs="Arial" w:eastAsia="Arial" w:hAnsi="Arial"/>
                <w:sz w:val="16"/>
                <w:szCs w:val="16"/>
                <w:color w:val="auto"/>
              </w:rPr>
              <w:t>​​ ​</w:t>
            </w:r>
          </w:p>
        </w:tc>
        <w:tc>
          <w:tcPr>
            <w:tcW w:w="860" w:type="dxa"/>
            <w:vAlign w:val="bottom"/>
            <w:tcBorders>
              <w:bottom w:val="single" w:sz="8" w:color="62259D"/>
            </w:tcBorders>
            <w:gridSpan w:val="2"/>
          </w:tcPr>
          <w:p>
            <w:pPr>
              <w:jc w:val="right"/>
              <w:ind w:right="9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4,066</w:t>
            </w:r>
          </w:p>
        </w:tc>
        <w:tc>
          <w:tcPr>
            <w:tcW w:w="920" w:type="dxa"/>
            <w:vAlign w:val="bottom"/>
            <w:tcBorders>
              <w:bottom w:val="single" w:sz="8" w:color="62259D"/>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5"/>
                <w:szCs w:val="15"/>
                <w:color w:val="auto"/>
              </w:rPr>
              <w:t>​18,270</w:t>
            </w:r>
            <w:r>
              <w:rPr>
                <w:rFonts w:ascii="Arial" w:cs="Arial" w:eastAsia="Arial" w:hAnsi="Arial"/>
                <w:sz w:val="28"/>
                <w:szCs w:val="28"/>
                <w:color w:val="auto"/>
                <w:vertAlign w:val="subscript"/>
              </w:rPr>
              <w:t>​ ​</w:t>
            </w:r>
          </w:p>
        </w:tc>
        <w:tc>
          <w:tcPr>
            <w:tcW w:w="920" w:type="dxa"/>
            <w:vAlign w:val="bottom"/>
            <w:tcBorders>
              <w:bottom w:val="single" w:sz="8" w:color="62259D"/>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36,863 </w:t>
            </w:r>
            <w:r>
              <w:rPr>
                <w:rFonts w:ascii="Arial" w:cs="Arial" w:eastAsia="Arial" w:hAnsi="Arial"/>
                <w:sz w:val="28"/>
                <w:szCs w:val="28"/>
                <w:color w:val="auto"/>
                <w:vertAlign w:val="subscript"/>
              </w:rPr>
              <w:t>​​ ​</w:t>
            </w:r>
          </w:p>
        </w:tc>
        <w:tc>
          <w:tcPr>
            <w:tcW w:w="180" w:type="dxa"/>
            <w:vAlign w:val="bottom"/>
            <w:tcBorders>
              <w:bottom w:val="single" w:sz="8" w:color="62259D"/>
            </w:tcBorders>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640" w:type="dxa"/>
            <w:vAlign w:val="bottom"/>
            <w:tcBorders>
              <w:bottom w:val="single" w:sz="8" w:color="62259D"/>
            </w:tcBorders>
          </w:tcPr>
          <w:p>
            <w:pPr>
              <w:jc w:val="right"/>
              <w:ind w:right="19"/>
              <w:spacing w:after="0"/>
              <w:rPr>
                <w:sz w:val="20"/>
                <w:szCs w:val="20"/>
                <w:color w:val="auto"/>
              </w:rPr>
            </w:pPr>
            <w:r>
              <w:rPr>
                <w:rFonts w:ascii="Arial" w:cs="Arial" w:eastAsia="Arial" w:hAnsi="Arial"/>
                <w:sz w:val="16"/>
                <w:szCs w:val="16"/>
                <w:color w:val="auto"/>
              </w:rPr>
              <w:t>36,831</w:t>
            </w:r>
          </w:p>
        </w:tc>
        <w:tc>
          <w:tcPr>
            <w:tcW w:w="940" w:type="dxa"/>
            <w:vAlign w:val="bottom"/>
            <w:tcBorders>
              <w:bottom w:val="single" w:sz="8" w:color="62259D"/>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5"/>
                <w:szCs w:val="15"/>
                <w:color w:val="auto"/>
              </w:rPr>
              <w:t>​ 16,269</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52</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63" w:lineRule="exact"/>
        <w:rPr>
          <w:sz w:val="20"/>
          <w:szCs w:val="20"/>
          <w:color w:val="auto"/>
        </w:rPr>
      </w:pPr>
    </w:p>
    <w:p>
      <w:pPr>
        <w:ind w:left="1760" w:hanging="368"/>
        <w:spacing w:after="0"/>
        <w:tabs>
          <w:tab w:leader="none" w:pos="1760" w:val="left"/>
        </w:tabs>
        <w:numPr>
          <w:ilvl w:val="1"/>
          <w:numId w:val="112"/>
        </w:numPr>
        <w:rPr>
          <w:rFonts w:ascii="Arial" w:cs="Arial" w:eastAsia="Arial" w:hAnsi="Arial"/>
          <w:sz w:val="14"/>
          <w:szCs w:val="14"/>
          <w:color w:val="auto"/>
        </w:rPr>
      </w:pPr>
      <w:r>
        <w:rPr>
          <w:rFonts w:ascii="Arial" w:cs="Arial" w:eastAsia="Arial" w:hAnsi="Arial"/>
          <w:sz w:val="14"/>
          <w:szCs w:val="14"/>
          <w:color w:val="auto"/>
        </w:rPr>
        <w:t>Represents the Company’s portion of such benefits.</w:t>
      </w:r>
    </w:p>
    <w:p>
      <w:pPr>
        <w:spacing w:after="0" w:line="149" w:lineRule="exact"/>
        <w:rPr>
          <w:rFonts w:ascii="Arial" w:cs="Arial" w:eastAsia="Arial" w:hAnsi="Arial"/>
          <w:sz w:val="14"/>
          <w:szCs w:val="14"/>
          <w:color w:val="auto"/>
        </w:rPr>
      </w:pPr>
    </w:p>
    <w:p>
      <w:pPr>
        <w:ind w:left="1760" w:right="139" w:hanging="368"/>
        <w:spacing w:after="0" w:line="305" w:lineRule="auto"/>
        <w:tabs>
          <w:tab w:leader="none" w:pos="1760" w:val="left"/>
        </w:tabs>
        <w:numPr>
          <w:ilvl w:val="1"/>
          <w:numId w:val="112"/>
        </w:numPr>
        <w:rPr>
          <w:rFonts w:ascii="Arial" w:cs="Arial" w:eastAsia="Arial" w:hAnsi="Arial"/>
          <w:sz w:val="14"/>
          <w:szCs w:val="14"/>
          <w:color w:val="auto"/>
        </w:rPr>
      </w:pPr>
      <w:r>
        <w:rPr>
          <w:rFonts w:ascii="Arial" w:cs="Arial" w:eastAsia="Arial" w:hAnsi="Arial"/>
          <w:sz w:val="14"/>
          <w:szCs w:val="14"/>
          <w:color w:val="auto"/>
        </w:rPr>
        <w:t>Represents pension and profit sharing contributions or Mr. Bucci and the Company’s 401(k) matching contributions for all other NEOs.</w:t>
      </w:r>
    </w:p>
    <w:p>
      <w:pPr>
        <w:spacing w:after="0" w:line="171" w:lineRule="exact"/>
        <w:rPr>
          <w:rFonts w:ascii="Arial" w:cs="Arial" w:eastAsia="Arial" w:hAnsi="Arial"/>
          <w:sz w:val="14"/>
          <w:szCs w:val="14"/>
          <w:color w:val="auto"/>
        </w:rPr>
      </w:pPr>
    </w:p>
    <w:p>
      <w:pPr>
        <w:ind w:left="1400" w:hanging="368"/>
        <w:spacing w:after="0"/>
        <w:tabs>
          <w:tab w:leader="none" w:pos="14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Reflect pro rated amounts based on time employed during 2024.</w:t>
      </w:r>
    </w:p>
    <w:p>
      <w:pPr>
        <w:spacing w:after="0" w:line="82" w:lineRule="exact"/>
        <w:rPr>
          <w:rFonts w:ascii="Arial" w:cs="Arial" w:eastAsia="Arial" w:hAnsi="Arial"/>
          <w:sz w:val="14"/>
          <w:szCs w:val="14"/>
          <w:color w:val="auto"/>
        </w:rPr>
      </w:pPr>
    </w:p>
    <w:p>
      <w:pPr>
        <w:ind w:left="1400" w:hanging="368"/>
        <w:spacing w:after="0"/>
        <w:tabs>
          <w:tab w:leader="none" w:pos="14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Mr. Bucci’s compensation is paid in Canadian dollars. Amounts shown have been converted to U.S. dollars.</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Grants of Plan-Based Awards in 2024</w:t>
      </w:r>
    </w:p>
    <w:p>
      <w:pPr>
        <w:spacing w:after="0" w:line="139" w:lineRule="exact"/>
        <w:rPr>
          <w:sz w:val="20"/>
          <w:szCs w:val="20"/>
          <w:color w:val="auto"/>
        </w:rPr>
      </w:pPr>
    </w:p>
    <w:p>
      <w:pPr>
        <w:ind w:left="920" w:right="339"/>
        <w:spacing w:after="0" w:line="271" w:lineRule="auto"/>
        <w:rPr>
          <w:sz w:val="20"/>
          <w:szCs w:val="20"/>
          <w:color w:val="auto"/>
        </w:rPr>
      </w:pPr>
      <w:r>
        <w:rPr>
          <w:rFonts w:ascii="Arial" w:cs="Arial" w:eastAsia="Arial" w:hAnsi="Arial"/>
          <w:sz w:val="18"/>
          <w:szCs w:val="18"/>
          <w:color w:val="auto"/>
        </w:rPr>
        <w:t>The following table sets forth information about incentive plan awards made to the NEOs during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49530</wp:posOffset>
            </wp:positionV>
            <wp:extent cx="51435" cy="53149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1435" cy="531495"/>
                    </a:xfrm>
                    <a:prstGeom prst="rect">
                      <a:avLst/>
                    </a:prstGeom>
                    <a:noFill/>
                  </pic:spPr>
                </pic:pic>
              </a:graphicData>
            </a:graphic>
          </wp:anchor>
        </w:drawing>
      </w:r>
    </w:p>
    <w:p>
      <w:pPr>
        <w:spacing w:after="0" w:line="58" w:lineRule="exact"/>
        <w:rPr>
          <w:sz w:val="20"/>
          <w:szCs w:val="20"/>
          <w:color w:val="auto"/>
        </w:rPr>
      </w:pPr>
    </w:p>
    <w:tbl>
      <w:tblPr>
        <w:tblLayout w:type="fixed"/>
        <w:tblInd w:w="920" w:type="dxa"/>
        <w:tblCellMar>
          <w:top w:w="0" w:type="dxa"/>
          <w:left w:w="0" w:type="dxa"/>
          <w:bottom w:w="0" w:type="dxa"/>
          <w:right w:w="0" w:type="dxa"/>
        </w:tblCellMar>
      </w:tblPr>
      <w:tr>
        <w:trPr>
          <w:trHeight w:val="183"/>
        </w:trPr>
        <w:tc>
          <w:tcPr>
            <w:tcW w:w="80" w:type="dxa"/>
            <w:vAlign w:val="bottom"/>
            <w:shd w:val="clear" w:color="auto" w:fill="62259D"/>
          </w:tcPr>
          <w:p>
            <w:pPr>
              <w:spacing w:after="0"/>
              <w:rPr>
                <w:sz w:val="15"/>
                <w:szCs w:val="15"/>
                <w:color w:val="auto"/>
              </w:rPr>
            </w:pPr>
          </w:p>
        </w:tc>
        <w:tc>
          <w:tcPr>
            <w:tcW w:w="920" w:type="dxa"/>
            <w:vAlign w:val="bottom"/>
            <w:shd w:val="clear" w:color="auto" w:fill="62259D"/>
          </w:tcPr>
          <w:p>
            <w:pPr>
              <w:spacing w:after="0"/>
              <w:rPr>
                <w:sz w:val="15"/>
                <w:szCs w:val="15"/>
                <w:color w:val="auto"/>
              </w:rPr>
            </w:pPr>
          </w:p>
        </w:tc>
        <w:tc>
          <w:tcPr>
            <w:tcW w:w="60" w:type="dxa"/>
            <w:vAlign w:val="bottom"/>
            <w:shd w:val="clear" w:color="auto" w:fill="62259D"/>
          </w:tcPr>
          <w:p>
            <w:pPr>
              <w:spacing w:after="0"/>
              <w:rPr>
                <w:sz w:val="15"/>
                <w:szCs w:val="15"/>
                <w:color w:val="auto"/>
              </w:rPr>
            </w:pPr>
          </w:p>
        </w:tc>
        <w:tc>
          <w:tcPr>
            <w:tcW w:w="160" w:type="dxa"/>
            <w:vAlign w:val="bottom"/>
            <w:shd w:val="clear" w:color="auto" w:fill="62259D"/>
          </w:tcPr>
          <w:p>
            <w:pPr>
              <w:spacing w:after="0"/>
              <w:rPr>
                <w:sz w:val="15"/>
                <w:szCs w:val="15"/>
                <w:color w:val="auto"/>
              </w:rPr>
            </w:pPr>
          </w:p>
        </w:tc>
        <w:tc>
          <w:tcPr>
            <w:tcW w:w="980" w:type="dxa"/>
            <w:vAlign w:val="bottom"/>
            <w:shd w:val="clear" w:color="auto" w:fill="62259D"/>
          </w:tcPr>
          <w:p>
            <w:pPr>
              <w:spacing w:after="0"/>
              <w:rPr>
                <w:sz w:val="15"/>
                <w:szCs w:val="15"/>
                <w:color w:val="auto"/>
              </w:rPr>
            </w:pPr>
          </w:p>
        </w:tc>
        <w:tc>
          <w:tcPr>
            <w:tcW w:w="220" w:type="dxa"/>
            <w:vAlign w:val="bottom"/>
            <w:shd w:val="clear" w:color="auto" w:fill="62259D"/>
          </w:tcPr>
          <w:p>
            <w:pPr>
              <w:spacing w:after="0"/>
              <w:rPr>
                <w:sz w:val="15"/>
                <w:szCs w:val="15"/>
                <w:color w:val="auto"/>
              </w:rPr>
            </w:pPr>
          </w:p>
        </w:tc>
        <w:tc>
          <w:tcPr>
            <w:tcW w:w="2120" w:type="dxa"/>
            <w:vAlign w:val="bottom"/>
            <w:gridSpan w:val="4"/>
            <w:shd w:val="clear" w:color="auto" w:fill="62259D"/>
          </w:tcPr>
          <w:p>
            <w:pPr>
              <w:jc w:val="center"/>
              <w:spacing w:after="0"/>
              <w:rPr>
                <w:sz w:val="20"/>
                <w:szCs w:val="20"/>
                <w:color w:val="auto"/>
              </w:rPr>
            </w:pPr>
            <w:r>
              <w:rPr>
                <w:rFonts w:ascii="Arial" w:cs="Arial" w:eastAsia="Arial" w:hAnsi="Arial"/>
                <w:sz w:val="13"/>
                <w:szCs w:val="13"/>
                <w:b w:val="1"/>
                <w:bCs w:val="1"/>
                <w:color w:val="FEFEFE"/>
              </w:rPr>
              <w:t>Estimated Future Payouts</w:t>
            </w:r>
          </w:p>
        </w:tc>
        <w:tc>
          <w:tcPr>
            <w:tcW w:w="200" w:type="dxa"/>
            <w:vAlign w:val="bottom"/>
            <w:shd w:val="clear" w:color="auto" w:fill="62259D"/>
          </w:tcPr>
          <w:p>
            <w:pPr>
              <w:spacing w:after="0"/>
              <w:rPr>
                <w:sz w:val="15"/>
                <w:szCs w:val="15"/>
                <w:color w:val="auto"/>
              </w:rPr>
            </w:pPr>
          </w:p>
        </w:tc>
        <w:tc>
          <w:tcPr>
            <w:tcW w:w="1940" w:type="dxa"/>
            <w:vAlign w:val="bottom"/>
            <w:gridSpan w:val="5"/>
            <w:shd w:val="clear" w:color="auto" w:fill="62259D"/>
          </w:tcPr>
          <w:p>
            <w:pPr>
              <w:jc w:val="right"/>
              <w:spacing w:after="0"/>
              <w:rPr>
                <w:sz w:val="20"/>
                <w:szCs w:val="20"/>
                <w:color w:val="auto"/>
              </w:rPr>
            </w:pPr>
            <w:r>
              <w:rPr>
                <w:rFonts w:ascii="Arial" w:cs="Arial" w:eastAsia="Arial" w:hAnsi="Arial"/>
                <w:sz w:val="13"/>
                <w:szCs w:val="13"/>
                <w:b w:val="1"/>
                <w:bCs w:val="1"/>
                <w:color w:val="FEFEFE"/>
              </w:rPr>
              <w:t>Estimated Future Payouts</w:t>
            </w:r>
          </w:p>
        </w:tc>
        <w:tc>
          <w:tcPr>
            <w:tcW w:w="220" w:type="dxa"/>
            <w:vAlign w:val="bottom"/>
            <w:shd w:val="clear" w:color="auto" w:fill="62259D"/>
          </w:tcPr>
          <w:p>
            <w:pPr>
              <w:spacing w:after="0"/>
              <w:rPr>
                <w:sz w:val="15"/>
                <w:szCs w:val="15"/>
                <w:color w:val="auto"/>
              </w:rPr>
            </w:pPr>
          </w:p>
        </w:tc>
        <w:tc>
          <w:tcPr>
            <w:tcW w:w="60" w:type="dxa"/>
            <w:vAlign w:val="bottom"/>
            <w:shd w:val="clear" w:color="auto" w:fill="62259D"/>
          </w:tcPr>
          <w:p>
            <w:pPr>
              <w:spacing w:after="0"/>
              <w:rPr>
                <w:sz w:val="15"/>
                <w:szCs w:val="15"/>
                <w:color w:val="auto"/>
              </w:rPr>
            </w:pPr>
          </w:p>
        </w:tc>
        <w:tc>
          <w:tcPr>
            <w:tcW w:w="80" w:type="dxa"/>
            <w:vAlign w:val="bottom"/>
            <w:shd w:val="clear" w:color="auto" w:fill="62259D"/>
          </w:tcPr>
          <w:p>
            <w:pPr>
              <w:spacing w:after="0"/>
              <w:rPr>
                <w:sz w:val="15"/>
                <w:szCs w:val="15"/>
                <w:color w:val="auto"/>
              </w:rPr>
            </w:pPr>
          </w:p>
        </w:tc>
        <w:tc>
          <w:tcPr>
            <w:tcW w:w="200" w:type="dxa"/>
            <w:vAlign w:val="bottom"/>
            <w:shd w:val="clear" w:color="auto" w:fill="62259D"/>
          </w:tcPr>
          <w:p>
            <w:pPr>
              <w:spacing w:after="0"/>
              <w:rPr>
                <w:sz w:val="15"/>
                <w:szCs w:val="15"/>
                <w:color w:val="auto"/>
              </w:rPr>
            </w:pPr>
          </w:p>
        </w:tc>
        <w:tc>
          <w:tcPr>
            <w:tcW w:w="580" w:type="dxa"/>
            <w:vAlign w:val="bottom"/>
            <w:shd w:val="clear" w:color="auto" w:fill="62259D"/>
          </w:tcPr>
          <w:p>
            <w:pPr>
              <w:spacing w:after="0"/>
              <w:rPr>
                <w:sz w:val="15"/>
                <w:szCs w:val="15"/>
                <w:color w:val="auto"/>
              </w:rPr>
            </w:pPr>
          </w:p>
        </w:tc>
        <w:tc>
          <w:tcPr>
            <w:tcW w:w="180" w:type="dxa"/>
            <w:vAlign w:val="bottom"/>
            <w:shd w:val="clear" w:color="auto" w:fill="62259D"/>
          </w:tcPr>
          <w:p>
            <w:pPr>
              <w:spacing w:after="0"/>
              <w:rPr>
                <w:sz w:val="15"/>
                <w:szCs w:val="15"/>
                <w:color w:val="auto"/>
              </w:rPr>
            </w:pPr>
          </w:p>
        </w:tc>
        <w:tc>
          <w:tcPr>
            <w:tcW w:w="74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Grant Date</w:t>
            </w:r>
          </w:p>
        </w:tc>
        <w:tc>
          <w:tcPr>
            <w:tcW w:w="120" w:type="dxa"/>
            <w:vAlign w:val="bottom"/>
            <w:shd w:val="clear" w:color="auto" w:fill="62259D"/>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80" w:type="dxa"/>
            <w:vAlign w:val="bottom"/>
            <w:shd w:val="clear" w:color="auto" w:fill="62259D"/>
          </w:tcPr>
          <w:p>
            <w:pPr>
              <w:spacing w:after="0"/>
              <w:rPr>
                <w:sz w:val="13"/>
                <w:szCs w:val="13"/>
                <w:color w:val="auto"/>
              </w:rPr>
            </w:pPr>
          </w:p>
        </w:tc>
        <w:tc>
          <w:tcPr>
            <w:tcW w:w="920" w:type="dxa"/>
            <w:vAlign w:val="bottom"/>
            <w:shd w:val="clear" w:color="auto" w:fill="62259D"/>
          </w:tcPr>
          <w:p>
            <w:pPr>
              <w:spacing w:after="0"/>
              <w:rPr>
                <w:sz w:val="13"/>
                <w:szCs w:val="13"/>
                <w:color w:val="auto"/>
              </w:rPr>
            </w:pPr>
          </w:p>
        </w:tc>
        <w:tc>
          <w:tcPr>
            <w:tcW w:w="60" w:type="dxa"/>
            <w:vAlign w:val="bottom"/>
            <w:shd w:val="clear" w:color="auto" w:fill="62259D"/>
          </w:tcPr>
          <w:p>
            <w:pPr>
              <w:spacing w:after="0"/>
              <w:rPr>
                <w:sz w:val="13"/>
                <w:szCs w:val="13"/>
                <w:color w:val="auto"/>
              </w:rPr>
            </w:pPr>
          </w:p>
        </w:tc>
        <w:tc>
          <w:tcPr>
            <w:tcW w:w="160" w:type="dxa"/>
            <w:vAlign w:val="bottom"/>
            <w:shd w:val="clear" w:color="auto" w:fill="62259D"/>
          </w:tcPr>
          <w:p>
            <w:pPr>
              <w:spacing w:after="0"/>
              <w:rPr>
                <w:sz w:val="13"/>
                <w:szCs w:val="13"/>
                <w:color w:val="auto"/>
              </w:rPr>
            </w:pPr>
          </w:p>
        </w:tc>
        <w:tc>
          <w:tcPr>
            <w:tcW w:w="980" w:type="dxa"/>
            <w:vAlign w:val="bottom"/>
            <w:shd w:val="clear" w:color="auto" w:fill="62259D"/>
          </w:tcPr>
          <w:p>
            <w:pPr>
              <w:spacing w:after="0"/>
              <w:rPr>
                <w:sz w:val="13"/>
                <w:szCs w:val="13"/>
                <w:color w:val="auto"/>
              </w:rPr>
            </w:pPr>
          </w:p>
        </w:tc>
        <w:tc>
          <w:tcPr>
            <w:tcW w:w="220" w:type="dxa"/>
            <w:vAlign w:val="bottom"/>
            <w:shd w:val="clear" w:color="auto" w:fill="62259D"/>
          </w:tcPr>
          <w:p>
            <w:pPr>
              <w:spacing w:after="0"/>
              <w:rPr>
                <w:sz w:val="13"/>
                <w:szCs w:val="13"/>
                <w:color w:val="auto"/>
              </w:rPr>
            </w:pPr>
          </w:p>
        </w:tc>
        <w:tc>
          <w:tcPr>
            <w:tcW w:w="2120" w:type="dxa"/>
            <w:vAlign w:val="bottom"/>
            <w:gridSpan w:val="4"/>
            <w:shd w:val="clear" w:color="auto" w:fill="62259D"/>
          </w:tcPr>
          <w:p>
            <w:pPr>
              <w:jc w:val="center"/>
              <w:spacing w:after="0"/>
              <w:rPr>
                <w:sz w:val="20"/>
                <w:szCs w:val="20"/>
                <w:color w:val="auto"/>
              </w:rPr>
            </w:pPr>
            <w:r>
              <w:rPr>
                <w:rFonts w:ascii="Arial" w:cs="Arial" w:eastAsia="Arial" w:hAnsi="Arial"/>
                <w:sz w:val="13"/>
                <w:szCs w:val="13"/>
                <w:b w:val="1"/>
                <w:bCs w:val="1"/>
                <w:color w:val="FEFEFE"/>
              </w:rPr>
              <w:t>Under Non-Equity</w:t>
            </w:r>
          </w:p>
        </w:tc>
        <w:tc>
          <w:tcPr>
            <w:tcW w:w="200" w:type="dxa"/>
            <w:vAlign w:val="bottom"/>
            <w:shd w:val="clear" w:color="auto" w:fill="62259D"/>
          </w:tcPr>
          <w:p>
            <w:pPr>
              <w:spacing w:after="0"/>
              <w:rPr>
                <w:sz w:val="13"/>
                <w:szCs w:val="13"/>
                <w:color w:val="auto"/>
              </w:rPr>
            </w:pPr>
          </w:p>
        </w:tc>
        <w:tc>
          <w:tcPr>
            <w:tcW w:w="1940" w:type="dxa"/>
            <w:vAlign w:val="bottom"/>
            <w:gridSpan w:val="5"/>
            <w:shd w:val="clear" w:color="auto" w:fill="62259D"/>
          </w:tcPr>
          <w:p>
            <w:pPr>
              <w:jc w:val="right"/>
              <w:ind w:right="73"/>
              <w:spacing w:after="0"/>
              <w:rPr>
                <w:sz w:val="20"/>
                <w:szCs w:val="20"/>
                <w:color w:val="auto"/>
              </w:rPr>
            </w:pPr>
            <w:r>
              <w:rPr>
                <w:rFonts w:ascii="Arial" w:cs="Arial" w:eastAsia="Arial" w:hAnsi="Arial"/>
                <w:sz w:val="13"/>
                <w:szCs w:val="13"/>
                <w:b w:val="1"/>
                <w:bCs w:val="1"/>
                <w:color w:val="FEFEFE"/>
              </w:rPr>
              <w:t>Under Equity Incentive</w:t>
            </w:r>
          </w:p>
        </w:tc>
        <w:tc>
          <w:tcPr>
            <w:tcW w:w="220" w:type="dxa"/>
            <w:vAlign w:val="bottom"/>
            <w:shd w:val="clear" w:color="auto" w:fill="62259D"/>
          </w:tcPr>
          <w:p>
            <w:pPr>
              <w:spacing w:after="0"/>
              <w:rPr>
                <w:sz w:val="13"/>
                <w:szCs w:val="13"/>
                <w:color w:val="auto"/>
              </w:rPr>
            </w:pPr>
          </w:p>
        </w:tc>
        <w:tc>
          <w:tcPr>
            <w:tcW w:w="60" w:type="dxa"/>
            <w:vAlign w:val="bottom"/>
            <w:shd w:val="clear" w:color="auto" w:fill="62259D"/>
          </w:tcPr>
          <w:p>
            <w:pPr>
              <w:spacing w:after="0"/>
              <w:rPr>
                <w:sz w:val="13"/>
                <w:szCs w:val="13"/>
                <w:color w:val="auto"/>
              </w:rPr>
            </w:pPr>
          </w:p>
        </w:tc>
        <w:tc>
          <w:tcPr>
            <w:tcW w:w="80" w:type="dxa"/>
            <w:vAlign w:val="bottom"/>
            <w:shd w:val="clear" w:color="auto" w:fill="62259D"/>
          </w:tcPr>
          <w:p>
            <w:pPr>
              <w:spacing w:after="0"/>
              <w:rPr>
                <w:sz w:val="13"/>
                <w:szCs w:val="13"/>
                <w:color w:val="auto"/>
              </w:rPr>
            </w:pPr>
          </w:p>
        </w:tc>
        <w:tc>
          <w:tcPr>
            <w:tcW w:w="200" w:type="dxa"/>
            <w:vAlign w:val="bottom"/>
            <w:shd w:val="clear" w:color="auto" w:fill="62259D"/>
          </w:tcPr>
          <w:p>
            <w:pPr>
              <w:spacing w:after="0"/>
              <w:rPr>
                <w:sz w:val="13"/>
                <w:szCs w:val="13"/>
                <w:color w:val="auto"/>
              </w:rPr>
            </w:pPr>
          </w:p>
        </w:tc>
        <w:tc>
          <w:tcPr>
            <w:tcW w:w="580" w:type="dxa"/>
            <w:vAlign w:val="bottom"/>
            <w:shd w:val="clear" w:color="auto" w:fill="62259D"/>
          </w:tcPr>
          <w:p>
            <w:pPr>
              <w:spacing w:after="0"/>
              <w:rPr>
                <w:sz w:val="13"/>
                <w:szCs w:val="13"/>
                <w:color w:val="auto"/>
              </w:rPr>
            </w:pPr>
          </w:p>
        </w:tc>
        <w:tc>
          <w:tcPr>
            <w:tcW w:w="180" w:type="dxa"/>
            <w:vAlign w:val="bottom"/>
            <w:shd w:val="clear" w:color="auto" w:fill="62259D"/>
          </w:tcPr>
          <w:p>
            <w:pPr>
              <w:spacing w:after="0"/>
              <w:rPr>
                <w:sz w:val="13"/>
                <w:szCs w:val="13"/>
                <w:color w:val="auto"/>
              </w:rPr>
            </w:pPr>
          </w:p>
        </w:tc>
        <w:tc>
          <w:tcPr>
            <w:tcW w:w="74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Fair Value</w:t>
            </w:r>
          </w:p>
        </w:tc>
        <w:tc>
          <w:tcPr>
            <w:tcW w:w="120" w:type="dxa"/>
            <w:vAlign w:val="bottom"/>
            <w:shd w:val="clear" w:color="auto" w:fill="62259D"/>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00" w:type="dxa"/>
            <w:vAlign w:val="bottom"/>
            <w:gridSpan w:val="2"/>
            <w:shd w:val="clear" w:color="auto" w:fill="62259D"/>
          </w:tcPr>
          <w:p>
            <w:pPr>
              <w:jc w:val="right"/>
              <w:ind w:right="813"/>
              <w:spacing w:after="0"/>
              <w:rPr>
                <w:sz w:val="20"/>
                <w:szCs w:val="20"/>
                <w:color w:val="auto"/>
              </w:rPr>
            </w:pPr>
            <w:r>
              <w:rPr>
                <w:rFonts w:ascii="Arial" w:cs="Arial" w:eastAsia="Arial" w:hAnsi="Arial"/>
                <w:sz w:val="13"/>
                <w:szCs w:val="13"/>
                <w:b w:val="1"/>
                <w:bCs w:val="1"/>
                <w:color w:val="FEFEFE"/>
              </w:rPr>
              <w:t>​​</w:t>
            </w:r>
          </w:p>
        </w:tc>
        <w:tc>
          <w:tcPr>
            <w:tcW w:w="60" w:type="dxa"/>
            <w:vAlign w:val="bottom"/>
            <w:shd w:val="clear" w:color="auto" w:fill="62259D"/>
          </w:tcPr>
          <w:p>
            <w:pPr>
              <w:ind w:left="40"/>
              <w:spacing w:after="0"/>
              <w:rPr>
                <w:sz w:val="20"/>
                <w:szCs w:val="20"/>
                <w:color w:val="auto"/>
              </w:rPr>
            </w:pPr>
            <w:r>
              <w:rPr>
                <w:rFonts w:ascii="Arial" w:cs="Arial" w:eastAsia="Arial" w:hAnsi="Arial"/>
                <w:sz w:val="1"/>
                <w:szCs w:val="1"/>
                <w:b w:val="1"/>
                <w:bCs w:val="1"/>
                <w:color w:val="FEFEFE"/>
                <w:w w:val="4294942296"/>
              </w:rPr>
              <w:t>​</w:t>
            </w:r>
          </w:p>
        </w:tc>
        <w:tc>
          <w:tcPr>
            <w:tcW w:w="160" w:type="dxa"/>
            <w:vAlign w:val="bottom"/>
            <w:shd w:val="clear" w:color="auto" w:fill="62259D"/>
          </w:tcPr>
          <w:p>
            <w:pPr>
              <w:spacing w:after="0"/>
              <w:rPr>
                <w:sz w:val="15"/>
                <w:szCs w:val="15"/>
                <w:color w:val="auto"/>
              </w:rPr>
            </w:pPr>
          </w:p>
        </w:tc>
        <w:tc>
          <w:tcPr>
            <w:tcW w:w="980" w:type="dxa"/>
            <w:vAlign w:val="bottom"/>
            <w:shd w:val="clear" w:color="auto" w:fill="62259D"/>
          </w:tcPr>
          <w:p>
            <w:pPr>
              <w:spacing w:after="0"/>
              <w:rPr>
                <w:sz w:val="15"/>
                <w:szCs w:val="15"/>
                <w:color w:val="auto"/>
              </w:rPr>
            </w:pPr>
          </w:p>
        </w:tc>
        <w:tc>
          <w:tcPr>
            <w:tcW w:w="220" w:type="dxa"/>
            <w:vAlign w:val="bottom"/>
            <w:shd w:val="clear" w:color="auto" w:fill="62259D"/>
          </w:tcPr>
          <w:p>
            <w:pPr>
              <w:jc w:val="right"/>
              <w:spacing w:after="0"/>
              <w:rPr>
                <w:sz w:val="20"/>
                <w:szCs w:val="20"/>
                <w:color w:val="auto"/>
              </w:rPr>
            </w:pPr>
            <w:r>
              <w:rPr>
                <w:rFonts w:ascii="Arial" w:cs="Arial" w:eastAsia="Arial" w:hAnsi="Arial"/>
                <w:sz w:val="13"/>
                <w:szCs w:val="13"/>
                <w:b w:val="1"/>
                <w:bCs w:val="1"/>
                <w:color w:val="FEFEFE"/>
              </w:rPr>
              <w:t>​</w:t>
            </w:r>
          </w:p>
        </w:tc>
        <w:tc>
          <w:tcPr>
            <w:tcW w:w="2120" w:type="dxa"/>
            <w:vAlign w:val="bottom"/>
            <w:gridSpan w:val="4"/>
            <w:shd w:val="clear" w:color="auto" w:fill="62259D"/>
          </w:tcPr>
          <w:p>
            <w:pPr>
              <w:ind w:left="300"/>
              <w:spacing w:after="0" w:line="162" w:lineRule="exact"/>
              <w:rPr>
                <w:sz w:val="20"/>
                <w:szCs w:val="20"/>
                <w:color w:val="auto"/>
              </w:rPr>
            </w:pPr>
            <w:r>
              <w:rPr>
                <w:rFonts w:ascii="Arial" w:cs="Arial" w:eastAsia="Arial" w:hAnsi="Arial"/>
                <w:sz w:val="13"/>
                <w:szCs w:val="13"/>
                <w:b w:val="1"/>
                <w:bCs w:val="1"/>
                <w:color w:val="FEFEFE"/>
              </w:rPr>
              <w:t>Incentive Plan Awards</w:t>
            </w:r>
            <w:r>
              <w:rPr>
                <w:rFonts w:ascii="Arial" w:cs="Arial" w:eastAsia="Arial" w:hAnsi="Arial"/>
                <w:sz w:val="16"/>
                <w:szCs w:val="16"/>
                <w:b w:val="1"/>
                <w:bCs w:val="1"/>
                <w:color w:val="FEFEFE"/>
                <w:vertAlign w:val="superscript"/>
              </w:rPr>
              <w:t>(1)</w:t>
            </w:r>
          </w:p>
        </w:tc>
        <w:tc>
          <w:tcPr>
            <w:tcW w:w="200" w:type="dxa"/>
            <w:vAlign w:val="bottom"/>
            <w:shd w:val="clear" w:color="auto" w:fill="62259D"/>
          </w:tcPr>
          <w:p>
            <w:pPr>
              <w:ind w:left="80"/>
              <w:spacing w:after="0"/>
              <w:rPr>
                <w:sz w:val="20"/>
                <w:szCs w:val="20"/>
                <w:color w:val="auto"/>
              </w:rPr>
            </w:pPr>
            <w:r>
              <w:rPr>
                <w:rFonts w:ascii="Arial" w:cs="Arial" w:eastAsia="Arial" w:hAnsi="Arial"/>
                <w:sz w:val="13"/>
                <w:szCs w:val="13"/>
                <w:b w:val="1"/>
                <w:bCs w:val="1"/>
                <w:color w:val="FEFEFE"/>
              </w:rPr>
              <w:t>​ ​</w:t>
            </w:r>
          </w:p>
        </w:tc>
        <w:tc>
          <w:tcPr>
            <w:tcW w:w="1540" w:type="dxa"/>
            <w:vAlign w:val="bottom"/>
            <w:gridSpan w:val="3"/>
            <w:shd w:val="clear" w:color="auto" w:fill="62259D"/>
          </w:tcPr>
          <w:p>
            <w:pPr>
              <w:jc w:val="right"/>
              <w:spacing w:after="0" w:line="162" w:lineRule="exact"/>
              <w:rPr>
                <w:sz w:val="20"/>
                <w:szCs w:val="20"/>
                <w:color w:val="auto"/>
              </w:rPr>
            </w:pPr>
            <w:r>
              <w:rPr>
                <w:rFonts w:ascii="Arial" w:cs="Arial" w:eastAsia="Arial" w:hAnsi="Arial"/>
                <w:sz w:val="13"/>
                <w:szCs w:val="13"/>
                <w:b w:val="1"/>
                <w:bCs w:val="1"/>
                <w:color w:val="FEFEFE"/>
              </w:rPr>
              <w:t>Plan Awards</w:t>
            </w:r>
            <w:r>
              <w:rPr>
                <w:rFonts w:ascii="Arial" w:cs="Arial" w:eastAsia="Arial" w:hAnsi="Arial"/>
                <w:sz w:val="16"/>
                <w:szCs w:val="16"/>
                <w:b w:val="1"/>
                <w:bCs w:val="1"/>
                <w:color w:val="FEFEFE"/>
                <w:vertAlign w:val="superscript"/>
              </w:rPr>
              <w:t>(1)</w:t>
            </w:r>
          </w:p>
        </w:tc>
        <w:tc>
          <w:tcPr>
            <w:tcW w:w="100" w:type="dxa"/>
            <w:vAlign w:val="bottom"/>
            <w:shd w:val="clear" w:color="auto" w:fill="62259D"/>
          </w:tcPr>
          <w:p>
            <w:pPr>
              <w:spacing w:after="0"/>
              <w:rPr>
                <w:sz w:val="15"/>
                <w:szCs w:val="15"/>
                <w:color w:val="auto"/>
              </w:rPr>
            </w:pPr>
          </w:p>
        </w:tc>
        <w:tc>
          <w:tcPr>
            <w:tcW w:w="300" w:type="dxa"/>
            <w:vAlign w:val="bottom"/>
            <w:shd w:val="clear" w:color="auto" w:fill="62259D"/>
          </w:tcPr>
          <w:p>
            <w:pPr>
              <w:spacing w:after="0"/>
              <w:rPr>
                <w:sz w:val="15"/>
                <w:szCs w:val="15"/>
                <w:color w:val="auto"/>
              </w:rPr>
            </w:pPr>
          </w:p>
        </w:tc>
        <w:tc>
          <w:tcPr>
            <w:tcW w:w="220" w:type="dxa"/>
            <w:vAlign w:val="bottom"/>
            <w:shd w:val="clear" w:color="auto" w:fill="62259D"/>
          </w:tcPr>
          <w:p>
            <w:pPr>
              <w:spacing w:after="0"/>
              <w:rPr>
                <w:sz w:val="15"/>
                <w:szCs w:val="15"/>
                <w:color w:val="auto"/>
              </w:rPr>
            </w:pPr>
          </w:p>
        </w:tc>
        <w:tc>
          <w:tcPr>
            <w:tcW w:w="60" w:type="dxa"/>
            <w:vAlign w:val="bottom"/>
            <w:shd w:val="clear" w:color="auto" w:fill="62259D"/>
          </w:tcPr>
          <w:p>
            <w:pPr>
              <w:ind w:left="40"/>
              <w:spacing w:after="0"/>
              <w:rPr>
                <w:sz w:val="20"/>
                <w:szCs w:val="20"/>
                <w:color w:val="auto"/>
              </w:rPr>
            </w:pPr>
            <w:r>
              <w:rPr>
                <w:rFonts w:ascii="Arial" w:cs="Arial" w:eastAsia="Arial" w:hAnsi="Arial"/>
                <w:sz w:val="1"/>
                <w:szCs w:val="1"/>
                <w:b w:val="1"/>
                <w:bCs w:val="1"/>
                <w:color w:val="FEFEFE"/>
                <w:w w:val="4294942296"/>
              </w:rPr>
              <w:t>​</w:t>
            </w:r>
          </w:p>
        </w:tc>
        <w:tc>
          <w:tcPr>
            <w:tcW w:w="80" w:type="dxa"/>
            <w:vAlign w:val="bottom"/>
            <w:shd w:val="clear" w:color="auto" w:fill="62259D"/>
          </w:tcPr>
          <w:p>
            <w:pPr>
              <w:spacing w:after="0"/>
              <w:rPr>
                <w:sz w:val="15"/>
                <w:szCs w:val="15"/>
                <w:color w:val="auto"/>
              </w:rPr>
            </w:pPr>
          </w:p>
        </w:tc>
        <w:tc>
          <w:tcPr>
            <w:tcW w:w="780" w:type="dxa"/>
            <w:vAlign w:val="bottom"/>
            <w:gridSpan w:val="2"/>
            <w:shd w:val="clear" w:color="auto" w:fill="62259D"/>
          </w:tcPr>
          <w:p>
            <w:pPr>
              <w:ind w:left="120"/>
              <w:spacing w:after="0"/>
              <w:rPr>
                <w:sz w:val="20"/>
                <w:szCs w:val="20"/>
                <w:color w:val="auto"/>
              </w:rPr>
            </w:pPr>
            <w:r>
              <w:rPr>
                <w:rFonts w:ascii="Arial" w:cs="Arial" w:eastAsia="Arial" w:hAnsi="Arial"/>
                <w:sz w:val="13"/>
                <w:szCs w:val="13"/>
                <w:b w:val="1"/>
                <w:bCs w:val="1"/>
                <w:color w:val="FEFEFE"/>
              </w:rPr>
              <w:t>Awards:</w:t>
            </w:r>
          </w:p>
        </w:tc>
        <w:tc>
          <w:tcPr>
            <w:tcW w:w="180" w:type="dxa"/>
            <w:vAlign w:val="bottom"/>
            <w:shd w:val="clear" w:color="auto" w:fill="62259D"/>
          </w:tcPr>
          <w:p>
            <w:pPr>
              <w:spacing w:after="0"/>
              <w:rPr>
                <w:sz w:val="15"/>
                <w:szCs w:val="15"/>
                <w:color w:val="auto"/>
              </w:rPr>
            </w:pPr>
          </w:p>
        </w:tc>
        <w:tc>
          <w:tcPr>
            <w:tcW w:w="74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of Stock</w:t>
            </w:r>
          </w:p>
        </w:tc>
        <w:tc>
          <w:tcPr>
            <w:tcW w:w="120" w:type="dxa"/>
            <w:vAlign w:val="bottom"/>
            <w:shd w:val="clear" w:color="auto" w:fill="62259D"/>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80" w:type="dxa"/>
            <w:vAlign w:val="bottom"/>
          </w:tcPr>
          <w:p>
            <w:pPr>
              <w:spacing w:after="0"/>
              <w:rPr>
                <w:sz w:val="11"/>
                <w:szCs w:val="11"/>
                <w:color w:val="auto"/>
              </w:rPr>
            </w:pPr>
          </w:p>
        </w:tc>
        <w:tc>
          <w:tcPr>
            <w:tcW w:w="920" w:type="dxa"/>
            <w:vAlign w:val="bottom"/>
            <w:shd w:val="clear" w:color="auto" w:fill="62259D"/>
          </w:tcPr>
          <w:p>
            <w:pPr>
              <w:spacing w:after="0"/>
              <w:rPr>
                <w:sz w:val="11"/>
                <w:szCs w:val="11"/>
                <w:color w:val="auto"/>
              </w:rPr>
            </w:pPr>
          </w:p>
        </w:tc>
        <w:tc>
          <w:tcPr>
            <w:tcW w:w="60" w:type="dxa"/>
            <w:vAlign w:val="bottom"/>
            <w:shd w:val="clear" w:color="auto" w:fill="62259D"/>
          </w:tcPr>
          <w:p>
            <w:pPr>
              <w:spacing w:after="0"/>
              <w:rPr>
                <w:sz w:val="11"/>
                <w:szCs w:val="11"/>
                <w:color w:val="auto"/>
              </w:rPr>
            </w:pPr>
          </w:p>
        </w:tc>
        <w:tc>
          <w:tcPr>
            <w:tcW w:w="160" w:type="dxa"/>
            <w:vAlign w:val="bottom"/>
            <w:shd w:val="clear" w:color="auto" w:fill="62259D"/>
          </w:tcPr>
          <w:p>
            <w:pPr>
              <w:spacing w:after="0"/>
              <w:rPr>
                <w:sz w:val="11"/>
                <w:szCs w:val="11"/>
                <w:color w:val="auto"/>
              </w:rPr>
            </w:pPr>
          </w:p>
        </w:tc>
        <w:tc>
          <w:tcPr>
            <w:tcW w:w="980" w:type="dxa"/>
            <w:vAlign w:val="bottom"/>
            <w:shd w:val="clear" w:color="auto" w:fill="62259D"/>
          </w:tcPr>
          <w:p>
            <w:pPr>
              <w:spacing w:after="0"/>
              <w:rPr>
                <w:sz w:val="11"/>
                <w:szCs w:val="11"/>
                <w:color w:val="auto"/>
              </w:rPr>
            </w:pPr>
          </w:p>
        </w:tc>
        <w:tc>
          <w:tcPr>
            <w:tcW w:w="220" w:type="dxa"/>
            <w:vAlign w:val="bottom"/>
            <w:shd w:val="clear" w:color="auto" w:fill="62259D"/>
          </w:tcPr>
          <w:p>
            <w:pPr>
              <w:spacing w:after="0"/>
              <w:rPr>
                <w:sz w:val="11"/>
                <w:szCs w:val="11"/>
                <w:color w:val="auto"/>
              </w:rPr>
            </w:pPr>
          </w:p>
        </w:tc>
        <w:tc>
          <w:tcPr>
            <w:tcW w:w="700" w:type="dxa"/>
            <w:vAlign w:val="bottom"/>
            <w:shd w:val="clear" w:color="auto" w:fill="62259D"/>
          </w:tcPr>
          <w:p>
            <w:pPr>
              <w:spacing w:after="0" w:line="131" w:lineRule="exact"/>
              <w:rPr>
                <w:sz w:val="20"/>
                <w:szCs w:val="20"/>
                <w:color w:val="auto"/>
              </w:rPr>
            </w:pPr>
            <w:r>
              <w:rPr>
                <w:rFonts w:ascii="Arial" w:cs="Arial" w:eastAsia="Arial" w:hAnsi="Arial"/>
                <w:sz w:val="13"/>
                <w:szCs w:val="13"/>
                <w:b w:val="1"/>
                <w:bCs w:val="1"/>
                <w:color w:val="FEFEFE"/>
              </w:rPr>
              <w:t>Threshold</w:t>
            </w:r>
          </w:p>
        </w:tc>
        <w:tc>
          <w:tcPr>
            <w:tcW w:w="800" w:type="dxa"/>
            <w:vAlign w:val="bottom"/>
            <w:gridSpan w:val="2"/>
            <w:shd w:val="clear" w:color="auto" w:fill="62259D"/>
          </w:tcPr>
          <w:p>
            <w:pPr>
              <w:jc w:val="center"/>
              <w:spacing w:after="0" w:line="131" w:lineRule="exact"/>
              <w:rPr>
                <w:sz w:val="20"/>
                <w:szCs w:val="20"/>
                <w:color w:val="auto"/>
              </w:rPr>
            </w:pPr>
            <w:r>
              <w:rPr>
                <w:rFonts w:ascii="Arial" w:cs="Arial" w:eastAsia="Arial" w:hAnsi="Arial"/>
                <w:sz w:val="13"/>
                <w:szCs w:val="13"/>
                <w:b w:val="1"/>
                <w:bCs w:val="1"/>
                <w:color w:val="FEFEFE"/>
              </w:rPr>
              <w:t>Target</w:t>
            </w:r>
          </w:p>
        </w:tc>
        <w:tc>
          <w:tcPr>
            <w:tcW w:w="620" w:type="dxa"/>
            <w:vAlign w:val="bottom"/>
            <w:shd w:val="clear" w:color="auto" w:fill="62259D"/>
          </w:tcPr>
          <w:p>
            <w:pPr>
              <w:spacing w:after="0" w:line="131" w:lineRule="exact"/>
              <w:rPr>
                <w:sz w:val="20"/>
                <w:szCs w:val="20"/>
                <w:color w:val="auto"/>
              </w:rPr>
            </w:pPr>
            <w:r>
              <w:rPr>
                <w:rFonts w:ascii="Arial" w:cs="Arial" w:eastAsia="Arial" w:hAnsi="Arial"/>
                <w:sz w:val="13"/>
                <w:szCs w:val="13"/>
                <w:b w:val="1"/>
                <w:bCs w:val="1"/>
                <w:color w:val="FEFEFE"/>
                <w:w w:val="99"/>
              </w:rPr>
              <w:t>Maximum</w:t>
            </w:r>
          </w:p>
        </w:tc>
        <w:tc>
          <w:tcPr>
            <w:tcW w:w="200" w:type="dxa"/>
            <w:vAlign w:val="bottom"/>
            <w:shd w:val="clear" w:color="auto" w:fill="62259D"/>
          </w:tcPr>
          <w:p>
            <w:pPr>
              <w:spacing w:after="0"/>
              <w:rPr>
                <w:sz w:val="11"/>
                <w:szCs w:val="11"/>
                <w:color w:val="auto"/>
              </w:rPr>
            </w:pPr>
          </w:p>
        </w:tc>
        <w:tc>
          <w:tcPr>
            <w:tcW w:w="660" w:type="dxa"/>
            <w:vAlign w:val="bottom"/>
            <w:shd w:val="clear" w:color="auto" w:fill="62259D"/>
          </w:tcPr>
          <w:p>
            <w:pPr>
              <w:jc w:val="center"/>
              <w:spacing w:after="0" w:line="131" w:lineRule="exact"/>
              <w:rPr>
                <w:sz w:val="20"/>
                <w:szCs w:val="20"/>
                <w:color w:val="auto"/>
              </w:rPr>
            </w:pPr>
            <w:r>
              <w:rPr>
                <w:rFonts w:ascii="Arial" w:cs="Arial" w:eastAsia="Arial" w:hAnsi="Arial"/>
                <w:sz w:val="13"/>
                <w:szCs w:val="13"/>
                <w:b w:val="1"/>
                <w:bCs w:val="1"/>
                <w:color w:val="FEFEFE"/>
              </w:rPr>
              <w:t>Threshold</w:t>
            </w:r>
          </w:p>
        </w:tc>
        <w:tc>
          <w:tcPr>
            <w:tcW w:w="1500" w:type="dxa"/>
            <w:vAlign w:val="bottom"/>
            <w:gridSpan w:val="5"/>
            <w:shd w:val="clear" w:color="auto" w:fill="62259D"/>
          </w:tcPr>
          <w:p>
            <w:pPr>
              <w:ind w:left="200"/>
              <w:spacing w:after="0" w:line="131" w:lineRule="exact"/>
              <w:rPr>
                <w:sz w:val="20"/>
                <w:szCs w:val="20"/>
                <w:color w:val="auto"/>
              </w:rPr>
            </w:pPr>
            <w:r>
              <w:rPr>
                <w:rFonts w:ascii="Arial" w:cs="Arial" w:eastAsia="Arial" w:hAnsi="Arial"/>
                <w:sz w:val="13"/>
                <w:szCs w:val="13"/>
                <w:b w:val="1"/>
                <w:bCs w:val="1"/>
                <w:color w:val="FEFEFE"/>
              </w:rPr>
              <w:t>Target   Maximum</w:t>
            </w:r>
          </w:p>
        </w:tc>
        <w:tc>
          <w:tcPr>
            <w:tcW w:w="60" w:type="dxa"/>
            <w:vAlign w:val="bottom"/>
            <w:shd w:val="clear" w:color="auto" w:fill="62259D"/>
          </w:tcPr>
          <w:p>
            <w:pPr>
              <w:spacing w:after="0"/>
              <w:rPr>
                <w:sz w:val="11"/>
                <w:szCs w:val="11"/>
                <w:color w:val="auto"/>
              </w:rPr>
            </w:pPr>
          </w:p>
        </w:tc>
        <w:tc>
          <w:tcPr>
            <w:tcW w:w="80" w:type="dxa"/>
            <w:vAlign w:val="bottom"/>
            <w:shd w:val="clear" w:color="auto" w:fill="62259D"/>
          </w:tcPr>
          <w:p>
            <w:pPr>
              <w:spacing w:after="0"/>
              <w:rPr>
                <w:sz w:val="11"/>
                <w:szCs w:val="11"/>
                <w:color w:val="auto"/>
              </w:rPr>
            </w:pPr>
          </w:p>
        </w:tc>
        <w:tc>
          <w:tcPr>
            <w:tcW w:w="780" w:type="dxa"/>
            <w:vAlign w:val="bottom"/>
            <w:gridSpan w:val="2"/>
            <w:shd w:val="clear" w:color="auto" w:fill="62259D"/>
          </w:tcPr>
          <w:p>
            <w:pPr>
              <w:jc w:val="right"/>
              <w:spacing w:after="0" w:line="131" w:lineRule="exact"/>
              <w:rPr>
                <w:sz w:val="20"/>
                <w:szCs w:val="20"/>
                <w:color w:val="auto"/>
              </w:rPr>
            </w:pPr>
            <w:r>
              <w:rPr>
                <w:rFonts w:ascii="Arial" w:cs="Arial" w:eastAsia="Arial" w:hAnsi="Arial"/>
                <w:sz w:val="13"/>
                <w:szCs w:val="13"/>
                <w:b w:val="1"/>
                <w:bCs w:val="1"/>
                <w:color w:val="FEFEFE"/>
              </w:rPr>
              <w:t>No. of Units</w:t>
            </w:r>
          </w:p>
        </w:tc>
        <w:tc>
          <w:tcPr>
            <w:tcW w:w="180" w:type="dxa"/>
            <w:vAlign w:val="bottom"/>
            <w:shd w:val="clear" w:color="auto" w:fill="62259D"/>
          </w:tcPr>
          <w:p>
            <w:pPr>
              <w:spacing w:after="0"/>
              <w:rPr>
                <w:sz w:val="11"/>
                <w:szCs w:val="11"/>
                <w:color w:val="auto"/>
              </w:rPr>
            </w:pPr>
          </w:p>
        </w:tc>
        <w:tc>
          <w:tcPr>
            <w:tcW w:w="740" w:type="dxa"/>
            <w:vAlign w:val="bottom"/>
            <w:gridSpan w:val="2"/>
            <w:shd w:val="clear" w:color="auto" w:fill="62259D"/>
          </w:tcPr>
          <w:p>
            <w:pPr>
              <w:jc w:val="center"/>
              <w:spacing w:after="0" w:line="131" w:lineRule="exact"/>
              <w:rPr>
                <w:sz w:val="20"/>
                <w:szCs w:val="20"/>
                <w:color w:val="auto"/>
              </w:rPr>
            </w:pPr>
            <w:r>
              <w:rPr>
                <w:rFonts w:ascii="Arial" w:cs="Arial" w:eastAsia="Arial" w:hAnsi="Arial"/>
                <w:sz w:val="15"/>
                <w:szCs w:val="15"/>
                <w:b w:val="1"/>
                <w:bCs w:val="1"/>
                <w:color w:val="FEFEFE"/>
                <w:vertAlign w:val="subscript"/>
              </w:rPr>
              <w:t>Awards</w:t>
            </w:r>
            <w:r>
              <w:rPr>
                <w:rFonts w:ascii="Arial" w:cs="Arial" w:eastAsia="Arial" w:hAnsi="Arial"/>
                <w:sz w:val="7"/>
                <w:szCs w:val="7"/>
                <w:b w:val="1"/>
                <w:bCs w:val="1"/>
                <w:color w:val="FEFEFE"/>
              </w:rPr>
              <w:t>(2)(3)</w:t>
            </w:r>
          </w:p>
        </w:tc>
        <w:tc>
          <w:tcPr>
            <w:tcW w:w="120" w:type="dxa"/>
            <w:vAlign w:val="bottom"/>
            <w:shd w:val="clear" w:color="auto" w:fill="62259D"/>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Pr>
          <w:p>
            <w:pPr>
              <w:ind w:left="40"/>
              <w:spacing w:after="0"/>
              <w:rPr>
                <w:sz w:val="20"/>
                <w:szCs w:val="20"/>
                <w:color w:val="auto"/>
              </w:rPr>
            </w:pPr>
            <w:r>
              <w:rPr>
                <w:rFonts w:ascii="Arial" w:cs="Arial" w:eastAsia="Arial" w:hAnsi="Arial"/>
                <w:sz w:val="13"/>
                <w:szCs w:val="13"/>
                <w:b w:val="1"/>
                <w:bCs w:val="1"/>
                <w:color w:val="FEFEFE"/>
              </w:rPr>
              <w:t>​</w:t>
            </w:r>
          </w:p>
        </w:tc>
        <w:tc>
          <w:tcPr>
            <w:tcW w:w="920" w:type="dxa"/>
            <w:vAlign w:val="bottom"/>
            <w:shd w:val="clear" w:color="auto" w:fill="62259D"/>
          </w:tcPr>
          <w:p>
            <w:pPr>
              <w:spacing w:after="0"/>
              <w:rPr>
                <w:sz w:val="20"/>
                <w:szCs w:val="20"/>
                <w:color w:val="auto"/>
              </w:rPr>
            </w:pPr>
            <w:r>
              <w:rPr>
                <w:rFonts w:ascii="Arial" w:cs="Arial" w:eastAsia="Arial" w:hAnsi="Arial"/>
                <w:sz w:val="13"/>
                <w:szCs w:val="13"/>
                <w:b w:val="1"/>
                <w:bCs w:val="1"/>
                <w:color w:val="FEFEFE"/>
              </w:rPr>
              <w:t>Name</w:t>
            </w:r>
          </w:p>
        </w:tc>
        <w:tc>
          <w:tcPr>
            <w:tcW w:w="60" w:type="dxa"/>
            <w:vAlign w:val="bottom"/>
            <w:shd w:val="clear" w:color="auto" w:fill="62259D"/>
          </w:tcPr>
          <w:p>
            <w:pPr>
              <w:ind w:left="40"/>
              <w:spacing w:after="0"/>
              <w:rPr>
                <w:sz w:val="20"/>
                <w:szCs w:val="20"/>
                <w:color w:val="auto"/>
              </w:rPr>
            </w:pPr>
            <w:r>
              <w:rPr>
                <w:rFonts w:ascii="Arial" w:cs="Arial" w:eastAsia="Arial" w:hAnsi="Arial"/>
                <w:sz w:val="1"/>
                <w:szCs w:val="1"/>
                <w:b w:val="1"/>
                <w:bCs w:val="1"/>
                <w:color w:val="FEFEFE"/>
                <w:w w:val="4294942296"/>
              </w:rPr>
              <w:t>​</w:t>
            </w:r>
          </w:p>
        </w:tc>
        <w:tc>
          <w:tcPr>
            <w:tcW w:w="160" w:type="dxa"/>
            <w:vAlign w:val="bottom"/>
            <w:shd w:val="clear" w:color="auto" w:fill="62259D"/>
          </w:tcPr>
          <w:p>
            <w:pPr>
              <w:jc w:val="right"/>
              <w:ind w:right="13"/>
              <w:spacing w:after="0"/>
              <w:rPr>
                <w:sz w:val="20"/>
                <w:szCs w:val="20"/>
                <w:color w:val="auto"/>
              </w:rPr>
            </w:pPr>
            <w:r>
              <w:rPr>
                <w:rFonts w:ascii="Arial" w:cs="Arial" w:eastAsia="Arial" w:hAnsi="Arial"/>
                <w:sz w:val="13"/>
                <w:szCs w:val="13"/>
                <w:b w:val="1"/>
                <w:bCs w:val="1"/>
                <w:color w:val="FEFEFE"/>
              </w:rPr>
              <w:t>​</w:t>
            </w:r>
          </w:p>
        </w:tc>
        <w:tc>
          <w:tcPr>
            <w:tcW w:w="980" w:type="dxa"/>
            <w:vAlign w:val="bottom"/>
            <w:shd w:val="clear" w:color="auto" w:fill="62259D"/>
          </w:tcPr>
          <w:p>
            <w:pPr>
              <w:ind w:left="140"/>
              <w:spacing w:after="0"/>
              <w:rPr>
                <w:sz w:val="20"/>
                <w:szCs w:val="20"/>
                <w:color w:val="auto"/>
              </w:rPr>
            </w:pPr>
            <w:r>
              <w:rPr>
                <w:rFonts w:ascii="Arial" w:cs="Arial" w:eastAsia="Arial" w:hAnsi="Arial"/>
                <w:sz w:val="13"/>
                <w:szCs w:val="13"/>
                <w:b w:val="1"/>
                <w:bCs w:val="1"/>
                <w:color w:val="FEFEFE"/>
              </w:rPr>
              <w:t>Grant Date</w:t>
            </w:r>
          </w:p>
        </w:tc>
        <w:tc>
          <w:tcPr>
            <w:tcW w:w="220" w:type="dxa"/>
            <w:vAlign w:val="bottom"/>
            <w:shd w:val="clear" w:color="auto" w:fill="62259D"/>
          </w:tcPr>
          <w:p>
            <w:pPr>
              <w:jc w:val="right"/>
              <w:spacing w:after="0"/>
              <w:rPr>
                <w:sz w:val="20"/>
                <w:szCs w:val="20"/>
                <w:color w:val="auto"/>
              </w:rPr>
            </w:pPr>
            <w:r>
              <w:rPr>
                <w:rFonts w:ascii="Arial" w:cs="Arial" w:eastAsia="Arial" w:hAnsi="Arial"/>
                <w:sz w:val="13"/>
                <w:szCs w:val="13"/>
                <w:b w:val="1"/>
                <w:bCs w:val="1"/>
                <w:color w:val="FEFEFE"/>
              </w:rPr>
              <w:t>​ ​</w:t>
            </w:r>
          </w:p>
        </w:tc>
        <w:tc>
          <w:tcPr>
            <w:tcW w:w="700" w:type="dxa"/>
            <w:vAlign w:val="bottom"/>
            <w:shd w:val="clear" w:color="auto" w:fill="62259D"/>
          </w:tcPr>
          <w:p>
            <w:pPr>
              <w:jc w:val="center"/>
              <w:spacing w:after="0"/>
              <w:rPr>
                <w:sz w:val="20"/>
                <w:szCs w:val="20"/>
                <w:color w:val="auto"/>
              </w:rPr>
            </w:pPr>
            <w:r>
              <w:rPr>
                <w:rFonts w:ascii="Arial" w:cs="Arial" w:eastAsia="Arial" w:hAnsi="Arial"/>
                <w:sz w:val="13"/>
                <w:szCs w:val="13"/>
                <w:b w:val="1"/>
                <w:bCs w:val="1"/>
                <w:color w:val="FEFEFE"/>
              </w:rPr>
              <w:t>($)</w:t>
            </w:r>
          </w:p>
        </w:tc>
        <w:tc>
          <w:tcPr>
            <w:tcW w:w="500" w:type="dxa"/>
            <w:vAlign w:val="bottom"/>
            <w:shd w:val="clear" w:color="auto" w:fill="62259D"/>
          </w:tcPr>
          <w:p>
            <w:pPr>
              <w:ind w:left="60"/>
              <w:spacing w:after="0"/>
              <w:rPr>
                <w:sz w:val="20"/>
                <w:szCs w:val="20"/>
                <w:color w:val="auto"/>
              </w:rPr>
            </w:pPr>
            <w:r>
              <w:rPr>
                <w:rFonts w:ascii="Arial" w:cs="Arial" w:eastAsia="Arial" w:hAnsi="Arial"/>
                <w:sz w:val="13"/>
                <w:szCs w:val="13"/>
                <w:b w:val="1"/>
                <w:bCs w:val="1"/>
                <w:color w:val="FEFEFE"/>
              </w:rPr>
              <w:t>​ ​   ($)</w:t>
            </w:r>
          </w:p>
        </w:tc>
        <w:tc>
          <w:tcPr>
            <w:tcW w:w="300" w:type="dxa"/>
            <w:vAlign w:val="bottom"/>
            <w:shd w:val="clear" w:color="auto" w:fill="62259D"/>
          </w:tcPr>
          <w:p>
            <w:pPr>
              <w:jc w:val="right"/>
              <w:spacing w:after="0"/>
              <w:rPr>
                <w:sz w:val="20"/>
                <w:szCs w:val="20"/>
                <w:color w:val="auto"/>
              </w:rPr>
            </w:pPr>
            <w:r>
              <w:rPr>
                <w:rFonts w:ascii="Arial" w:cs="Arial" w:eastAsia="Arial" w:hAnsi="Arial"/>
                <w:sz w:val="13"/>
                <w:szCs w:val="13"/>
                <w:b w:val="1"/>
                <w:bCs w:val="1"/>
                <w:color w:val="FEFEFE"/>
              </w:rPr>
              <w:t>​ ​</w:t>
            </w:r>
          </w:p>
        </w:tc>
        <w:tc>
          <w:tcPr>
            <w:tcW w:w="620" w:type="dxa"/>
            <w:vAlign w:val="bottom"/>
            <w:shd w:val="clear" w:color="auto" w:fill="62259D"/>
          </w:tcPr>
          <w:p>
            <w:pPr>
              <w:ind w:left="260"/>
              <w:spacing w:after="0"/>
              <w:rPr>
                <w:sz w:val="20"/>
                <w:szCs w:val="20"/>
                <w:color w:val="auto"/>
              </w:rPr>
            </w:pPr>
            <w:r>
              <w:rPr>
                <w:rFonts w:ascii="Arial" w:cs="Arial" w:eastAsia="Arial" w:hAnsi="Arial"/>
                <w:sz w:val="13"/>
                <w:szCs w:val="13"/>
                <w:b w:val="1"/>
                <w:bCs w:val="1"/>
                <w:color w:val="FEFEFE"/>
              </w:rPr>
              <w:t>($)</w:t>
            </w:r>
          </w:p>
        </w:tc>
        <w:tc>
          <w:tcPr>
            <w:tcW w:w="200" w:type="dxa"/>
            <w:vAlign w:val="bottom"/>
            <w:shd w:val="clear" w:color="auto" w:fill="62259D"/>
          </w:tcPr>
          <w:p>
            <w:pPr>
              <w:ind w:left="80"/>
              <w:spacing w:after="0"/>
              <w:rPr>
                <w:sz w:val="20"/>
                <w:szCs w:val="20"/>
                <w:color w:val="auto"/>
              </w:rPr>
            </w:pPr>
            <w:r>
              <w:rPr>
                <w:rFonts w:ascii="Arial" w:cs="Arial" w:eastAsia="Arial" w:hAnsi="Arial"/>
                <w:sz w:val="13"/>
                <w:szCs w:val="13"/>
                <w:b w:val="1"/>
                <w:bCs w:val="1"/>
                <w:color w:val="FEFEFE"/>
              </w:rPr>
              <w:t>​ ​</w:t>
            </w:r>
          </w:p>
        </w:tc>
        <w:tc>
          <w:tcPr>
            <w:tcW w:w="660" w:type="dxa"/>
            <w:vAlign w:val="bottom"/>
            <w:shd w:val="clear" w:color="auto" w:fill="62259D"/>
          </w:tcPr>
          <w:p>
            <w:pPr>
              <w:jc w:val="center"/>
              <w:spacing w:after="0"/>
              <w:rPr>
                <w:sz w:val="20"/>
                <w:szCs w:val="20"/>
                <w:color w:val="auto"/>
              </w:rPr>
            </w:pPr>
            <w:r>
              <w:rPr>
                <w:rFonts w:ascii="Arial" w:cs="Arial" w:eastAsia="Arial" w:hAnsi="Arial"/>
                <w:sz w:val="13"/>
                <w:szCs w:val="13"/>
                <w:b w:val="1"/>
                <w:bCs w:val="1"/>
                <w:color w:val="FEFEFE"/>
              </w:rPr>
              <w:t>($)</w:t>
            </w:r>
          </w:p>
        </w:tc>
        <w:tc>
          <w:tcPr>
            <w:tcW w:w="540" w:type="dxa"/>
            <w:vAlign w:val="bottom"/>
            <w:shd w:val="clear" w:color="auto" w:fill="62259D"/>
          </w:tcPr>
          <w:p>
            <w:pPr>
              <w:ind w:left="80"/>
              <w:spacing w:after="0"/>
              <w:rPr>
                <w:sz w:val="20"/>
                <w:szCs w:val="20"/>
                <w:color w:val="auto"/>
              </w:rPr>
            </w:pPr>
            <w:r>
              <w:rPr>
                <w:rFonts w:ascii="Arial" w:cs="Arial" w:eastAsia="Arial" w:hAnsi="Arial"/>
                <w:sz w:val="13"/>
                <w:szCs w:val="13"/>
                <w:b w:val="1"/>
                <w:bCs w:val="1"/>
                <w:color w:val="FEFEFE"/>
              </w:rPr>
              <w:t>​ ​   ($)</w:t>
            </w:r>
          </w:p>
        </w:tc>
        <w:tc>
          <w:tcPr>
            <w:tcW w:w="340" w:type="dxa"/>
            <w:vAlign w:val="bottom"/>
            <w:shd w:val="clear" w:color="auto" w:fill="62259D"/>
          </w:tcPr>
          <w:p>
            <w:pPr>
              <w:jc w:val="right"/>
              <w:spacing w:after="0"/>
              <w:rPr>
                <w:sz w:val="20"/>
                <w:szCs w:val="20"/>
                <w:color w:val="auto"/>
              </w:rPr>
            </w:pPr>
            <w:r>
              <w:rPr>
                <w:rFonts w:ascii="Arial" w:cs="Arial" w:eastAsia="Arial" w:hAnsi="Arial"/>
                <w:sz w:val="13"/>
                <w:szCs w:val="13"/>
                <w:b w:val="1"/>
                <w:bCs w:val="1"/>
                <w:color w:val="FEFEFE"/>
              </w:rPr>
              <w:t>​ ​</w:t>
            </w:r>
          </w:p>
        </w:tc>
        <w:tc>
          <w:tcPr>
            <w:tcW w:w="100" w:type="dxa"/>
            <w:vAlign w:val="bottom"/>
            <w:shd w:val="clear" w:color="auto" w:fill="62259D"/>
          </w:tcPr>
          <w:p>
            <w:pPr>
              <w:spacing w:after="0"/>
              <w:rPr>
                <w:sz w:val="16"/>
                <w:szCs w:val="16"/>
                <w:color w:val="auto"/>
              </w:rPr>
            </w:pPr>
          </w:p>
        </w:tc>
        <w:tc>
          <w:tcPr>
            <w:tcW w:w="300" w:type="dxa"/>
            <w:vAlign w:val="bottom"/>
            <w:shd w:val="clear" w:color="auto" w:fill="62259D"/>
          </w:tcPr>
          <w:p>
            <w:pPr>
              <w:jc w:val="right"/>
              <w:spacing w:after="0"/>
              <w:rPr>
                <w:sz w:val="20"/>
                <w:szCs w:val="20"/>
                <w:color w:val="auto"/>
              </w:rPr>
            </w:pPr>
            <w:r>
              <w:rPr>
                <w:rFonts w:ascii="Arial" w:cs="Arial" w:eastAsia="Arial" w:hAnsi="Arial"/>
                <w:sz w:val="13"/>
                <w:szCs w:val="13"/>
                <w:b w:val="1"/>
                <w:bCs w:val="1"/>
                <w:color w:val="FEFEFE"/>
              </w:rPr>
              <w:t>($)</w:t>
            </w:r>
          </w:p>
        </w:tc>
        <w:tc>
          <w:tcPr>
            <w:tcW w:w="220" w:type="dxa"/>
            <w:vAlign w:val="bottom"/>
            <w:shd w:val="clear" w:color="auto" w:fill="62259D"/>
          </w:tcPr>
          <w:p>
            <w:pPr>
              <w:spacing w:after="0"/>
              <w:rPr>
                <w:sz w:val="16"/>
                <w:szCs w:val="16"/>
                <w:color w:val="auto"/>
              </w:rPr>
            </w:pPr>
          </w:p>
        </w:tc>
        <w:tc>
          <w:tcPr>
            <w:tcW w:w="60" w:type="dxa"/>
            <w:vAlign w:val="bottom"/>
            <w:shd w:val="clear" w:color="auto" w:fill="62259D"/>
          </w:tcPr>
          <w:p>
            <w:pPr>
              <w:ind w:left="40"/>
              <w:spacing w:after="0"/>
              <w:rPr>
                <w:sz w:val="20"/>
                <w:szCs w:val="20"/>
                <w:color w:val="auto"/>
              </w:rPr>
            </w:pPr>
            <w:r>
              <w:rPr>
                <w:rFonts w:ascii="Arial" w:cs="Arial" w:eastAsia="Arial" w:hAnsi="Arial"/>
                <w:sz w:val="1"/>
                <w:szCs w:val="1"/>
                <w:b w:val="1"/>
                <w:bCs w:val="1"/>
                <w:color w:val="FEFEFE"/>
                <w:w w:val="4294942296"/>
              </w:rPr>
              <w:t>​</w:t>
            </w:r>
          </w:p>
        </w:tc>
        <w:tc>
          <w:tcPr>
            <w:tcW w:w="80" w:type="dxa"/>
            <w:vAlign w:val="bottom"/>
            <w:shd w:val="clear" w:color="auto" w:fill="62259D"/>
          </w:tcPr>
          <w:p>
            <w:pPr>
              <w:jc w:val="right"/>
              <w:spacing w:after="0"/>
              <w:rPr>
                <w:sz w:val="20"/>
                <w:szCs w:val="20"/>
                <w:color w:val="auto"/>
              </w:rPr>
            </w:pPr>
            <w:r>
              <w:rPr>
                <w:rFonts w:ascii="Arial" w:cs="Arial" w:eastAsia="Arial" w:hAnsi="Arial"/>
                <w:sz w:val="13"/>
                <w:szCs w:val="13"/>
                <w:b w:val="1"/>
                <w:bCs w:val="1"/>
                <w:color w:val="FEFEFE"/>
              </w:rPr>
              <w:t>​</w:t>
            </w:r>
          </w:p>
        </w:tc>
        <w:tc>
          <w:tcPr>
            <w:tcW w:w="200" w:type="dxa"/>
            <w:vAlign w:val="bottom"/>
            <w:shd w:val="clear" w:color="auto" w:fill="62259D"/>
          </w:tcPr>
          <w:p>
            <w:pPr>
              <w:spacing w:after="0"/>
              <w:rPr>
                <w:sz w:val="16"/>
                <w:szCs w:val="16"/>
                <w:color w:val="auto"/>
              </w:rPr>
            </w:pPr>
          </w:p>
        </w:tc>
        <w:tc>
          <w:tcPr>
            <w:tcW w:w="580" w:type="dxa"/>
            <w:vAlign w:val="bottom"/>
            <w:shd w:val="clear" w:color="auto" w:fill="62259D"/>
          </w:tcPr>
          <w:p>
            <w:pPr>
              <w:jc w:val="right"/>
              <w:ind w:right="233"/>
              <w:spacing w:after="0"/>
              <w:rPr>
                <w:sz w:val="20"/>
                <w:szCs w:val="20"/>
                <w:color w:val="auto"/>
              </w:rPr>
            </w:pPr>
            <w:r>
              <w:rPr>
                <w:rFonts w:ascii="Arial" w:cs="Arial" w:eastAsia="Arial" w:hAnsi="Arial"/>
                <w:sz w:val="13"/>
                <w:szCs w:val="13"/>
                <w:b w:val="1"/>
                <w:bCs w:val="1"/>
                <w:color w:val="FEFEFE"/>
              </w:rPr>
              <w:t>(#)</w:t>
            </w:r>
          </w:p>
        </w:tc>
        <w:tc>
          <w:tcPr>
            <w:tcW w:w="180" w:type="dxa"/>
            <w:vAlign w:val="bottom"/>
            <w:shd w:val="clear" w:color="auto" w:fill="62259D"/>
          </w:tcPr>
          <w:p>
            <w:pPr>
              <w:ind w:left="80"/>
              <w:spacing w:after="0"/>
              <w:rPr>
                <w:sz w:val="20"/>
                <w:szCs w:val="20"/>
                <w:color w:val="auto"/>
              </w:rPr>
            </w:pPr>
            <w:r>
              <w:rPr>
                <w:rFonts w:ascii="Arial" w:cs="Arial" w:eastAsia="Arial" w:hAnsi="Arial"/>
                <w:sz w:val="13"/>
                <w:szCs w:val="13"/>
                <w:b w:val="1"/>
                <w:bCs w:val="1"/>
                <w:color w:val="FEFEFE"/>
              </w:rPr>
              <w:t>​ ​</w:t>
            </w:r>
          </w:p>
        </w:tc>
        <w:tc>
          <w:tcPr>
            <w:tcW w:w="160" w:type="dxa"/>
            <w:vAlign w:val="bottom"/>
            <w:shd w:val="clear" w:color="auto" w:fill="62259D"/>
          </w:tcPr>
          <w:p>
            <w:pPr>
              <w:spacing w:after="0"/>
              <w:rPr>
                <w:sz w:val="16"/>
                <w:szCs w:val="16"/>
                <w:color w:val="auto"/>
              </w:rPr>
            </w:pPr>
          </w:p>
        </w:tc>
        <w:tc>
          <w:tcPr>
            <w:tcW w:w="580" w:type="dxa"/>
            <w:vAlign w:val="bottom"/>
            <w:shd w:val="clear" w:color="auto" w:fill="62259D"/>
          </w:tcPr>
          <w:p>
            <w:pPr>
              <w:jc w:val="center"/>
              <w:ind w:right="73"/>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62259D"/>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47"/>
        </w:trPr>
        <w:tc>
          <w:tcPr>
            <w:tcW w:w="80" w:type="dxa"/>
            <w:vAlign w:val="bottom"/>
            <w:shd w:val="clear" w:color="auto" w:fill="F2F2F2"/>
          </w:tcPr>
          <w:p>
            <w:pPr>
              <w:spacing w:after="0"/>
              <w:rPr>
                <w:sz w:val="12"/>
                <w:szCs w:val="12"/>
                <w:color w:val="auto"/>
              </w:rPr>
            </w:pPr>
          </w:p>
        </w:tc>
        <w:tc>
          <w:tcPr>
            <w:tcW w:w="920" w:type="dxa"/>
            <w:vAlign w:val="bottom"/>
            <w:shd w:val="clear" w:color="auto" w:fill="F2F2F2"/>
          </w:tcPr>
          <w:p>
            <w:pPr>
              <w:spacing w:after="0" w:line="148" w:lineRule="exact"/>
              <w:rPr>
                <w:sz w:val="20"/>
                <w:szCs w:val="20"/>
                <w:color w:val="auto"/>
              </w:rPr>
            </w:pPr>
            <w:r>
              <w:rPr>
                <w:rFonts w:ascii="Arial" w:cs="Arial" w:eastAsia="Arial" w:hAnsi="Arial"/>
                <w:sz w:val="13"/>
                <w:szCs w:val="13"/>
                <w:b w:val="1"/>
                <w:bCs w:val="1"/>
                <w:color w:val="auto"/>
              </w:rPr>
              <w:t>Bruce</w:t>
            </w:r>
          </w:p>
        </w:tc>
        <w:tc>
          <w:tcPr>
            <w:tcW w:w="60" w:type="dxa"/>
            <w:vAlign w:val="bottom"/>
            <w:shd w:val="clear" w:color="auto" w:fill="F2F2F2"/>
          </w:tcPr>
          <w:p>
            <w:pPr>
              <w:spacing w:after="0"/>
              <w:rPr>
                <w:sz w:val="12"/>
                <w:szCs w:val="12"/>
                <w:color w:val="auto"/>
              </w:rPr>
            </w:pPr>
          </w:p>
        </w:tc>
        <w:tc>
          <w:tcPr>
            <w:tcW w:w="160" w:type="dxa"/>
            <w:vAlign w:val="bottom"/>
            <w:shd w:val="clear" w:color="auto" w:fill="F2F2F2"/>
          </w:tcPr>
          <w:p>
            <w:pPr>
              <w:spacing w:after="0"/>
              <w:rPr>
                <w:sz w:val="12"/>
                <w:szCs w:val="12"/>
                <w:color w:val="auto"/>
              </w:rPr>
            </w:pPr>
          </w:p>
        </w:tc>
        <w:tc>
          <w:tcPr>
            <w:tcW w:w="980" w:type="dxa"/>
            <w:vAlign w:val="bottom"/>
            <w:shd w:val="clear" w:color="auto" w:fill="F2F2F2"/>
          </w:tcPr>
          <w:p>
            <w:pPr>
              <w:spacing w:after="0"/>
              <w:rPr>
                <w:sz w:val="12"/>
                <w:szCs w:val="12"/>
                <w:color w:val="auto"/>
              </w:rPr>
            </w:pPr>
          </w:p>
        </w:tc>
        <w:tc>
          <w:tcPr>
            <w:tcW w:w="220" w:type="dxa"/>
            <w:vAlign w:val="bottom"/>
            <w:shd w:val="clear" w:color="auto" w:fill="F2F2F2"/>
          </w:tcPr>
          <w:p>
            <w:pPr>
              <w:spacing w:after="0"/>
              <w:rPr>
                <w:sz w:val="12"/>
                <w:szCs w:val="12"/>
                <w:color w:val="auto"/>
              </w:rPr>
            </w:pPr>
          </w:p>
        </w:tc>
        <w:tc>
          <w:tcPr>
            <w:tcW w:w="700" w:type="dxa"/>
            <w:vAlign w:val="bottom"/>
            <w:shd w:val="clear" w:color="auto" w:fill="F2F2F2"/>
          </w:tcPr>
          <w:p>
            <w:pPr>
              <w:spacing w:after="0"/>
              <w:rPr>
                <w:sz w:val="12"/>
                <w:szCs w:val="12"/>
                <w:color w:val="auto"/>
              </w:rPr>
            </w:pPr>
          </w:p>
        </w:tc>
        <w:tc>
          <w:tcPr>
            <w:tcW w:w="500" w:type="dxa"/>
            <w:vAlign w:val="bottom"/>
            <w:shd w:val="clear" w:color="auto" w:fill="F2F2F2"/>
          </w:tcPr>
          <w:p>
            <w:pPr>
              <w:spacing w:after="0"/>
              <w:rPr>
                <w:sz w:val="12"/>
                <w:szCs w:val="12"/>
                <w:color w:val="auto"/>
              </w:rPr>
            </w:pPr>
          </w:p>
        </w:tc>
        <w:tc>
          <w:tcPr>
            <w:tcW w:w="300" w:type="dxa"/>
            <w:vAlign w:val="bottom"/>
            <w:shd w:val="clear" w:color="auto" w:fill="F2F2F2"/>
          </w:tcPr>
          <w:p>
            <w:pPr>
              <w:spacing w:after="0"/>
              <w:rPr>
                <w:sz w:val="12"/>
                <w:szCs w:val="12"/>
                <w:color w:val="auto"/>
              </w:rPr>
            </w:pPr>
          </w:p>
        </w:tc>
        <w:tc>
          <w:tcPr>
            <w:tcW w:w="620" w:type="dxa"/>
            <w:vAlign w:val="bottom"/>
            <w:shd w:val="clear" w:color="auto" w:fill="F2F2F2"/>
          </w:tcPr>
          <w:p>
            <w:pPr>
              <w:spacing w:after="0"/>
              <w:rPr>
                <w:sz w:val="12"/>
                <w:szCs w:val="12"/>
                <w:color w:val="auto"/>
              </w:rPr>
            </w:pPr>
          </w:p>
        </w:tc>
        <w:tc>
          <w:tcPr>
            <w:tcW w:w="200" w:type="dxa"/>
            <w:vAlign w:val="bottom"/>
            <w:shd w:val="clear" w:color="auto" w:fill="F2F2F2"/>
          </w:tcPr>
          <w:p>
            <w:pPr>
              <w:spacing w:after="0"/>
              <w:rPr>
                <w:sz w:val="12"/>
                <w:szCs w:val="12"/>
                <w:color w:val="auto"/>
              </w:rPr>
            </w:pPr>
          </w:p>
        </w:tc>
        <w:tc>
          <w:tcPr>
            <w:tcW w:w="660" w:type="dxa"/>
            <w:vAlign w:val="bottom"/>
            <w:shd w:val="clear" w:color="auto" w:fill="F2F2F2"/>
          </w:tcPr>
          <w:p>
            <w:pPr>
              <w:spacing w:after="0"/>
              <w:rPr>
                <w:sz w:val="12"/>
                <w:szCs w:val="12"/>
                <w:color w:val="auto"/>
              </w:rPr>
            </w:pPr>
          </w:p>
        </w:tc>
        <w:tc>
          <w:tcPr>
            <w:tcW w:w="540" w:type="dxa"/>
            <w:vAlign w:val="bottom"/>
            <w:vMerge w:val="restart"/>
            <w:shd w:val="clear" w:color="auto" w:fill="F2F2F2"/>
          </w:tcPr>
          <w:p>
            <w:pPr>
              <w:spacing w:after="0"/>
              <w:rPr>
                <w:sz w:val="20"/>
                <w:szCs w:val="20"/>
                <w:color w:val="auto"/>
              </w:rPr>
            </w:pPr>
            <w:r>
              <w:rPr>
                <w:rFonts w:ascii="Arial" w:cs="Arial" w:eastAsia="Arial" w:hAnsi="Arial"/>
                <w:sz w:val="13"/>
                <w:szCs w:val="13"/>
                <w:color w:val="auto"/>
              </w:rPr>
              <w:t>​​ ​ ​</w:t>
            </w:r>
            <w:r>
              <w:rPr>
                <w:rFonts w:ascii="Arial" w:cs="Arial" w:eastAsia="Arial" w:hAnsi="Arial"/>
                <w:sz w:val="13"/>
                <w:szCs w:val="13"/>
                <w:b w:val="1"/>
                <w:bCs w:val="1"/>
                <w:color w:val="auto"/>
              </w:rPr>
              <w:t>​</w:t>
            </w:r>
          </w:p>
        </w:tc>
        <w:tc>
          <w:tcPr>
            <w:tcW w:w="340" w:type="dxa"/>
            <w:vAlign w:val="bottom"/>
            <w:vMerge w:val="restart"/>
            <w:shd w:val="clear" w:color="auto" w:fill="F2F2F2"/>
          </w:tcPr>
          <w:p>
            <w:pPr>
              <w:jc w:val="right"/>
              <w:ind w:right="14"/>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100" w:type="dxa"/>
            <w:vAlign w:val="bottom"/>
            <w:shd w:val="clear" w:color="auto" w:fill="F2F2F2"/>
          </w:tcPr>
          <w:p>
            <w:pPr>
              <w:spacing w:after="0"/>
              <w:rPr>
                <w:sz w:val="12"/>
                <w:szCs w:val="12"/>
                <w:color w:val="auto"/>
              </w:rPr>
            </w:pPr>
          </w:p>
        </w:tc>
        <w:tc>
          <w:tcPr>
            <w:tcW w:w="300" w:type="dxa"/>
            <w:vAlign w:val="bottom"/>
            <w:shd w:val="clear" w:color="auto" w:fill="F2F2F2"/>
          </w:tcPr>
          <w:p>
            <w:pPr>
              <w:spacing w:after="0"/>
              <w:rPr>
                <w:sz w:val="12"/>
                <w:szCs w:val="12"/>
                <w:color w:val="auto"/>
              </w:rPr>
            </w:pPr>
          </w:p>
        </w:tc>
        <w:tc>
          <w:tcPr>
            <w:tcW w:w="220" w:type="dxa"/>
            <w:vAlign w:val="bottom"/>
            <w:shd w:val="clear" w:color="auto" w:fill="F2F2F2"/>
          </w:tcPr>
          <w:p>
            <w:pPr>
              <w:spacing w:after="0"/>
              <w:rPr>
                <w:sz w:val="12"/>
                <w:szCs w:val="12"/>
                <w:color w:val="auto"/>
              </w:rPr>
            </w:pPr>
          </w:p>
        </w:tc>
        <w:tc>
          <w:tcPr>
            <w:tcW w:w="60" w:type="dxa"/>
            <w:vAlign w:val="bottom"/>
            <w:shd w:val="clear" w:color="auto" w:fill="F2F2F2"/>
          </w:tcPr>
          <w:p>
            <w:pPr>
              <w:spacing w:after="0"/>
              <w:rPr>
                <w:sz w:val="12"/>
                <w:szCs w:val="12"/>
                <w:color w:val="auto"/>
              </w:rPr>
            </w:pPr>
          </w:p>
        </w:tc>
        <w:tc>
          <w:tcPr>
            <w:tcW w:w="80" w:type="dxa"/>
            <w:vAlign w:val="bottom"/>
            <w:shd w:val="clear" w:color="auto" w:fill="F2F2F2"/>
          </w:tcPr>
          <w:p>
            <w:pPr>
              <w:spacing w:after="0"/>
              <w:rPr>
                <w:sz w:val="12"/>
                <w:szCs w:val="12"/>
                <w:color w:val="auto"/>
              </w:rPr>
            </w:pPr>
          </w:p>
        </w:tc>
        <w:tc>
          <w:tcPr>
            <w:tcW w:w="200" w:type="dxa"/>
            <w:vAlign w:val="bottom"/>
            <w:shd w:val="clear" w:color="auto" w:fill="F2F2F2"/>
          </w:tcPr>
          <w:p>
            <w:pPr>
              <w:spacing w:after="0"/>
              <w:rPr>
                <w:sz w:val="12"/>
                <w:szCs w:val="12"/>
                <w:color w:val="auto"/>
              </w:rPr>
            </w:pPr>
          </w:p>
        </w:tc>
        <w:tc>
          <w:tcPr>
            <w:tcW w:w="580" w:type="dxa"/>
            <w:vAlign w:val="bottom"/>
            <w:shd w:val="clear" w:color="auto" w:fill="F2F2F2"/>
          </w:tcPr>
          <w:p>
            <w:pPr>
              <w:spacing w:after="0"/>
              <w:rPr>
                <w:sz w:val="12"/>
                <w:szCs w:val="12"/>
                <w:color w:val="auto"/>
              </w:rPr>
            </w:pPr>
          </w:p>
        </w:tc>
        <w:tc>
          <w:tcPr>
            <w:tcW w:w="180" w:type="dxa"/>
            <w:vAlign w:val="bottom"/>
            <w:shd w:val="clear" w:color="auto" w:fill="F2F2F2"/>
          </w:tcPr>
          <w:p>
            <w:pPr>
              <w:spacing w:after="0"/>
              <w:rPr>
                <w:sz w:val="12"/>
                <w:szCs w:val="12"/>
                <w:color w:val="auto"/>
              </w:rPr>
            </w:pPr>
          </w:p>
        </w:tc>
        <w:tc>
          <w:tcPr>
            <w:tcW w:w="160" w:type="dxa"/>
            <w:vAlign w:val="bottom"/>
            <w:vMerge w:val="restart"/>
            <w:shd w:val="clear" w:color="auto" w:fill="F2F2F2"/>
          </w:tcPr>
          <w:p>
            <w:pPr>
              <w:ind w:left="80"/>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2"/>
            <w:vMerge w:val="restart"/>
            <w:shd w:val="clear" w:color="auto" w:fill="F2F2F2"/>
          </w:tcPr>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1000" w:type="dxa"/>
            <w:vAlign w:val="bottom"/>
            <w:tcBorders>
              <w:bottom w:val="single" w:sz="8" w:color="E7417A"/>
            </w:tcBorders>
            <w:gridSpan w:val="2"/>
            <w:shd w:val="clear" w:color="auto" w:fill="F2F2F2"/>
          </w:tcPr>
          <w:p>
            <w:pPr>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McClelland</w:t>
            </w:r>
          </w:p>
        </w:tc>
        <w:tc>
          <w:tcPr>
            <w:tcW w:w="220" w:type="dxa"/>
            <w:vAlign w:val="bottom"/>
            <w:tcBorders>
              <w:bottom w:val="single" w:sz="8" w:color="E7417A"/>
            </w:tcBorders>
            <w:gridSpan w:val="2"/>
            <w:shd w:val="clear" w:color="auto" w:fill="F2F2F2"/>
          </w:tcPr>
          <w:p>
            <w:pPr>
              <w:jc w:val="right"/>
              <w:ind w:right="53"/>
              <w:spacing w:after="0"/>
              <w:rPr>
                <w:sz w:val="20"/>
                <w:szCs w:val="20"/>
                <w:color w:val="auto"/>
              </w:rPr>
            </w:pPr>
            <w:r>
              <w:rPr>
                <w:rFonts w:ascii="Arial" w:cs="Arial" w:eastAsia="Arial" w:hAnsi="Arial"/>
                <w:sz w:val="13"/>
                <w:szCs w:val="13"/>
                <w:color w:val="auto"/>
              </w:rPr>
              <w:t>​ ​</w:t>
            </w:r>
          </w:p>
        </w:tc>
        <w:tc>
          <w:tcPr>
            <w:tcW w:w="98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E7417A"/>
            </w:tcBorders>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7417A"/>
            </w:tcBorders>
            <w:gridSpan w:val="2"/>
            <w:shd w:val="clear" w:color="auto" w:fill="F2F2F2"/>
          </w:tcPr>
          <w:p>
            <w:pPr>
              <w:jc w:val="right"/>
              <w:spacing w:after="0"/>
              <w:rPr>
                <w:sz w:val="20"/>
                <w:szCs w:val="20"/>
                <w:color w:val="auto"/>
              </w:rPr>
            </w:pPr>
            <w:r>
              <w:rPr>
                <w:rFonts w:ascii="Arial" w:cs="Arial" w:eastAsia="Arial" w:hAnsi="Arial"/>
                <w:sz w:val="13"/>
                <w:szCs w:val="13"/>
                <w:color w:val="auto"/>
              </w:rPr>
              <w:t>​ ​ ​​750,000​ ​</w:t>
            </w:r>
          </w:p>
        </w:tc>
        <w:tc>
          <w:tcPr>
            <w:tcW w:w="620" w:type="dxa"/>
            <w:vAlign w:val="bottom"/>
            <w:tcBorders>
              <w:bottom w:val="single" w:sz="8" w:color="E7417A"/>
            </w:tcBorders>
            <w:shd w:val="clear" w:color="auto" w:fill="F2F2F2"/>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E7417A"/>
            </w:tcBorders>
            <w:vMerge w:val="continue"/>
            <w:shd w:val="clear" w:color="auto" w:fill="F2F2F2"/>
          </w:tcPr>
          <w:p>
            <w:pPr>
              <w:spacing w:after="0"/>
              <w:rPr>
                <w:sz w:val="15"/>
                <w:szCs w:val="15"/>
                <w:color w:val="auto"/>
              </w:rPr>
            </w:pPr>
          </w:p>
        </w:tc>
        <w:tc>
          <w:tcPr>
            <w:tcW w:w="340" w:type="dxa"/>
            <w:vAlign w:val="bottom"/>
            <w:tcBorders>
              <w:bottom w:val="single" w:sz="8" w:color="E7417A"/>
            </w:tcBorders>
            <w:vMerge w:val="continue"/>
            <w:shd w:val="clear" w:color="auto" w:fill="F2F2F2"/>
          </w:tcPr>
          <w:p>
            <w:pPr>
              <w:spacing w:after="0"/>
              <w:rPr>
                <w:sz w:val="15"/>
                <w:szCs w:val="15"/>
                <w:color w:val="auto"/>
              </w:rPr>
            </w:pPr>
          </w:p>
        </w:tc>
        <w:tc>
          <w:tcPr>
            <w:tcW w:w="10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E7417A"/>
            </w:tcBorders>
            <w:shd w:val="clear" w:color="auto" w:fill="F2F2F2"/>
          </w:tcPr>
          <w:p>
            <w:pPr>
              <w:spacing w:after="0"/>
              <w:rPr>
                <w:sz w:val="15"/>
                <w:szCs w:val="15"/>
                <w:color w:val="auto"/>
              </w:rPr>
            </w:pPr>
          </w:p>
        </w:tc>
        <w:tc>
          <w:tcPr>
            <w:tcW w:w="360" w:type="dxa"/>
            <w:vAlign w:val="bottom"/>
            <w:tcBorders>
              <w:bottom w:val="single" w:sz="8" w:color="E7417A"/>
            </w:tcBorders>
            <w:gridSpan w:val="3"/>
            <w:shd w:val="clear" w:color="auto" w:fill="F2F2F2"/>
          </w:tcPr>
          <w:p>
            <w:pPr>
              <w:jc w:val="right"/>
              <w:spacing w:after="0"/>
              <w:rPr>
                <w:sz w:val="20"/>
                <w:szCs w:val="20"/>
                <w:color w:val="auto"/>
              </w:rPr>
            </w:pPr>
            <w:r>
              <w:rPr>
                <w:rFonts w:ascii="Arial" w:cs="Arial" w:eastAsia="Arial" w:hAnsi="Arial"/>
                <w:sz w:val="13"/>
                <w:szCs w:val="13"/>
                <w:color w:val="auto"/>
              </w:rPr>
              <w:t>— ​​ ​</w:t>
            </w:r>
          </w:p>
        </w:tc>
        <w:tc>
          <w:tcPr>
            <w:tcW w:w="200" w:type="dxa"/>
            <w:vAlign w:val="bottom"/>
            <w:tcBorders>
              <w:bottom w:val="single" w:sz="8" w:color="E7417A"/>
            </w:tcBorders>
            <w:shd w:val="clear" w:color="auto" w:fill="F2F2F2"/>
          </w:tcPr>
          <w:p>
            <w:pPr>
              <w:ind w:left="12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E7417A"/>
            </w:tcBorders>
            <w:shd w:val="clear" w:color="auto" w:fill="F2F2F2"/>
          </w:tcPr>
          <w:p>
            <w:pPr>
              <w:jc w:val="right"/>
              <w:ind w:right="3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color w:val="auto"/>
              </w:rPr>
              <w:t>​​ ​</w:t>
            </w:r>
          </w:p>
        </w:tc>
        <w:tc>
          <w:tcPr>
            <w:tcW w:w="160" w:type="dxa"/>
            <w:vAlign w:val="bottom"/>
            <w:tcBorders>
              <w:bottom w:val="single" w:sz="8" w:color="E7417A"/>
            </w:tcBorders>
            <w:vMerge w:val="continue"/>
            <w:shd w:val="clear" w:color="auto" w:fill="F2F2F2"/>
          </w:tcPr>
          <w:p>
            <w:pPr>
              <w:spacing w:after="0"/>
              <w:rPr>
                <w:sz w:val="15"/>
                <w:szCs w:val="15"/>
                <w:color w:val="auto"/>
              </w:rPr>
            </w:pPr>
          </w:p>
        </w:tc>
        <w:tc>
          <w:tcPr>
            <w:tcW w:w="700" w:type="dxa"/>
            <w:vAlign w:val="bottom"/>
            <w:tcBorders>
              <w:bottom w:val="single" w:sz="8" w:color="E7417A"/>
            </w:tcBorders>
            <w:gridSpan w:val="2"/>
            <w:vMerge w:val="continue"/>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4C4C4C"/>
            </w:tcBorders>
          </w:tcPr>
          <w:p>
            <w:pPr>
              <w:jc w:val="right"/>
              <w:ind w:right="5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2024</w:t>
            </w:r>
          </w:p>
        </w:tc>
        <w:tc>
          <w:tcPr>
            <w:tcW w:w="2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line="210" w:lineRule="exact"/>
              <w:rPr>
                <w:sz w:val="20"/>
                <w:szCs w:val="20"/>
                <w:color w:val="auto"/>
              </w:rPr>
            </w:pPr>
            <w:r>
              <w:rPr>
                <w:rFonts w:ascii="Arial" w:cs="Arial" w:eastAsia="Arial" w:hAnsi="Arial"/>
                <w:sz w:val="13"/>
                <w:szCs w:val="13"/>
                <w:color w:val="auto"/>
              </w:rPr>
              <w:t>​ ​ ​</w:t>
            </w:r>
            <w:r>
              <w:rPr>
                <w:rFonts w:ascii="Arial" w:cs="Arial" w:eastAsia="Arial" w:hAnsi="Arial"/>
                <w:sz w:val="24"/>
                <w:szCs w:val="24"/>
                <w:color w:val="auto"/>
                <w:vertAlign w:val="superscript"/>
              </w:rPr>
              <w:t>​</w:t>
            </w:r>
          </w:p>
        </w:tc>
        <w:tc>
          <w:tcPr>
            <w:tcW w:w="300" w:type="dxa"/>
            <w:vAlign w:val="bottom"/>
            <w:tcBorders>
              <w:bottom w:val="single" w:sz="8" w:color="4C4C4C"/>
            </w:tcBorders>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540" w:type="dxa"/>
            <w:vAlign w:val="bottom"/>
            <w:tcBorders>
              <w:bottom w:val="single" w:sz="8" w:color="4C4C4C"/>
            </w:tcBorders>
          </w:tcPr>
          <w:p>
            <w:pPr>
              <w:spacing w:after="0" w:line="210" w:lineRule="exact"/>
              <w:rPr>
                <w:sz w:val="20"/>
                <w:szCs w:val="20"/>
                <w:color w:val="auto"/>
              </w:rPr>
            </w:pPr>
            <w:r>
              <w:rPr>
                <w:rFonts w:ascii="Arial" w:cs="Arial" w:eastAsia="Arial" w:hAnsi="Arial"/>
                <w:sz w:val="13"/>
                <w:szCs w:val="13"/>
                <w:color w:val="auto"/>
              </w:rPr>
              <w:t>​​ ​ ​</w:t>
            </w:r>
            <w:r>
              <w:rPr>
                <w:rFonts w:ascii="Arial" w:cs="Arial" w:eastAsia="Arial" w:hAnsi="Arial"/>
                <w:sz w:val="24"/>
                <w:szCs w:val="24"/>
                <w:color w:val="auto"/>
                <w:vertAlign w:val="superscript"/>
              </w:rPr>
              <w:t>​</w:t>
            </w:r>
          </w:p>
        </w:tc>
        <w:tc>
          <w:tcPr>
            <w:tcW w:w="340" w:type="dxa"/>
            <w:vAlign w:val="bottom"/>
            <w:tcBorders>
              <w:bottom w:val="single" w:sz="8" w:color="4C4C4C"/>
            </w:tcBorders>
          </w:tcPr>
          <w:p>
            <w:pPr>
              <w:jc w:val="right"/>
              <w:ind w:right="14"/>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100" w:type="dxa"/>
            <w:vAlign w:val="bottom"/>
            <w:tcBorders>
              <w:bottom w:val="single" w:sz="8" w:color="4C4C4C"/>
            </w:tcBorders>
          </w:tcPr>
          <w:p>
            <w:pPr>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300" w:type="dxa"/>
            <w:vAlign w:val="bottom"/>
            <w:tcBorders>
              <w:bottom w:val="single" w:sz="8" w:color="4C4C4C"/>
            </w:tcBorders>
          </w:tcPr>
          <w:p>
            <w:pPr>
              <w:spacing w:after="0"/>
              <w:rPr>
                <w:sz w:val="18"/>
                <w:szCs w:val="18"/>
                <w:color w:val="auto"/>
              </w:rPr>
            </w:pPr>
          </w:p>
        </w:tc>
        <w:tc>
          <w:tcPr>
            <w:tcW w:w="360" w:type="dxa"/>
            <w:vAlign w:val="bottom"/>
            <w:tcBorders>
              <w:bottom w:val="single" w:sz="8" w:color="4C4C4C"/>
            </w:tcBorders>
            <w:gridSpan w:val="3"/>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 ​</w:t>
            </w:r>
          </w:p>
        </w:tc>
        <w:tc>
          <w:tcPr>
            <w:tcW w:w="780" w:type="dxa"/>
            <w:vAlign w:val="bottom"/>
            <w:tcBorders>
              <w:bottom w:val="single" w:sz="8" w:color="4C4C4C"/>
            </w:tcBorders>
            <w:gridSpan w:val="2"/>
          </w:tcPr>
          <w:p>
            <w:pPr>
              <w:jc w:val="right"/>
              <w:ind w:right="33"/>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237,341</w:t>
            </w:r>
          </w:p>
        </w:tc>
        <w:tc>
          <w:tcPr>
            <w:tcW w:w="18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 ​</w:t>
            </w:r>
          </w:p>
        </w:tc>
        <w:tc>
          <w:tcPr>
            <w:tcW w:w="160" w:type="dxa"/>
            <w:vAlign w:val="bottom"/>
            <w:tcBorders>
              <w:bottom w:val="single" w:sz="8" w:color="4C4C4C"/>
            </w:tcBorders>
          </w:tcPr>
          <w:p>
            <w:pPr>
              <w:ind w:left="8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58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783,225</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1000" w:type="dxa"/>
            <w:vAlign w:val="bottom"/>
            <w:gridSpan w:val="2"/>
            <w:vMerge w:val="restart"/>
          </w:tcPr>
          <w:p>
            <w:pPr>
              <w:jc w:val="right"/>
              <w:ind w:right="813"/>
              <w:spacing w:after="0"/>
              <w:rPr>
                <w:sz w:val="20"/>
                <w:szCs w:val="20"/>
                <w:color w:val="auto"/>
              </w:rPr>
            </w:pPr>
            <w:r>
              <w:rPr>
                <w:rFonts w:ascii="Arial" w:cs="Arial" w:eastAsia="Arial" w:hAnsi="Arial"/>
                <w:sz w:val="26"/>
                <w:szCs w:val="26"/>
                <w:color w:val="auto"/>
                <w:vertAlign w:val="subscript"/>
              </w:rPr>
              <w:t>​</w:t>
            </w:r>
            <w:r>
              <w:rPr>
                <w:rFonts w:ascii="Arial" w:cs="Arial" w:eastAsia="Arial" w:hAnsi="Arial"/>
                <w:sz w:val="13"/>
                <w:szCs w:val="13"/>
                <w:color w:val="auto"/>
              </w:rPr>
              <w:t xml:space="preserve"> ​</w:t>
            </w:r>
          </w:p>
        </w:tc>
        <w:tc>
          <w:tcPr>
            <w:tcW w:w="60" w:type="dxa"/>
            <w:vAlign w:val="bottom"/>
          </w:tcPr>
          <w:p>
            <w:pPr>
              <w:spacing w:after="0"/>
              <w:rPr>
                <w:sz w:val="17"/>
                <w:szCs w:val="17"/>
                <w:color w:val="auto"/>
              </w:rPr>
            </w:pPr>
          </w:p>
        </w:tc>
        <w:tc>
          <w:tcPr>
            <w:tcW w:w="160" w:type="dxa"/>
            <w:vAlign w:val="bottom"/>
            <w:tcBorders>
              <w:bottom w:val="single" w:sz="8" w:color="4C4C4C"/>
            </w:tcBorders>
          </w:tcPr>
          <w:p>
            <w:pPr>
              <w:jc w:val="right"/>
              <w:ind w:right="5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2024</w:t>
            </w:r>
          </w:p>
        </w:tc>
        <w:tc>
          <w:tcPr>
            <w:tcW w:w="2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4C4C4C"/>
            </w:tcBorders>
            <w:gridSpan w:val="2"/>
          </w:tcPr>
          <w:p>
            <w:pPr>
              <w:jc w:val="right"/>
              <w:ind w:right="14"/>
              <w:spacing w:after="0"/>
              <w:rPr>
                <w:sz w:val="20"/>
                <w:szCs w:val="20"/>
                <w:color w:val="auto"/>
              </w:rPr>
            </w:pPr>
            <w:r>
              <w:rPr>
                <w:rFonts w:ascii="Arial" w:cs="Arial" w:eastAsia="Arial" w:hAnsi="Arial"/>
                <w:sz w:val="13"/>
                <w:szCs w:val="13"/>
                <w:color w:val="auto"/>
              </w:rPr>
              <w:t>​​ ​ ​​327,532​ ​</w:t>
            </w:r>
          </w:p>
        </w:tc>
        <w:tc>
          <w:tcPr>
            <w:tcW w:w="760" w:type="dxa"/>
            <w:vAlign w:val="bottom"/>
            <w:tcBorders>
              <w:bottom w:val="single" w:sz="8" w:color="4C4C4C"/>
            </w:tcBorders>
            <w:gridSpan w:val="5"/>
          </w:tcPr>
          <w:p>
            <w:pPr>
              <w:jc w:val="right"/>
              <w:spacing w:after="0"/>
              <w:rPr>
                <w:sz w:val="20"/>
                <w:szCs w:val="20"/>
                <w:color w:val="auto"/>
              </w:rPr>
            </w:pPr>
            <w:r>
              <w:rPr>
                <w:rFonts w:ascii="Arial" w:cs="Arial" w:eastAsia="Arial" w:hAnsi="Arial"/>
                <w:sz w:val="13"/>
                <w:szCs w:val="13"/>
                <w:color w:val="auto"/>
              </w:rPr>
              <w:t>​ 491,298 ​​ ​</w:t>
            </w:r>
          </w:p>
        </w:tc>
        <w:tc>
          <w:tcPr>
            <w:tcW w:w="200" w:type="dxa"/>
            <w:vAlign w:val="bottom"/>
            <w:tcBorders>
              <w:bottom w:val="single" w:sz="8" w:color="4C4C4C"/>
            </w:tcBorders>
          </w:tcPr>
          <w:p>
            <w:pPr>
              <w:ind w:left="12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 ​</w:t>
            </w:r>
          </w:p>
        </w:tc>
        <w:tc>
          <w:tcPr>
            <w:tcW w:w="860" w:type="dxa"/>
            <w:vAlign w:val="bottom"/>
            <w:tcBorders>
              <w:bottom w:val="single" w:sz="8" w:color="4C4C4C"/>
            </w:tcBorders>
            <w:gridSpan w:val="3"/>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1,080,856 ​​</w:t>
            </w:r>
          </w:p>
        </w:tc>
        <w:tc>
          <w:tcPr>
            <w:tcW w:w="0" w:type="dxa"/>
            <w:vAlign w:val="bottom"/>
          </w:tcPr>
          <w:p>
            <w:pPr>
              <w:spacing w:after="0"/>
              <w:rPr>
                <w:sz w:val="1"/>
                <w:szCs w:val="1"/>
                <w:color w:val="auto"/>
              </w:rPr>
            </w:pPr>
          </w:p>
        </w:tc>
      </w:tr>
      <w:tr>
        <w:trPr>
          <w:trHeight w:val="183"/>
        </w:trPr>
        <w:tc>
          <w:tcPr>
            <w:tcW w:w="1000" w:type="dxa"/>
            <w:vAlign w:val="bottom"/>
            <w:tcBorders>
              <w:bottom w:val="single" w:sz="8" w:color="E7417A"/>
            </w:tcBorders>
            <w:gridSpan w:val="2"/>
            <w:vMerge w:val="continue"/>
          </w:tcPr>
          <w:p>
            <w:pPr>
              <w:spacing w:after="0"/>
              <w:rPr>
                <w:sz w:val="15"/>
                <w:szCs w:val="15"/>
                <w:color w:val="auto"/>
              </w:rPr>
            </w:pPr>
          </w:p>
        </w:tc>
        <w:tc>
          <w:tcPr>
            <w:tcW w:w="220" w:type="dxa"/>
            <w:vAlign w:val="bottom"/>
            <w:tcBorders>
              <w:bottom w:val="single" w:sz="8" w:color="E7417A"/>
            </w:tcBorders>
            <w:gridSpan w:val="2"/>
          </w:tcPr>
          <w:p>
            <w:pPr>
              <w:jc w:val="right"/>
              <w:ind w:right="53"/>
              <w:spacing w:after="0"/>
              <w:rPr>
                <w:sz w:val="20"/>
                <w:szCs w:val="20"/>
                <w:color w:val="auto"/>
              </w:rPr>
            </w:pPr>
            <w:r>
              <w:rPr>
                <w:rFonts w:ascii="Arial" w:cs="Arial" w:eastAsia="Arial" w:hAnsi="Arial"/>
                <w:sz w:val="13"/>
                <w:szCs w:val="13"/>
                <w:color w:val="auto"/>
              </w:rPr>
              <w:t>​ ​</w:t>
            </w:r>
          </w:p>
        </w:tc>
        <w:tc>
          <w:tcPr>
            <w:tcW w:w="98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May 15, 2024</w:t>
            </w:r>
          </w:p>
        </w:tc>
        <w:tc>
          <w:tcPr>
            <w:tcW w:w="22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E7417A"/>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E7417A"/>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7417A"/>
            </w:tcBorders>
            <w:gridSpan w:val="2"/>
          </w:tcPr>
          <w:p>
            <w:pPr>
              <w:jc w:val="right"/>
              <w:ind w:right="14"/>
              <w:spacing w:after="0"/>
              <w:rPr>
                <w:sz w:val="20"/>
                <w:szCs w:val="20"/>
                <w:color w:val="auto"/>
              </w:rPr>
            </w:pPr>
            <w:r>
              <w:rPr>
                <w:rFonts w:ascii="Arial" w:cs="Arial" w:eastAsia="Arial" w:hAnsi="Arial"/>
                <w:sz w:val="13"/>
                <w:szCs w:val="13"/>
                <w:color w:val="auto"/>
              </w:rPr>
              <w:t>​​ ​ ​​218,354​ ​</w:t>
            </w:r>
          </w:p>
        </w:tc>
        <w:tc>
          <w:tcPr>
            <w:tcW w:w="760" w:type="dxa"/>
            <w:vAlign w:val="bottom"/>
            <w:tcBorders>
              <w:bottom w:val="single" w:sz="8" w:color="E7417A"/>
            </w:tcBorders>
            <w:gridSpan w:val="5"/>
          </w:tcPr>
          <w:p>
            <w:pPr>
              <w:jc w:val="right"/>
              <w:spacing w:after="0"/>
              <w:rPr>
                <w:sz w:val="20"/>
                <w:szCs w:val="20"/>
                <w:color w:val="auto"/>
              </w:rPr>
            </w:pPr>
            <w:r>
              <w:rPr>
                <w:rFonts w:ascii="Arial" w:cs="Arial" w:eastAsia="Arial" w:hAnsi="Arial"/>
                <w:sz w:val="13"/>
                <w:szCs w:val="13"/>
                <w:color w:val="auto"/>
              </w:rPr>
              <w:t>​ 436,708 ​​ ​</w:t>
            </w:r>
          </w:p>
        </w:tc>
        <w:tc>
          <w:tcPr>
            <w:tcW w:w="200" w:type="dxa"/>
            <w:vAlign w:val="bottom"/>
            <w:tcBorders>
              <w:bottom w:val="single" w:sz="8" w:color="E7417A"/>
            </w:tcBorders>
          </w:tcPr>
          <w:p>
            <w:pPr>
              <w:ind w:left="12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417A"/>
            </w:tcBorders>
          </w:tcPr>
          <w:p>
            <w:pPr>
              <w:jc w:val="right"/>
              <w:ind w:right="3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3"/>
                <w:szCs w:val="13"/>
                <w:color w:val="auto"/>
              </w:rPr>
              <w:t>​​ ​</w:t>
            </w:r>
          </w:p>
        </w:tc>
        <w:tc>
          <w:tcPr>
            <w:tcW w:w="740" w:type="dxa"/>
            <w:vAlign w:val="bottom"/>
            <w:tcBorders>
              <w:bottom w:val="single" w:sz="8" w:color="E7417A"/>
            </w:tcBorders>
            <w:gridSpan w:val="2"/>
          </w:tcPr>
          <w:p>
            <w:pPr>
              <w:ind w:left="8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1,277,371</w:t>
            </w:r>
          </w:p>
        </w:tc>
        <w:tc>
          <w:tcPr>
            <w:tcW w:w="12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7"/>
        </w:trPr>
        <w:tc>
          <w:tcPr>
            <w:tcW w:w="80" w:type="dxa"/>
            <w:vAlign w:val="bottom"/>
            <w:shd w:val="clear" w:color="auto" w:fill="F2F2F2"/>
          </w:tcPr>
          <w:p>
            <w:pPr>
              <w:spacing w:after="0"/>
              <w:rPr>
                <w:sz w:val="11"/>
                <w:szCs w:val="11"/>
                <w:color w:val="auto"/>
              </w:rPr>
            </w:pPr>
          </w:p>
        </w:tc>
        <w:tc>
          <w:tcPr>
            <w:tcW w:w="920" w:type="dxa"/>
            <w:vAlign w:val="bottom"/>
            <w:shd w:val="clear" w:color="auto" w:fill="F2F2F2"/>
          </w:tcPr>
          <w:p>
            <w:pPr>
              <w:spacing w:after="0" w:line="128" w:lineRule="exact"/>
              <w:rPr>
                <w:sz w:val="20"/>
                <w:szCs w:val="20"/>
                <w:color w:val="auto"/>
              </w:rPr>
            </w:pPr>
            <w:r>
              <w:rPr>
                <w:rFonts w:ascii="Arial" w:cs="Arial" w:eastAsia="Arial" w:hAnsi="Arial"/>
                <w:sz w:val="13"/>
                <w:szCs w:val="13"/>
                <w:b w:val="1"/>
                <w:bCs w:val="1"/>
                <w:color w:val="auto"/>
              </w:rPr>
              <w:t>John</w:t>
            </w:r>
          </w:p>
        </w:tc>
        <w:tc>
          <w:tcPr>
            <w:tcW w:w="6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98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700" w:type="dxa"/>
            <w:vAlign w:val="bottom"/>
            <w:shd w:val="clear" w:color="auto" w:fill="F2F2F2"/>
          </w:tcPr>
          <w:p>
            <w:pPr>
              <w:spacing w:after="0"/>
              <w:rPr>
                <w:sz w:val="11"/>
                <w:szCs w:val="11"/>
                <w:color w:val="auto"/>
              </w:rPr>
            </w:pPr>
          </w:p>
        </w:tc>
        <w:tc>
          <w:tcPr>
            <w:tcW w:w="500" w:type="dxa"/>
            <w:vAlign w:val="bottom"/>
            <w:shd w:val="clear" w:color="auto" w:fill="F2F2F2"/>
          </w:tcPr>
          <w:p>
            <w:pPr>
              <w:spacing w:after="0"/>
              <w:rPr>
                <w:sz w:val="11"/>
                <w:szCs w:val="11"/>
                <w:color w:val="auto"/>
              </w:rPr>
            </w:pPr>
          </w:p>
        </w:tc>
        <w:tc>
          <w:tcPr>
            <w:tcW w:w="300" w:type="dxa"/>
            <w:vAlign w:val="bottom"/>
            <w:shd w:val="clear" w:color="auto" w:fill="F2F2F2"/>
          </w:tcPr>
          <w:p>
            <w:pPr>
              <w:spacing w:after="0"/>
              <w:rPr>
                <w:sz w:val="11"/>
                <w:szCs w:val="11"/>
                <w:color w:val="auto"/>
              </w:rPr>
            </w:pPr>
          </w:p>
        </w:tc>
        <w:tc>
          <w:tcPr>
            <w:tcW w:w="6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660" w:type="dxa"/>
            <w:vAlign w:val="bottom"/>
            <w:shd w:val="clear" w:color="auto" w:fill="F2F2F2"/>
          </w:tcPr>
          <w:p>
            <w:pPr>
              <w:spacing w:after="0"/>
              <w:rPr>
                <w:sz w:val="11"/>
                <w:szCs w:val="11"/>
                <w:color w:val="auto"/>
              </w:rPr>
            </w:pPr>
          </w:p>
        </w:tc>
        <w:tc>
          <w:tcPr>
            <w:tcW w:w="540" w:type="dxa"/>
            <w:vAlign w:val="bottom"/>
            <w:shd w:val="clear" w:color="auto" w:fill="F2F2F2"/>
          </w:tcPr>
          <w:p>
            <w:pPr>
              <w:spacing w:after="0"/>
              <w:rPr>
                <w:sz w:val="11"/>
                <w:szCs w:val="11"/>
                <w:color w:val="auto"/>
              </w:rPr>
            </w:pPr>
          </w:p>
        </w:tc>
        <w:tc>
          <w:tcPr>
            <w:tcW w:w="3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30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6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58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58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000" w:type="dxa"/>
            <w:vAlign w:val="bottom"/>
            <w:tcBorders>
              <w:bottom w:val="single" w:sz="8" w:color="E7417A"/>
            </w:tcBorders>
            <w:gridSpan w:val="2"/>
            <w:shd w:val="clear" w:color="auto" w:fill="F2F2F2"/>
          </w:tcPr>
          <w:p>
            <w:pPr>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Townsend</w:t>
            </w:r>
          </w:p>
        </w:tc>
        <w:tc>
          <w:tcPr>
            <w:tcW w:w="220" w:type="dxa"/>
            <w:vAlign w:val="bottom"/>
            <w:tcBorders>
              <w:bottom w:val="single" w:sz="8" w:color="E7417A"/>
            </w:tcBorders>
            <w:gridSpan w:val="2"/>
            <w:shd w:val="clear" w:color="auto" w:fill="F2F2F2"/>
          </w:tcPr>
          <w:p>
            <w:pPr>
              <w:jc w:val="right"/>
              <w:ind w:right="53"/>
              <w:spacing w:after="0"/>
              <w:rPr>
                <w:sz w:val="20"/>
                <w:szCs w:val="20"/>
                <w:color w:val="auto"/>
              </w:rPr>
            </w:pPr>
            <w:r>
              <w:rPr>
                <w:rFonts w:ascii="Arial" w:cs="Arial" w:eastAsia="Arial" w:hAnsi="Arial"/>
                <w:sz w:val="13"/>
                <w:szCs w:val="13"/>
                <w:color w:val="auto"/>
              </w:rPr>
              <w:t>​ ​</w:t>
            </w:r>
          </w:p>
        </w:tc>
        <w:tc>
          <w:tcPr>
            <w:tcW w:w="98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E7417A"/>
            </w:tcBorders>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7417A"/>
            </w:tcBorders>
            <w:gridSpan w:val="2"/>
            <w:shd w:val="clear" w:color="auto" w:fill="F2F2F2"/>
          </w:tcPr>
          <w:p>
            <w:pPr>
              <w:jc w:val="right"/>
              <w:spacing w:after="0"/>
              <w:rPr>
                <w:sz w:val="20"/>
                <w:szCs w:val="20"/>
                <w:color w:val="auto"/>
              </w:rPr>
            </w:pPr>
            <w:r>
              <w:rPr>
                <w:rFonts w:ascii="Arial" w:cs="Arial" w:eastAsia="Arial" w:hAnsi="Arial"/>
                <w:sz w:val="13"/>
                <w:szCs w:val="13"/>
                <w:color w:val="auto"/>
              </w:rPr>
              <w:t>​ ​ ​​375,000​ ​</w:t>
            </w:r>
          </w:p>
        </w:tc>
        <w:tc>
          <w:tcPr>
            <w:tcW w:w="620" w:type="dxa"/>
            <w:vAlign w:val="bottom"/>
            <w:tcBorders>
              <w:bottom w:val="single" w:sz="8" w:color="E7417A"/>
            </w:tcBorders>
            <w:shd w:val="clear" w:color="auto" w:fill="F2F2F2"/>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color w:val="auto"/>
              </w:rPr>
              <w:t>​​ ​ ​​</w:t>
            </w:r>
          </w:p>
        </w:tc>
        <w:tc>
          <w:tcPr>
            <w:tcW w:w="340" w:type="dxa"/>
            <w:vAlign w:val="bottom"/>
            <w:tcBorders>
              <w:bottom w:val="single" w:sz="8" w:color="E7417A"/>
            </w:tcBorders>
            <w:shd w:val="clear" w:color="auto" w:fill="F2F2F2"/>
          </w:tcPr>
          <w:p>
            <w:pPr>
              <w:jc w:val="right"/>
              <w:ind w:right="14"/>
              <w:spacing w:after="0"/>
              <w:rPr>
                <w:sz w:val="20"/>
                <w:szCs w:val="20"/>
                <w:color w:val="auto"/>
              </w:rPr>
            </w:pPr>
            <w:r>
              <w:rPr>
                <w:rFonts w:ascii="Arial" w:cs="Arial" w:eastAsia="Arial" w:hAnsi="Arial"/>
                <w:sz w:val="13"/>
                <w:szCs w:val="13"/>
                <w:color w:val="auto"/>
              </w:rPr>
              <w:t>—​ ​</w:t>
            </w:r>
          </w:p>
        </w:tc>
        <w:tc>
          <w:tcPr>
            <w:tcW w:w="10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E7417A"/>
            </w:tcBorders>
            <w:shd w:val="clear" w:color="auto" w:fill="F2F2F2"/>
          </w:tcPr>
          <w:p>
            <w:pPr>
              <w:spacing w:after="0"/>
              <w:rPr>
                <w:sz w:val="15"/>
                <w:szCs w:val="15"/>
                <w:color w:val="auto"/>
              </w:rPr>
            </w:pPr>
          </w:p>
        </w:tc>
        <w:tc>
          <w:tcPr>
            <w:tcW w:w="360" w:type="dxa"/>
            <w:vAlign w:val="bottom"/>
            <w:tcBorders>
              <w:bottom w:val="single" w:sz="8" w:color="E7417A"/>
            </w:tcBorders>
            <w:gridSpan w:val="3"/>
            <w:shd w:val="clear" w:color="auto" w:fill="F2F2F2"/>
          </w:tcPr>
          <w:p>
            <w:pPr>
              <w:jc w:val="right"/>
              <w:spacing w:after="0"/>
              <w:rPr>
                <w:sz w:val="20"/>
                <w:szCs w:val="20"/>
                <w:color w:val="auto"/>
              </w:rPr>
            </w:pPr>
            <w:r>
              <w:rPr>
                <w:rFonts w:ascii="Arial" w:cs="Arial" w:eastAsia="Arial" w:hAnsi="Arial"/>
                <w:sz w:val="13"/>
                <w:szCs w:val="13"/>
                <w:color w:val="auto"/>
              </w:rPr>
              <w:t>— ​​ ​</w:t>
            </w:r>
          </w:p>
        </w:tc>
        <w:tc>
          <w:tcPr>
            <w:tcW w:w="200" w:type="dxa"/>
            <w:vAlign w:val="bottom"/>
            <w:tcBorders>
              <w:bottom w:val="single" w:sz="8" w:color="E7417A"/>
            </w:tcBorders>
            <w:shd w:val="clear" w:color="auto" w:fill="F2F2F2"/>
          </w:tcPr>
          <w:p>
            <w:pPr>
              <w:ind w:left="12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E7417A"/>
            </w:tcBorders>
            <w:shd w:val="clear" w:color="auto" w:fill="F2F2F2"/>
          </w:tcPr>
          <w:p>
            <w:pPr>
              <w:jc w:val="right"/>
              <w:ind w:right="3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color w:val="auto"/>
              </w:rPr>
              <w:t>​​ ​</w:t>
            </w:r>
          </w:p>
        </w:tc>
        <w:tc>
          <w:tcPr>
            <w:tcW w:w="160" w:type="dxa"/>
            <w:vAlign w:val="bottom"/>
            <w:tcBorders>
              <w:bottom w:val="single" w:sz="8" w:color="E7417A"/>
            </w:tcBorders>
            <w:shd w:val="clear" w:color="auto" w:fill="F2F2F2"/>
          </w:tcPr>
          <w:p>
            <w:pPr>
              <w:ind w:left="8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E7417A"/>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E7417A"/>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Borders>
              <w:bottom w:val="single" w:sz="8" w:color="4C4C4C"/>
            </w:tcBorders>
            <w:gridSpan w:val="3"/>
          </w:tcPr>
          <w:p>
            <w:pPr>
              <w:jc w:val="right"/>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xml:space="preserve"> October 15, 2024 </w:t>
            </w:r>
            <w:r>
              <w:rPr>
                <w:rFonts w:ascii="Arial" w:cs="Arial" w:eastAsia="Arial" w:hAnsi="Arial"/>
                <w:sz w:val="24"/>
                <w:szCs w:val="24"/>
                <w:color w:val="auto"/>
                <w:vertAlign w:val="subscript"/>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line="210" w:lineRule="exact"/>
              <w:rPr>
                <w:sz w:val="20"/>
                <w:szCs w:val="20"/>
                <w:color w:val="auto"/>
              </w:rPr>
            </w:pPr>
            <w:r>
              <w:rPr>
                <w:rFonts w:ascii="Arial" w:cs="Arial" w:eastAsia="Arial" w:hAnsi="Arial"/>
                <w:sz w:val="13"/>
                <w:szCs w:val="13"/>
                <w:color w:val="auto"/>
              </w:rPr>
              <w:t>​ ​ ​</w:t>
            </w:r>
            <w:r>
              <w:rPr>
                <w:rFonts w:ascii="Arial" w:cs="Arial" w:eastAsia="Arial" w:hAnsi="Arial"/>
                <w:sz w:val="24"/>
                <w:szCs w:val="24"/>
                <w:color w:val="auto"/>
                <w:vertAlign w:val="superscript"/>
              </w:rPr>
              <w:t>​</w:t>
            </w:r>
          </w:p>
        </w:tc>
        <w:tc>
          <w:tcPr>
            <w:tcW w:w="300" w:type="dxa"/>
            <w:vAlign w:val="bottom"/>
            <w:tcBorders>
              <w:bottom w:val="single" w:sz="8" w:color="4C4C4C"/>
            </w:tcBorders>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540" w:type="dxa"/>
            <w:vAlign w:val="bottom"/>
            <w:tcBorders>
              <w:bottom w:val="single" w:sz="8" w:color="4C4C4C"/>
            </w:tcBorders>
          </w:tcPr>
          <w:p>
            <w:pPr>
              <w:spacing w:after="0" w:line="210" w:lineRule="exact"/>
              <w:rPr>
                <w:sz w:val="20"/>
                <w:szCs w:val="20"/>
                <w:color w:val="auto"/>
              </w:rPr>
            </w:pPr>
            <w:r>
              <w:rPr>
                <w:rFonts w:ascii="Arial" w:cs="Arial" w:eastAsia="Arial" w:hAnsi="Arial"/>
                <w:sz w:val="13"/>
                <w:szCs w:val="13"/>
                <w:color w:val="auto"/>
              </w:rPr>
              <w:t>​​ ​ ​</w:t>
            </w:r>
            <w:r>
              <w:rPr>
                <w:rFonts w:ascii="Arial" w:cs="Arial" w:eastAsia="Arial" w:hAnsi="Arial"/>
                <w:sz w:val="24"/>
                <w:szCs w:val="24"/>
                <w:color w:val="auto"/>
                <w:vertAlign w:val="superscript"/>
              </w:rPr>
              <w:t>​</w:t>
            </w:r>
          </w:p>
        </w:tc>
        <w:tc>
          <w:tcPr>
            <w:tcW w:w="340" w:type="dxa"/>
            <w:vAlign w:val="bottom"/>
            <w:tcBorders>
              <w:bottom w:val="single" w:sz="8" w:color="4C4C4C"/>
            </w:tcBorders>
          </w:tcPr>
          <w:p>
            <w:pPr>
              <w:jc w:val="right"/>
              <w:ind w:right="14"/>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100" w:type="dxa"/>
            <w:vAlign w:val="bottom"/>
            <w:tcBorders>
              <w:bottom w:val="single" w:sz="8" w:color="4C4C4C"/>
            </w:tcBorders>
          </w:tcPr>
          <w:p>
            <w:pPr>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300" w:type="dxa"/>
            <w:vAlign w:val="bottom"/>
            <w:tcBorders>
              <w:bottom w:val="single" w:sz="8" w:color="4C4C4C"/>
            </w:tcBorders>
          </w:tcPr>
          <w:p>
            <w:pPr>
              <w:spacing w:after="0"/>
              <w:rPr>
                <w:sz w:val="18"/>
                <w:szCs w:val="18"/>
                <w:color w:val="auto"/>
              </w:rPr>
            </w:pPr>
          </w:p>
        </w:tc>
        <w:tc>
          <w:tcPr>
            <w:tcW w:w="360" w:type="dxa"/>
            <w:vAlign w:val="bottom"/>
            <w:tcBorders>
              <w:bottom w:val="single" w:sz="8" w:color="4C4C4C"/>
            </w:tcBorders>
            <w:gridSpan w:val="3"/>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 ​</w:t>
            </w:r>
          </w:p>
        </w:tc>
        <w:tc>
          <w:tcPr>
            <w:tcW w:w="780" w:type="dxa"/>
            <w:vAlign w:val="bottom"/>
            <w:tcBorders>
              <w:bottom w:val="single" w:sz="8" w:color="4C4C4C"/>
            </w:tcBorders>
            <w:gridSpan w:val="2"/>
          </w:tcPr>
          <w:p>
            <w:pPr>
              <w:jc w:val="right"/>
              <w:ind w:right="33"/>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230,769</w:t>
            </w:r>
          </w:p>
        </w:tc>
        <w:tc>
          <w:tcPr>
            <w:tcW w:w="18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 ​</w:t>
            </w:r>
          </w:p>
        </w:tc>
        <w:tc>
          <w:tcPr>
            <w:tcW w:w="160" w:type="dxa"/>
            <w:vAlign w:val="bottom"/>
            <w:tcBorders>
              <w:bottom w:val="single" w:sz="8" w:color="4C4C4C"/>
            </w:tcBorders>
          </w:tcPr>
          <w:p>
            <w:pPr>
              <w:ind w:left="8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58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752,307</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Borders>
              <w:bottom w:val="single" w:sz="8" w:color="4C4C4C"/>
            </w:tcBorders>
            <w:gridSpan w:val="3"/>
          </w:tcPr>
          <w:p>
            <w:pPr>
              <w:jc w:val="right"/>
              <w:spacing w:after="0"/>
              <w:rPr>
                <w:sz w:val="20"/>
                <w:szCs w:val="20"/>
                <w:color w:val="auto"/>
              </w:rPr>
            </w:pPr>
            <w:r>
              <w:rPr>
                <w:rFonts w:ascii="Arial" w:cs="Arial" w:eastAsia="Arial" w:hAnsi="Arial"/>
                <w:sz w:val="13"/>
                <w:szCs w:val="13"/>
                <w:color w:val="auto"/>
              </w:rPr>
              <w:t>​ October 15, 2024 ​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4C4C4C"/>
            </w:tcBorders>
            <w:gridSpan w:val="2"/>
          </w:tcPr>
          <w:p>
            <w:pPr>
              <w:jc w:val="right"/>
              <w:ind w:right="14"/>
              <w:spacing w:after="0"/>
              <w:rPr>
                <w:sz w:val="20"/>
                <w:szCs w:val="20"/>
                <w:color w:val="auto"/>
              </w:rPr>
            </w:pPr>
            <w:r>
              <w:rPr>
                <w:rFonts w:ascii="Arial" w:cs="Arial" w:eastAsia="Arial" w:hAnsi="Arial"/>
                <w:sz w:val="13"/>
                <w:szCs w:val="13"/>
                <w:color w:val="auto"/>
              </w:rPr>
              <w:t>​​ ​ ​​138,461​ ​</w:t>
            </w:r>
          </w:p>
        </w:tc>
        <w:tc>
          <w:tcPr>
            <w:tcW w:w="760" w:type="dxa"/>
            <w:vAlign w:val="bottom"/>
            <w:tcBorders>
              <w:bottom w:val="single" w:sz="8" w:color="4C4C4C"/>
            </w:tcBorders>
            <w:gridSpan w:val="5"/>
          </w:tcPr>
          <w:p>
            <w:pPr>
              <w:jc w:val="right"/>
              <w:spacing w:after="0"/>
              <w:rPr>
                <w:sz w:val="20"/>
                <w:szCs w:val="20"/>
                <w:color w:val="auto"/>
              </w:rPr>
            </w:pPr>
            <w:r>
              <w:rPr>
                <w:rFonts w:ascii="Arial" w:cs="Arial" w:eastAsia="Arial" w:hAnsi="Arial"/>
                <w:sz w:val="13"/>
                <w:szCs w:val="13"/>
                <w:color w:val="auto"/>
              </w:rPr>
              <w:t>​ 207,692 ​​ ​</w:t>
            </w:r>
          </w:p>
        </w:tc>
        <w:tc>
          <w:tcPr>
            <w:tcW w:w="200" w:type="dxa"/>
            <w:vAlign w:val="bottom"/>
            <w:tcBorders>
              <w:bottom w:val="single" w:sz="8" w:color="4C4C4C"/>
            </w:tcBorders>
          </w:tcPr>
          <w:p>
            <w:pPr>
              <w:ind w:left="12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 ​</w:t>
            </w:r>
          </w:p>
        </w:tc>
        <w:tc>
          <w:tcPr>
            <w:tcW w:w="160" w:type="dxa"/>
            <w:vAlign w:val="bottom"/>
            <w:tcBorders>
              <w:bottom w:val="single" w:sz="8" w:color="4C4C4C"/>
            </w:tcBorders>
          </w:tcPr>
          <w:p>
            <w:pPr>
              <w:ind w:left="8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451,383</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1000" w:type="dxa"/>
            <w:vAlign w:val="bottom"/>
            <w:gridSpan w:val="2"/>
            <w:vMerge w:val="restart"/>
          </w:tcPr>
          <w:p>
            <w:pPr>
              <w:jc w:val="right"/>
              <w:ind w:right="813"/>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26"/>
                <w:szCs w:val="26"/>
                <w:color w:val="auto"/>
                <w:vertAlign w:val="superscript"/>
              </w:rPr>
              <w:t>​</w:t>
            </w:r>
          </w:p>
        </w:tc>
        <w:tc>
          <w:tcPr>
            <w:tcW w:w="60" w:type="dxa"/>
            <w:vAlign w:val="bottom"/>
          </w:tcPr>
          <w:p>
            <w:pPr>
              <w:spacing w:after="0"/>
              <w:rPr>
                <w:sz w:val="17"/>
                <w:szCs w:val="17"/>
                <w:color w:val="auto"/>
              </w:rPr>
            </w:pPr>
          </w:p>
        </w:tc>
        <w:tc>
          <w:tcPr>
            <w:tcW w:w="1360" w:type="dxa"/>
            <w:vAlign w:val="bottom"/>
            <w:tcBorders>
              <w:bottom w:val="single" w:sz="8" w:color="4C4C4C"/>
            </w:tcBorders>
            <w:gridSpan w:val="3"/>
          </w:tcPr>
          <w:p>
            <w:pPr>
              <w:jc w:val="right"/>
              <w:spacing w:after="0"/>
              <w:rPr>
                <w:sz w:val="20"/>
                <w:szCs w:val="20"/>
                <w:color w:val="auto"/>
              </w:rPr>
            </w:pPr>
            <w:r>
              <w:rPr>
                <w:rFonts w:ascii="Arial" w:cs="Arial" w:eastAsia="Arial" w:hAnsi="Arial"/>
                <w:sz w:val="13"/>
                <w:szCs w:val="13"/>
                <w:color w:val="auto"/>
              </w:rPr>
              <w:t>​ October 15, 2024 ​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4C4C4C"/>
            </w:tcBorders>
            <w:gridSpan w:val="2"/>
          </w:tcPr>
          <w:p>
            <w:pPr>
              <w:jc w:val="right"/>
              <w:ind w:right="14"/>
              <w:spacing w:after="0"/>
              <w:rPr>
                <w:sz w:val="20"/>
                <w:szCs w:val="20"/>
                <w:color w:val="auto"/>
              </w:rPr>
            </w:pPr>
            <w:r>
              <w:rPr>
                <w:rFonts w:ascii="Arial" w:cs="Arial" w:eastAsia="Arial" w:hAnsi="Arial"/>
                <w:sz w:val="13"/>
                <w:szCs w:val="13"/>
                <w:color w:val="auto"/>
              </w:rPr>
              <w:t>​​ ​ ​​ 92,308​ ​</w:t>
            </w:r>
          </w:p>
        </w:tc>
        <w:tc>
          <w:tcPr>
            <w:tcW w:w="760" w:type="dxa"/>
            <w:vAlign w:val="bottom"/>
            <w:tcBorders>
              <w:bottom w:val="single" w:sz="8" w:color="4C4C4C"/>
            </w:tcBorders>
            <w:gridSpan w:val="5"/>
          </w:tcPr>
          <w:p>
            <w:pPr>
              <w:jc w:val="right"/>
              <w:spacing w:after="0"/>
              <w:rPr>
                <w:sz w:val="20"/>
                <w:szCs w:val="20"/>
                <w:color w:val="auto"/>
              </w:rPr>
            </w:pPr>
            <w:r>
              <w:rPr>
                <w:rFonts w:ascii="Arial" w:cs="Arial" w:eastAsia="Arial" w:hAnsi="Arial"/>
                <w:sz w:val="13"/>
                <w:szCs w:val="13"/>
                <w:color w:val="auto"/>
              </w:rPr>
              <w:t>​ 184,616 ​​ ​</w:t>
            </w:r>
          </w:p>
        </w:tc>
        <w:tc>
          <w:tcPr>
            <w:tcW w:w="200" w:type="dxa"/>
            <w:vAlign w:val="bottom"/>
            <w:tcBorders>
              <w:bottom w:val="single" w:sz="8" w:color="4C4C4C"/>
            </w:tcBorders>
          </w:tcPr>
          <w:p>
            <w:pPr>
              <w:ind w:left="12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 ​</w:t>
            </w:r>
          </w:p>
        </w:tc>
        <w:tc>
          <w:tcPr>
            <w:tcW w:w="160" w:type="dxa"/>
            <w:vAlign w:val="bottom"/>
            <w:tcBorders>
              <w:bottom w:val="single" w:sz="8" w:color="4C4C4C"/>
            </w:tcBorders>
          </w:tcPr>
          <w:p>
            <w:pPr>
              <w:ind w:left="8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505,848</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000" w:type="dxa"/>
            <w:vAlign w:val="bottom"/>
            <w:tcBorders>
              <w:bottom w:val="single" w:sz="8" w:color="E7417A"/>
            </w:tcBorders>
            <w:gridSpan w:val="2"/>
            <w:vMerge w:val="continue"/>
          </w:tcPr>
          <w:p>
            <w:pPr>
              <w:spacing w:after="0"/>
              <w:rPr>
                <w:sz w:val="15"/>
                <w:szCs w:val="15"/>
                <w:color w:val="auto"/>
              </w:rPr>
            </w:pPr>
          </w:p>
        </w:tc>
        <w:tc>
          <w:tcPr>
            <w:tcW w:w="1420" w:type="dxa"/>
            <w:vAlign w:val="bottom"/>
            <w:tcBorders>
              <w:bottom w:val="single" w:sz="8" w:color="E7417A"/>
            </w:tcBorders>
            <w:gridSpan w:val="4"/>
          </w:tcPr>
          <w:p>
            <w:pPr>
              <w:jc w:val="right"/>
              <w:spacing w:after="0"/>
              <w:rPr>
                <w:sz w:val="20"/>
                <w:szCs w:val="20"/>
                <w:color w:val="auto"/>
              </w:rPr>
            </w:pPr>
            <w:r>
              <w:rPr>
                <w:rFonts w:ascii="Arial" w:cs="Arial" w:eastAsia="Arial" w:hAnsi="Arial"/>
                <w:sz w:val="13"/>
                <w:szCs w:val="13"/>
                <w:color w:val="auto"/>
              </w:rPr>
              <w:t>​ ​ October 15, 2025 ​ ​</w:t>
            </w:r>
          </w:p>
        </w:tc>
        <w:tc>
          <w:tcPr>
            <w:tcW w:w="70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E7417A"/>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E7417A"/>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7417A"/>
            </w:tcBorders>
            <w:gridSpan w:val="2"/>
          </w:tcPr>
          <w:p>
            <w:pPr>
              <w:jc w:val="right"/>
              <w:ind w:right="14"/>
              <w:spacing w:after="0"/>
              <w:rPr>
                <w:sz w:val="20"/>
                <w:szCs w:val="20"/>
                <w:color w:val="auto"/>
              </w:rPr>
            </w:pPr>
            <w:r>
              <w:rPr>
                <w:rFonts w:ascii="Arial" w:cs="Arial" w:eastAsia="Arial" w:hAnsi="Arial"/>
                <w:sz w:val="13"/>
                <w:szCs w:val="13"/>
                <w:color w:val="auto"/>
              </w:rPr>
              <w:t>​​ ​ ​​406,891​ ​</w:t>
            </w:r>
          </w:p>
        </w:tc>
        <w:tc>
          <w:tcPr>
            <w:tcW w:w="100" w:type="dxa"/>
            <w:vAlign w:val="bottom"/>
            <w:tcBorders>
              <w:bottom w:val="single" w:sz="8" w:color="E7417A"/>
            </w:tcBorders>
          </w:tcPr>
          <w:p>
            <w:pPr>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E7417A"/>
            </w:tcBorders>
          </w:tcPr>
          <w:p>
            <w:pPr>
              <w:spacing w:after="0"/>
              <w:rPr>
                <w:sz w:val="15"/>
                <w:szCs w:val="15"/>
                <w:color w:val="auto"/>
              </w:rPr>
            </w:pPr>
          </w:p>
        </w:tc>
        <w:tc>
          <w:tcPr>
            <w:tcW w:w="360" w:type="dxa"/>
            <w:vAlign w:val="bottom"/>
            <w:tcBorders>
              <w:bottom w:val="single" w:sz="8" w:color="E7417A"/>
            </w:tcBorders>
            <w:gridSpan w:val="3"/>
          </w:tcPr>
          <w:p>
            <w:pPr>
              <w:jc w:val="right"/>
              <w:spacing w:after="0"/>
              <w:rPr>
                <w:sz w:val="20"/>
                <w:szCs w:val="20"/>
                <w:color w:val="auto"/>
              </w:rPr>
            </w:pPr>
            <w:r>
              <w:rPr>
                <w:rFonts w:ascii="Arial" w:cs="Arial" w:eastAsia="Arial" w:hAnsi="Arial"/>
                <w:sz w:val="13"/>
                <w:szCs w:val="13"/>
                <w:color w:val="auto"/>
              </w:rPr>
              <w:t>— ​​ ​</w:t>
            </w:r>
          </w:p>
        </w:tc>
        <w:tc>
          <w:tcPr>
            <w:tcW w:w="200" w:type="dxa"/>
            <w:vAlign w:val="bottom"/>
            <w:tcBorders>
              <w:bottom w:val="single" w:sz="8" w:color="E7417A"/>
            </w:tcBorders>
          </w:tcPr>
          <w:p>
            <w:pPr>
              <w:ind w:left="12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417A"/>
            </w:tcBorders>
          </w:tcPr>
          <w:p>
            <w:pPr>
              <w:jc w:val="right"/>
              <w:ind w:right="3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3"/>
                <w:szCs w:val="13"/>
                <w:color w:val="auto"/>
              </w:rPr>
              <w:t>​​ ​</w:t>
            </w:r>
          </w:p>
        </w:tc>
        <w:tc>
          <w:tcPr>
            <w:tcW w:w="160" w:type="dxa"/>
            <w:vAlign w:val="bottom"/>
            <w:tcBorders>
              <w:bottom w:val="single" w:sz="8" w:color="E7417A"/>
            </w:tcBorders>
          </w:tcPr>
          <w:p>
            <w:pPr>
              <w:ind w:left="8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861,520</w:t>
            </w:r>
          </w:p>
        </w:tc>
        <w:tc>
          <w:tcPr>
            <w:tcW w:w="12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000" w:type="dxa"/>
            <w:vAlign w:val="bottom"/>
            <w:tcBorders>
              <w:bottom w:val="single" w:sz="8" w:color="E7417A"/>
            </w:tcBorders>
            <w:gridSpan w:val="2"/>
            <w:shd w:val="clear" w:color="auto" w:fill="F2F2F2"/>
          </w:tcPr>
          <w:p>
            <w:pPr>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Sam Bucci</w:t>
            </w:r>
          </w:p>
        </w:tc>
        <w:tc>
          <w:tcPr>
            <w:tcW w:w="220" w:type="dxa"/>
            <w:vAlign w:val="bottom"/>
            <w:tcBorders>
              <w:bottom w:val="single" w:sz="8" w:color="E7417A"/>
            </w:tcBorders>
            <w:gridSpan w:val="2"/>
            <w:shd w:val="clear" w:color="auto" w:fill="F2F2F2"/>
          </w:tcPr>
          <w:p>
            <w:pPr>
              <w:jc w:val="right"/>
              <w:ind w:right="53"/>
              <w:spacing w:after="0"/>
              <w:rPr>
                <w:sz w:val="20"/>
                <w:szCs w:val="20"/>
                <w:color w:val="auto"/>
              </w:rPr>
            </w:pPr>
            <w:r>
              <w:rPr>
                <w:rFonts w:ascii="Arial" w:cs="Arial" w:eastAsia="Arial" w:hAnsi="Arial"/>
                <w:sz w:val="13"/>
                <w:szCs w:val="13"/>
                <w:color w:val="auto"/>
              </w:rPr>
              <w:t>​ ​</w:t>
            </w:r>
          </w:p>
        </w:tc>
        <w:tc>
          <w:tcPr>
            <w:tcW w:w="98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E7417A"/>
            </w:tcBorders>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7417A"/>
            </w:tcBorders>
            <w:gridSpan w:val="2"/>
            <w:shd w:val="clear" w:color="auto" w:fill="F2F2F2"/>
          </w:tcPr>
          <w:p>
            <w:pPr>
              <w:jc w:val="right"/>
              <w:spacing w:after="0"/>
              <w:rPr>
                <w:sz w:val="20"/>
                <w:szCs w:val="20"/>
                <w:color w:val="auto"/>
              </w:rPr>
            </w:pPr>
            <w:r>
              <w:rPr>
                <w:rFonts w:ascii="Arial" w:cs="Arial" w:eastAsia="Arial" w:hAnsi="Arial"/>
                <w:sz w:val="13"/>
                <w:szCs w:val="13"/>
                <w:color w:val="auto"/>
              </w:rPr>
              <w:t>​ ​ ​​344,138​ ​</w:t>
            </w:r>
          </w:p>
        </w:tc>
        <w:tc>
          <w:tcPr>
            <w:tcW w:w="620" w:type="dxa"/>
            <w:vAlign w:val="bottom"/>
            <w:tcBorders>
              <w:bottom w:val="single" w:sz="8" w:color="E7417A"/>
            </w:tcBorders>
            <w:shd w:val="clear" w:color="auto" w:fill="F2F2F2"/>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color w:val="auto"/>
              </w:rPr>
              <w:t>​​ ​ ​​</w:t>
            </w:r>
          </w:p>
        </w:tc>
        <w:tc>
          <w:tcPr>
            <w:tcW w:w="340" w:type="dxa"/>
            <w:vAlign w:val="bottom"/>
            <w:tcBorders>
              <w:bottom w:val="single" w:sz="8" w:color="E7417A"/>
            </w:tcBorders>
            <w:shd w:val="clear" w:color="auto" w:fill="F2F2F2"/>
          </w:tcPr>
          <w:p>
            <w:pPr>
              <w:jc w:val="right"/>
              <w:ind w:right="14"/>
              <w:spacing w:after="0"/>
              <w:rPr>
                <w:sz w:val="20"/>
                <w:szCs w:val="20"/>
                <w:color w:val="auto"/>
              </w:rPr>
            </w:pPr>
            <w:r>
              <w:rPr>
                <w:rFonts w:ascii="Arial" w:cs="Arial" w:eastAsia="Arial" w:hAnsi="Arial"/>
                <w:sz w:val="13"/>
                <w:szCs w:val="13"/>
                <w:color w:val="auto"/>
              </w:rPr>
              <w:t>—​ ​</w:t>
            </w:r>
          </w:p>
        </w:tc>
        <w:tc>
          <w:tcPr>
            <w:tcW w:w="10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E7417A"/>
            </w:tcBorders>
            <w:shd w:val="clear" w:color="auto" w:fill="F2F2F2"/>
          </w:tcPr>
          <w:p>
            <w:pPr>
              <w:spacing w:after="0"/>
              <w:rPr>
                <w:sz w:val="14"/>
                <w:szCs w:val="14"/>
                <w:color w:val="auto"/>
              </w:rPr>
            </w:pPr>
          </w:p>
        </w:tc>
        <w:tc>
          <w:tcPr>
            <w:tcW w:w="360" w:type="dxa"/>
            <w:vAlign w:val="bottom"/>
            <w:tcBorders>
              <w:bottom w:val="single" w:sz="8" w:color="E7417A"/>
            </w:tcBorders>
            <w:gridSpan w:val="3"/>
            <w:shd w:val="clear" w:color="auto" w:fill="F2F2F2"/>
          </w:tcPr>
          <w:p>
            <w:pPr>
              <w:jc w:val="right"/>
              <w:spacing w:after="0"/>
              <w:rPr>
                <w:sz w:val="20"/>
                <w:szCs w:val="20"/>
                <w:color w:val="auto"/>
              </w:rPr>
            </w:pPr>
            <w:r>
              <w:rPr>
                <w:rFonts w:ascii="Arial" w:cs="Arial" w:eastAsia="Arial" w:hAnsi="Arial"/>
                <w:sz w:val="13"/>
                <w:szCs w:val="13"/>
                <w:color w:val="auto"/>
              </w:rPr>
              <w:t>— ​​ ​</w:t>
            </w:r>
          </w:p>
        </w:tc>
        <w:tc>
          <w:tcPr>
            <w:tcW w:w="200" w:type="dxa"/>
            <w:vAlign w:val="bottom"/>
            <w:tcBorders>
              <w:bottom w:val="single" w:sz="8" w:color="E7417A"/>
            </w:tcBorders>
            <w:shd w:val="clear" w:color="auto" w:fill="F2F2F2"/>
          </w:tcPr>
          <w:p>
            <w:pPr>
              <w:ind w:left="12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417A"/>
            </w:tcBorders>
            <w:shd w:val="clear" w:color="auto" w:fill="F2F2F2"/>
          </w:tcPr>
          <w:p>
            <w:pPr>
              <w:jc w:val="right"/>
              <w:ind w:right="3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color w:val="auto"/>
              </w:rPr>
              <w:t>​​ ​</w:t>
            </w:r>
          </w:p>
        </w:tc>
        <w:tc>
          <w:tcPr>
            <w:tcW w:w="160" w:type="dxa"/>
            <w:vAlign w:val="bottom"/>
            <w:tcBorders>
              <w:bottom w:val="single" w:sz="8" w:color="E7417A"/>
            </w:tcBorders>
            <w:shd w:val="clear" w:color="auto" w:fill="F2F2F2"/>
          </w:tcPr>
          <w:p>
            <w:pPr>
              <w:ind w:left="8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E7417A"/>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E7417A"/>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4C4C4C"/>
            </w:tcBorders>
          </w:tcPr>
          <w:p>
            <w:pPr>
              <w:jc w:val="right"/>
              <w:ind w:right="5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2024</w:t>
            </w:r>
          </w:p>
        </w:tc>
        <w:tc>
          <w:tcPr>
            <w:tcW w:w="2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line="210" w:lineRule="exact"/>
              <w:rPr>
                <w:sz w:val="20"/>
                <w:szCs w:val="20"/>
                <w:color w:val="auto"/>
              </w:rPr>
            </w:pPr>
            <w:r>
              <w:rPr>
                <w:rFonts w:ascii="Arial" w:cs="Arial" w:eastAsia="Arial" w:hAnsi="Arial"/>
                <w:sz w:val="13"/>
                <w:szCs w:val="13"/>
                <w:color w:val="auto"/>
              </w:rPr>
              <w:t>​ ​ ​</w:t>
            </w:r>
            <w:r>
              <w:rPr>
                <w:rFonts w:ascii="Arial" w:cs="Arial" w:eastAsia="Arial" w:hAnsi="Arial"/>
                <w:sz w:val="24"/>
                <w:szCs w:val="24"/>
                <w:color w:val="auto"/>
                <w:vertAlign w:val="superscript"/>
              </w:rPr>
              <w:t>​</w:t>
            </w:r>
          </w:p>
        </w:tc>
        <w:tc>
          <w:tcPr>
            <w:tcW w:w="300" w:type="dxa"/>
            <w:vAlign w:val="bottom"/>
            <w:tcBorders>
              <w:bottom w:val="single" w:sz="8" w:color="4C4C4C"/>
            </w:tcBorders>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540" w:type="dxa"/>
            <w:vAlign w:val="bottom"/>
            <w:tcBorders>
              <w:bottom w:val="single" w:sz="8" w:color="4C4C4C"/>
            </w:tcBorders>
          </w:tcPr>
          <w:p>
            <w:pPr>
              <w:spacing w:after="0" w:line="210" w:lineRule="exact"/>
              <w:rPr>
                <w:sz w:val="20"/>
                <w:szCs w:val="20"/>
                <w:color w:val="auto"/>
              </w:rPr>
            </w:pPr>
            <w:r>
              <w:rPr>
                <w:rFonts w:ascii="Arial" w:cs="Arial" w:eastAsia="Arial" w:hAnsi="Arial"/>
                <w:sz w:val="13"/>
                <w:szCs w:val="13"/>
                <w:color w:val="auto"/>
              </w:rPr>
              <w:t>​​ ​ ​</w:t>
            </w:r>
            <w:r>
              <w:rPr>
                <w:rFonts w:ascii="Arial" w:cs="Arial" w:eastAsia="Arial" w:hAnsi="Arial"/>
                <w:sz w:val="24"/>
                <w:szCs w:val="24"/>
                <w:color w:val="auto"/>
                <w:vertAlign w:val="superscript"/>
              </w:rPr>
              <w:t>​</w:t>
            </w:r>
          </w:p>
        </w:tc>
        <w:tc>
          <w:tcPr>
            <w:tcW w:w="340" w:type="dxa"/>
            <w:vAlign w:val="bottom"/>
            <w:tcBorders>
              <w:bottom w:val="single" w:sz="8" w:color="4C4C4C"/>
            </w:tcBorders>
          </w:tcPr>
          <w:p>
            <w:pPr>
              <w:jc w:val="right"/>
              <w:ind w:right="14"/>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100" w:type="dxa"/>
            <w:vAlign w:val="bottom"/>
            <w:tcBorders>
              <w:bottom w:val="single" w:sz="8" w:color="4C4C4C"/>
            </w:tcBorders>
          </w:tcPr>
          <w:p>
            <w:pPr>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300" w:type="dxa"/>
            <w:vAlign w:val="bottom"/>
            <w:tcBorders>
              <w:bottom w:val="single" w:sz="8" w:color="4C4C4C"/>
            </w:tcBorders>
          </w:tcPr>
          <w:p>
            <w:pPr>
              <w:spacing w:after="0"/>
              <w:rPr>
                <w:sz w:val="18"/>
                <w:szCs w:val="18"/>
                <w:color w:val="auto"/>
              </w:rPr>
            </w:pPr>
          </w:p>
        </w:tc>
        <w:tc>
          <w:tcPr>
            <w:tcW w:w="360" w:type="dxa"/>
            <w:vAlign w:val="bottom"/>
            <w:tcBorders>
              <w:bottom w:val="single" w:sz="8" w:color="4C4C4C"/>
            </w:tcBorders>
            <w:gridSpan w:val="3"/>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 ​</w:t>
            </w:r>
          </w:p>
        </w:tc>
        <w:tc>
          <w:tcPr>
            <w:tcW w:w="200" w:type="dxa"/>
            <w:vAlign w:val="bottom"/>
            <w:tcBorders>
              <w:bottom w:val="single" w:sz="8" w:color="4C4C4C"/>
            </w:tcBorders>
          </w:tcPr>
          <w:p>
            <w:pPr>
              <w:ind w:left="12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58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52,742</w:t>
            </w:r>
          </w:p>
        </w:tc>
        <w:tc>
          <w:tcPr>
            <w:tcW w:w="18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 ​</w:t>
            </w:r>
          </w:p>
        </w:tc>
        <w:tc>
          <w:tcPr>
            <w:tcW w:w="160" w:type="dxa"/>
            <w:vAlign w:val="bottom"/>
            <w:tcBorders>
              <w:bottom w:val="single" w:sz="8" w:color="4C4C4C"/>
            </w:tcBorders>
          </w:tcPr>
          <w:p>
            <w:pPr>
              <w:ind w:left="8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58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174,049</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1000" w:type="dxa"/>
            <w:vAlign w:val="bottom"/>
            <w:gridSpan w:val="2"/>
            <w:vMerge w:val="restart"/>
          </w:tcPr>
          <w:p>
            <w:pPr>
              <w:jc w:val="right"/>
              <w:ind w:right="813"/>
              <w:spacing w:after="0"/>
              <w:rPr>
                <w:sz w:val="20"/>
                <w:szCs w:val="20"/>
                <w:color w:val="auto"/>
              </w:rPr>
            </w:pPr>
            <w:r>
              <w:rPr>
                <w:rFonts w:ascii="Arial" w:cs="Arial" w:eastAsia="Arial" w:hAnsi="Arial"/>
                <w:sz w:val="26"/>
                <w:szCs w:val="26"/>
                <w:color w:val="auto"/>
                <w:vertAlign w:val="subscript"/>
              </w:rPr>
              <w:t>​</w:t>
            </w:r>
            <w:r>
              <w:rPr>
                <w:rFonts w:ascii="Arial" w:cs="Arial" w:eastAsia="Arial" w:hAnsi="Arial"/>
                <w:sz w:val="13"/>
                <w:szCs w:val="13"/>
                <w:color w:val="auto"/>
              </w:rPr>
              <w:t xml:space="preserve"> ​</w:t>
            </w:r>
          </w:p>
        </w:tc>
        <w:tc>
          <w:tcPr>
            <w:tcW w:w="60" w:type="dxa"/>
            <w:vAlign w:val="bottom"/>
          </w:tcPr>
          <w:p>
            <w:pPr>
              <w:spacing w:after="0"/>
              <w:rPr>
                <w:sz w:val="17"/>
                <w:szCs w:val="17"/>
                <w:color w:val="auto"/>
              </w:rPr>
            </w:pPr>
          </w:p>
        </w:tc>
        <w:tc>
          <w:tcPr>
            <w:tcW w:w="160" w:type="dxa"/>
            <w:vAlign w:val="bottom"/>
            <w:tcBorders>
              <w:bottom w:val="single" w:sz="8" w:color="4C4C4C"/>
            </w:tcBorders>
          </w:tcPr>
          <w:p>
            <w:pPr>
              <w:jc w:val="right"/>
              <w:ind w:right="5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2024</w:t>
            </w:r>
          </w:p>
        </w:tc>
        <w:tc>
          <w:tcPr>
            <w:tcW w:w="2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4C4C4C"/>
            </w:tcBorders>
            <w:gridSpan w:val="2"/>
          </w:tcPr>
          <w:p>
            <w:pPr>
              <w:jc w:val="right"/>
              <w:ind w:right="14"/>
              <w:spacing w:after="0"/>
              <w:rPr>
                <w:sz w:val="20"/>
                <w:szCs w:val="20"/>
                <w:color w:val="auto"/>
              </w:rPr>
            </w:pPr>
            <w:r>
              <w:rPr>
                <w:rFonts w:ascii="Arial" w:cs="Arial" w:eastAsia="Arial" w:hAnsi="Arial"/>
                <w:sz w:val="13"/>
                <w:szCs w:val="13"/>
                <w:color w:val="auto"/>
              </w:rPr>
              <w:t>​​ ​ ​​ 72,785​ ​</w:t>
            </w:r>
          </w:p>
        </w:tc>
        <w:tc>
          <w:tcPr>
            <w:tcW w:w="760" w:type="dxa"/>
            <w:vAlign w:val="bottom"/>
            <w:tcBorders>
              <w:bottom w:val="single" w:sz="8" w:color="4C4C4C"/>
            </w:tcBorders>
            <w:gridSpan w:val="5"/>
          </w:tcPr>
          <w:p>
            <w:pPr>
              <w:jc w:val="right"/>
              <w:spacing w:after="0"/>
              <w:rPr>
                <w:sz w:val="20"/>
                <w:szCs w:val="20"/>
                <w:color w:val="auto"/>
              </w:rPr>
            </w:pPr>
            <w:r>
              <w:rPr>
                <w:rFonts w:ascii="Arial" w:cs="Arial" w:eastAsia="Arial" w:hAnsi="Arial"/>
                <w:sz w:val="13"/>
                <w:szCs w:val="13"/>
                <w:color w:val="auto"/>
              </w:rPr>
              <w:t>​ 109,178 ​​ ​</w:t>
            </w:r>
          </w:p>
        </w:tc>
        <w:tc>
          <w:tcPr>
            <w:tcW w:w="200" w:type="dxa"/>
            <w:vAlign w:val="bottom"/>
            <w:tcBorders>
              <w:bottom w:val="single" w:sz="8" w:color="4C4C4C"/>
            </w:tcBorders>
          </w:tcPr>
          <w:p>
            <w:pPr>
              <w:ind w:left="12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 ​</w:t>
            </w:r>
          </w:p>
        </w:tc>
        <w:tc>
          <w:tcPr>
            <w:tcW w:w="160" w:type="dxa"/>
            <w:vAlign w:val="bottom"/>
            <w:tcBorders>
              <w:bottom w:val="single" w:sz="8" w:color="4C4C4C"/>
            </w:tcBorders>
          </w:tcPr>
          <w:p>
            <w:pPr>
              <w:ind w:left="8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240,191</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000" w:type="dxa"/>
            <w:vAlign w:val="bottom"/>
            <w:tcBorders>
              <w:bottom w:val="single" w:sz="8" w:color="E7417A"/>
            </w:tcBorders>
            <w:gridSpan w:val="2"/>
            <w:vMerge w:val="continue"/>
          </w:tcPr>
          <w:p>
            <w:pPr>
              <w:spacing w:after="0"/>
              <w:rPr>
                <w:sz w:val="15"/>
                <w:szCs w:val="15"/>
                <w:color w:val="auto"/>
              </w:rPr>
            </w:pPr>
          </w:p>
        </w:tc>
        <w:tc>
          <w:tcPr>
            <w:tcW w:w="220" w:type="dxa"/>
            <w:vAlign w:val="bottom"/>
            <w:tcBorders>
              <w:bottom w:val="single" w:sz="8" w:color="E7417A"/>
            </w:tcBorders>
            <w:gridSpan w:val="2"/>
          </w:tcPr>
          <w:p>
            <w:pPr>
              <w:jc w:val="right"/>
              <w:ind w:right="53"/>
              <w:spacing w:after="0"/>
              <w:rPr>
                <w:sz w:val="20"/>
                <w:szCs w:val="20"/>
                <w:color w:val="auto"/>
              </w:rPr>
            </w:pPr>
            <w:r>
              <w:rPr>
                <w:rFonts w:ascii="Arial" w:cs="Arial" w:eastAsia="Arial" w:hAnsi="Arial"/>
                <w:sz w:val="13"/>
                <w:szCs w:val="13"/>
                <w:color w:val="auto"/>
              </w:rPr>
              <w:t>​ ​</w:t>
            </w:r>
          </w:p>
        </w:tc>
        <w:tc>
          <w:tcPr>
            <w:tcW w:w="98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May 15, 2024</w:t>
            </w:r>
          </w:p>
        </w:tc>
        <w:tc>
          <w:tcPr>
            <w:tcW w:w="22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E7417A"/>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E7417A"/>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7417A"/>
            </w:tcBorders>
            <w:gridSpan w:val="2"/>
          </w:tcPr>
          <w:p>
            <w:pPr>
              <w:jc w:val="right"/>
              <w:ind w:right="14"/>
              <w:spacing w:after="0"/>
              <w:rPr>
                <w:sz w:val="20"/>
                <w:szCs w:val="20"/>
                <w:color w:val="auto"/>
              </w:rPr>
            </w:pPr>
            <w:r>
              <w:rPr>
                <w:rFonts w:ascii="Arial" w:cs="Arial" w:eastAsia="Arial" w:hAnsi="Arial"/>
                <w:sz w:val="13"/>
                <w:szCs w:val="13"/>
                <w:color w:val="auto"/>
              </w:rPr>
              <w:t>​​ ​ ​​ 48,523​ ​</w:t>
            </w:r>
          </w:p>
        </w:tc>
        <w:tc>
          <w:tcPr>
            <w:tcW w:w="100" w:type="dxa"/>
            <w:vAlign w:val="bottom"/>
            <w:tcBorders>
              <w:bottom w:val="single" w:sz="8" w:color="E7417A"/>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E7417A"/>
            </w:tcBorders>
            <w:gridSpan w:val="4"/>
          </w:tcPr>
          <w:p>
            <w:pPr>
              <w:jc w:val="right"/>
              <w:spacing w:after="0"/>
              <w:rPr>
                <w:sz w:val="20"/>
                <w:szCs w:val="20"/>
                <w:color w:val="auto"/>
              </w:rPr>
            </w:pPr>
            <w:r>
              <w:rPr>
                <w:rFonts w:ascii="Arial" w:cs="Arial" w:eastAsia="Arial" w:hAnsi="Arial"/>
                <w:sz w:val="13"/>
                <w:szCs w:val="13"/>
                <w:color w:val="auto"/>
              </w:rPr>
              <w:t>97,046 ​​ ​</w:t>
            </w:r>
          </w:p>
        </w:tc>
        <w:tc>
          <w:tcPr>
            <w:tcW w:w="200" w:type="dxa"/>
            <w:vAlign w:val="bottom"/>
            <w:tcBorders>
              <w:bottom w:val="single" w:sz="8" w:color="E7417A"/>
            </w:tcBorders>
          </w:tcPr>
          <w:p>
            <w:pPr>
              <w:ind w:left="12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417A"/>
            </w:tcBorders>
          </w:tcPr>
          <w:p>
            <w:pPr>
              <w:jc w:val="right"/>
              <w:ind w:right="3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3"/>
                <w:szCs w:val="13"/>
                <w:color w:val="auto"/>
              </w:rPr>
              <w:t>​​ ​</w:t>
            </w:r>
          </w:p>
        </w:tc>
        <w:tc>
          <w:tcPr>
            <w:tcW w:w="160" w:type="dxa"/>
            <w:vAlign w:val="bottom"/>
            <w:tcBorders>
              <w:bottom w:val="single" w:sz="8" w:color="E7417A"/>
            </w:tcBorders>
          </w:tcPr>
          <w:p>
            <w:pPr>
              <w:ind w:left="8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283,860</w:t>
            </w:r>
          </w:p>
        </w:tc>
        <w:tc>
          <w:tcPr>
            <w:tcW w:w="12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7"/>
        </w:trPr>
        <w:tc>
          <w:tcPr>
            <w:tcW w:w="80" w:type="dxa"/>
            <w:vAlign w:val="bottom"/>
            <w:shd w:val="clear" w:color="auto" w:fill="F2F2F2"/>
          </w:tcPr>
          <w:p>
            <w:pPr>
              <w:spacing w:after="0"/>
              <w:rPr>
                <w:sz w:val="11"/>
                <w:szCs w:val="11"/>
                <w:color w:val="auto"/>
              </w:rPr>
            </w:pPr>
          </w:p>
        </w:tc>
        <w:tc>
          <w:tcPr>
            <w:tcW w:w="920" w:type="dxa"/>
            <w:vAlign w:val="bottom"/>
            <w:shd w:val="clear" w:color="auto" w:fill="F2F2F2"/>
          </w:tcPr>
          <w:p>
            <w:pPr>
              <w:spacing w:after="0" w:line="128" w:lineRule="exact"/>
              <w:rPr>
                <w:sz w:val="20"/>
                <w:szCs w:val="20"/>
                <w:color w:val="auto"/>
              </w:rPr>
            </w:pPr>
            <w:r>
              <w:rPr>
                <w:rFonts w:ascii="Arial" w:cs="Arial" w:eastAsia="Arial" w:hAnsi="Arial"/>
                <w:sz w:val="13"/>
                <w:szCs w:val="13"/>
                <w:b w:val="1"/>
                <w:bCs w:val="1"/>
                <w:color w:val="auto"/>
              </w:rPr>
              <w:t>Patrick</w:t>
            </w:r>
          </w:p>
        </w:tc>
        <w:tc>
          <w:tcPr>
            <w:tcW w:w="6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98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700" w:type="dxa"/>
            <w:vAlign w:val="bottom"/>
            <w:shd w:val="clear" w:color="auto" w:fill="F2F2F2"/>
          </w:tcPr>
          <w:p>
            <w:pPr>
              <w:spacing w:after="0"/>
              <w:rPr>
                <w:sz w:val="11"/>
                <w:szCs w:val="11"/>
                <w:color w:val="auto"/>
              </w:rPr>
            </w:pPr>
          </w:p>
        </w:tc>
        <w:tc>
          <w:tcPr>
            <w:tcW w:w="500" w:type="dxa"/>
            <w:vAlign w:val="bottom"/>
            <w:shd w:val="clear" w:color="auto" w:fill="F2F2F2"/>
          </w:tcPr>
          <w:p>
            <w:pPr>
              <w:spacing w:after="0"/>
              <w:rPr>
                <w:sz w:val="11"/>
                <w:szCs w:val="11"/>
                <w:color w:val="auto"/>
              </w:rPr>
            </w:pPr>
          </w:p>
        </w:tc>
        <w:tc>
          <w:tcPr>
            <w:tcW w:w="300" w:type="dxa"/>
            <w:vAlign w:val="bottom"/>
            <w:shd w:val="clear" w:color="auto" w:fill="F2F2F2"/>
          </w:tcPr>
          <w:p>
            <w:pPr>
              <w:spacing w:after="0"/>
              <w:rPr>
                <w:sz w:val="11"/>
                <w:szCs w:val="11"/>
                <w:color w:val="auto"/>
              </w:rPr>
            </w:pPr>
          </w:p>
        </w:tc>
        <w:tc>
          <w:tcPr>
            <w:tcW w:w="6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660" w:type="dxa"/>
            <w:vAlign w:val="bottom"/>
            <w:shd w:val="clear" w:color="auto" w:fill="F2F2F2"/>
          </w:tcPr>
          <w:p>
            <w:pPr>
              <w:spacing w:after="0"/>
              <w:rPr>
                <w:sz w:val="11"/>
                <w:szCs w:val="11"/>
                <w:color w:val="auto"/>
              </w:rPr>
            </w:pPr>
          </w:p>
        </w:tc>
        <w:tc>
          <w:tcPr>
            <w:tcW w:w="540" w:type="dxa"/>
            <w:vAlign w:val="bottom"/>
            <w:shd w:val="clear" w:color="auto" w:fill="F2F2F2"/>
          </w:tcPr>
          <w:p>
            <w:pPr>
              <w:spacing w:after="0"/>
              <w:rPr>
                <w:sz w:val="11"/>
                <w:szCs w:val="11"/>
                <w:color w:val="auto"/>
              </w:rPr>
            </w:pPr>
          </w:p>
        </w:tc>
        <w:tc>
          <w:tcPr>
            <w:tcW w:w="3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30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6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58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58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000" w:type="dxa"/>
            <w:vAlign w:val="bottom"/>
            <w:tcBorders>
              <w:bottom w:val="single" w:sz="8" w:color="E7417A"/>
            </w:tcBorders>
            <w:gridSpan w:val="2"/>
            <w:shd w:val="clear" w:color="auto" w:fill="F2F2F2"/>
          </w:tcPr>
          <w:p>
            <w:pPr>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Macken</w:t>
            </w:r>
          </w:p>
        </w:tc>
        <w:tc>
          <w:tcPr>
            <w:tcW w:w="220" w:type="dxa"/>
            <w:vAlign w:val="bottom"/>
            <w:tcBorders>
              <w:bottom w:val="single" w:sz="8" w:color="E7417A"/>
            </w:tcBorders>
            <w:gridSpan w:val="2"/>
            <w:shd w:val="clear" w:color="auto" w:fill="F2F2F2"/>
          </w:tcPr>
          <w:p>
            <w:pPr>
              <w:jc w:val="right"/>
              <w:ind w:right="53"/>
              <w:spacing w:after="0"/>
              <w:rPr>
                <w:sz w:val="20"/>
                <w:szCs w:val="20"/>
                <w:color w:val="auto"/>
              </w:rPr>
            </w:pPr>
            <w:r>
              <w:rPr>
                <w:rFonts w:ascii="Arial" w:cs="Arial" w:eastAsia="Arial" w:hAnsi="Arial"/>
                <w:sz w:val="13"/>
                <w:szCs w:val="13"/>
                <w:color w:val="auto"/>
              </w:rPr>
              <w:t>​ ​</w:t>
            </w:r>
          </w:p>
        </w:tc>
        <w:tc>
          <w:tcPr>
            <w:tcW w:w="98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E7417A"/>
            </w:tcBorders>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7417A"/>
            </w:tcBorders>
            <w:gridSpan w:val="2"/>
            <w:shd w:val="clear" w:color="auto" w:fill="F2F2F2"/>
          </w:tcPr>
          <w:p>
            <w:pPr>
              <w:jc w:val="right"/>
              <w:spacing w:after="0"/>
              <w:rPr>
                <w:sz w:val="20"/>
                <w:szCs w:val="20"/>
                <w:color w:val="auto"/>
              </w:rPr>
            </w:pPr>
            <w:r>
              <w:rPr>
                <w:rFonts w:ascii="Arial" w:cs="Arial" w:eastAsia="Arial" w:hAnsi="Arial"/>
                <w:sz w:val="13"/>
                <w:szCs w:val="13"/>
                <w:color w:val="auto"/>
              </w:rPr>
              <w:t>​ ​ ​​358,875​ ​</w:t>
            </w:r>
          </w:p>
        </w:tc>
        <w:tc>
          <w:tcPr>
            <w:tcW w:w="620" w:type="dxa"/>
            <w:vAlign w:val="bottom"/>
            <w:tcBorders>
              <w:bottom w:val="single" w:sz="8" w:color="E7417A"/>
            </w:tcBorders>
            <w:shd w:val="clear" w:color="auto" w:fill="F2F2F2"/>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color w:val="auto"/>
              </w:rPr>
              <w:t>​​ ​ ​​</w:t>
            </w:r>
          </w:p>
        </w:tc>
        <w:tc>
          <w:tcPr>
            <w:tcW w:w="340" w:type="dxa"/>
            <w:vAlign w:val="bottom"/>
            <w:tcBorders>
              <w:bottom w:val="single" w:sz="8" w:color="E7417A"/>
            </w:tcBorders>
            <w:shd w:val="clear" w:color="auto" w:fill="F2F2F2"/>
          </w:tcPr>
          <w:p>
            <w:pPr>
              <w:jc w:val="right"/>
              <w:ind w:right="14"/>
              <w:spacing w:after="0"/>
              <w:rPr>
                <w:sz w:val="20"/>
                <w:szCs w:val="20"/>
                <w:color w:val="auto"/>
              </w:rPr>
            </w:pPr>
            <w:r>
              <w:rPr>
                <w:rFonts w:ascii="Arial" w:cs="Arial" w:eastAsia="Arial" w:hAnsi="Arial"/>
                <w:sz w:val="13"/>
                <w:szCs w:val="13"/>
                <w:color w:val="auto"/>
              </w:rPr>
              <w:t>—​ ​</w:t>
            </w:r>
          </w:p>
        </w:tc>
        <w:tc>
          <w:tcPr>
            <w:tcW w:w="10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E7417A"/>
            </w:tcBorders>
            <w:shd w:val="clear" w:color="auto" w:fill="F2F2F2"/>
          </w:tcPr>
          <w:p>
            <w:pPr>
              <w:spacing w:after="0"/>
              <w:rPr>
                <w:sz w:val="15"/>
                <w:szCs w:val="15"/>
                <w:color w:val="auto"/>
              </w:rPr>
            </w:pPr>
          </w:p>
        </w:tc>
        <w:tc>
          <w:tcPr>
            <w:tcW w:w="360" w:type="dxa"/>
            <w:vAlign w:val="bottom"/>
            <w:tcBorders>
              <w:bottom w:val="single" w:sz="8" w:color="E7417A"/>
            </w:tcBorders>
            <w:gridSpan w:val="3"/>
            <w:shd w:val="clear" w:color="auto" w:fill="F2F2F2"/>
          </w:tcPr>
          <w:p>
            <w:pPr>
              <w:jc w:val="right"/>
              <w:spacing w:after="0"/>
              <w:rPr>
                <w:sz w:val="20"/>
                <w:szCs w:val="20"/>
                <w:color w:val="auto"/>
              </w:rPr>
            </w:pPr>
            <w:r>
              <w:rPr>
                <w:rFonts w:ascii="Arial" w:cs="Arial" w:eastAsia="Arial" w:hAnsi="Arial"/>
                <w:sz w:val="13"/>
                <w:szCs w:val="13"/>
                <w:color w:val="auto"/>
              </w:rPr>
              <w:t>— ​​ ​</w:t>
            </w:r>
          </w:p>
        </w:tc>
        <w:tc>
          <w:tcPr>
            <w:tcW w:w="200" w:type="dxa"/>
            <w:vAlign w:val="bottom"/>
            <w:tcBorders>
              <w:bottom w:val="single" w:sz="8" w:color="E7417A"/>
            </w:tcBorders>
            <w:shd w:val="clear" w:color="auto" w:fill="F2F2F2"/>
          </w:tcPr>
          <w:p>
            <w:pPr>
              <w:ind w:left="12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E7417A"/>
            </w:tcBorders>
            <w:shd w:val="clear" w:color="auto" w:fill="F2F2F2"/>
          </w:tcPr>
          <w:p>
            <w:pPr>
              <w:jc w:val="right"/>
              <w:ind w:right="3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color w:val="auto"/>
              </w:rPr>
              <w:t>​​ ​</w:t>
            </w:r>
          </w:p>
        </w:tc>
        <w:tc>
          <w:tcPr>
            <w:tcW w:w="160" w:type="dxa"/>
            <w:vAlign w:val="bottom"/>
            <w:tcBorders>
              <w:bottom w:val="single" w:sz="8" w:color="E7417A"/>
            </w:tcBorders>
            <w:shd w:val="clear" w:color="auto" w:fill="F2F2F2"/>
          </w:tcPr>
          <w:p>
            <w:pPr>
              <w:ind w:left="8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E7417A"/>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E7417A"/>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4C4C4C"/>
            </w:tcBorders>
          </w:tcPr>
          <w:p>
            <w:pPr>
              <w:jc w:val="right"/>
              <w:ind w:right="5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2024</w:t>
            </w:r>
          </w:p>
        </w:tc>
        <w:tc>
          <w:tcPr>
            <w:tcW w:w="2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line="210" w:lineRule="exact"/>
              <w:rPr>
                <w:sz w:val="20"/>
                <w:szCs w:val="20"/>
                <w:color w:val="auto"/>
              </w:rPr>
            </w:pPr>
            <w:r>
              <w:rPr>
                <w:rFonts w:ascii="Arial" w:cs="Arial" w:eastAsia="Arial" w:hAnsi="Arial"/>
                <w:sz w:val="13"/>
                <w:szCs w:val="13"/>
                <w:color w:val="auto"/>
              </w:rPr>
              <w:t>​ ​ ​</w:t>
            </w:r>
            <w:r>
              <w:rPr>
                <w:rFonts w:ascii="Arial" w:cs="Arial" w:eastAsia="Arial" w:hAnsi="Arial"/>
                <w:sz w:val="24"/>
                <w:szCs w:val="24"/>
                <w:color w:val="auto"/>
                <w:vertAlign w:val="superscript"/>
              </w:rPr>
              <w:t>​</w:t>
            </w:r>
          </w:p>
        </w:tc>
        <w:tc>
          <w:tcPr>
            <w:tcW w:w="300" w:type="dxa"/>
            <w:vAlign w:val="bottom"/>
            <w:tcBorders>
              <w:bottom w:val="single" w:sz="8" w:color="4C4C4C"/>
            </w:tcBorders>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540" w:type="dxa"/>
            <w:vAlign w:val="bottom"/>
            <w:tcBorders>
              <w:bottom w:val="single" w:sz="8" w:color="4C4C4C"/>
            </w:tcBorders>
          </w:tcPr>
          <w:p>
            <w:pPr>
              <w:spacing w:after="0" w:line="210" w:lineRule="exact"/>
              <w:rPr>
                <w:sz w:val="20"/>
                <w:szCs w:val="20"/>
                <w:color w:val="auto"/>
              </w:rPr>
            </w:pPr>
            <w:r>
              <w:rPr>
                <w:rFonts w:ascii="Arial" w:cs="Arial" w:eastAsia="Arial" w:hAnsi="Arial"/>
                <w:sz w:val="13"/>
                <w:szCs w:val="13"/>
                <w:color w:val="auto"/>
              </w:rPr>
              <w:t>​​ ​ ​</w:t>
            </w:r>
            <w:r>
              <w:rPr>
                <w:rFonts w:ascii="Arial" w:cs="Arial" w:eastAsia="Arial" w:hAnsi="Arial"/>
                <w:sz w:val="24"/>
                <w:szCs w:val="24"/>
                <w:color w:val="auto"/>
                <w:vertAlign w:val="superscript"/>
              </w:rPr>
              <w:t>​</w:t>
            </w:r>
          </w:p>
        </w:tc>
        <w:tc>
          <w:tcPr>
            <w:tcW w:w="340" w:type="dxa"/>
            <w:vAlign w:val="bottom"/>
            <w:tcBorders>
              <w:bottom w:val="single" w:sz="8" w:color="4C4C4C"/>
            </w:tcBorders>
          </w:tcPr>
          <w:p>
            <w:pPr>
              <w:jc w:val="right"/>
              <w:ind w:right="14"/>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100" w:type="dxa"/>
            <w:vAlign w:val="bottom"/>
            <w:tcBorders>
              <w:bottom w:val="single" w:sz="8" w:color="4C4C4C"/>
            </w:tcBorders>
          </w:tcPr>
          <w:p>
            <w:pPr>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300" w:type="dxa"/>
            <w:vAlign w:val="bottom"/>
            <w:tcBorders>
              <w:bottom w:val="single" w:sz="8" w:color="4C4C4C"/>
            </w:tcBorders>
          </w:tcPr>
          <w:p>
            <w:pPr>
              <w:spacing w:after="0"/>
              <w:rPr>
                <w:sz w:val="18"/>
                <w:szCs w:val="18"/>
                <w:color w:val="auto"/>
              </w:rPr>
            </w:pPr>
          </w:p>
        </w:tc>
        <w:tc>
          <w:tcPr>
            <w:tcW w:w="360" w:type="dxa"/>
            <w:vAlign w:val="bottom"/>
            <w:tcBorders>
              <w:bottom w:val="single" w:sz="8" w:color="4C4C4C"/>
            </w:tcBorders>
            <w:gridSpan w:val="3"/>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 ​</w:t>
            </w:r>
          </w:p>
        </w:tc>
        <w:tc>
          <w:tcPr>
            <w:tcW w:w="200" w:type="dxa"/>
            <w:vAlign w:val="bottom"/>
            <w:tcBorders>
              <w:bottom w:val="single" w:sz="8" w:color="4C4C4C"/>
            </w:tcBorders>
          </w:tcPr>
          <w:p>
            <w:pPr>
              <w:ind w:left="12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58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44,831</w:t>
            </w:r>
          </w:p>
        </w:tc>
        <w:tc>
          <w:tcPr>
            <w:tcW w:w="18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 ​</w:t>
            </w:r>
          </w:p>
        </w:tc>
        <w:tc>
          <w:tcPr>
            <w:tcW w:w="160" w:type="dxa"/>
            <w:vAlign w:val="bottom"/>
            <w:tcBorders>
              <w:bottom w:val="single" w:sz="8" w:color="4C4C4C"/>
            </w:tcBorders>
          </w:tcPr>
          <w:p>
            <w:pPr>
              <w:ind w:left="8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58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147,942</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1000" w:type="dxa"/>
            <w:vAlign w:val="bottom"/>
            <w:gridSpan w:val="2"/>
            <w:vMerge w:val="restart"/>
          </w:tcPr>
          <w:p>
            <w:pPr>
              <w:jc w:val="right"/>
              <w:ind w:right="813"/>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26"/>
                <w:szCs w:val="26"/>
                <w:color w:val="auto"/>
                <w:vertAlign w:val="superscript"/>
              </w:rPr>
              <w:t>​</w:t>
            </w:r>
          </w:p>
        </w:tc>
        <w:tc>
          <w:tcPr>
            <w:tcW w:w="60" w:type="dxa"/>
            <w:vAlign w:val="bottom"/>
          </w:tcPr>
          <w:p>
            <w:pPr>
              <w:spacing w:after="0"/>
              <w:rPr>
                <w:sz w:val="17"/>
                <w:szCs w:val="17"/>
                <w:color w:val="auto"/>
              </w:rPr>
            </w:pPr>
          </w:p>
        </w:tc>
        <w:tc>
          <w:tcPr>
            <w:tcW w:w="160" w:type="dxa"/>
            <w:vAlign w:val="bottom"/>
            <w:tcBorders>
              <w:bottom w:val="single" w:sz="8" w:color="4C4C4C"/>
            </w:tcBorders>
          </w:tcPr>
          <w:p>
            <w:pPr>
              <w:jc w:val="right"/>
              <w:ind w:right="5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2024</w:t>
            </w:r>
          </w:p>
        </w:tc>
        <w:tc>
          <w:tcPr>
            <w:tcW w:w="2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4C4C4C"/>
            </w:tcBorders>
            <w:gridSpan w:val="2"/>
          </w:tcPr>
          <w:p>
            <w:pPr>
              <w:jc w:val="right"/>
              <w:ind w:right="14"/>
              <w:spacing w:after="0"/>
              <w:rPr>
                <w:sz w:val="20"/>
                <w:szCs w:val="20"/>
                <w:color w:val="auto"/>
              </w:rPr>
            </w:pPr>
            <w:r>
              <w:rPr>
                <w:rFonts w:ascii="Arial" w:cs="Arial" w:eastAsia="Arial" w:hAnsi="Arial"/>
                <w:sz w:val="13"/>
                <w:szCs w:val="13"/>
                <w:color w:val="auto"/>
              </w:rPr>
              <w:t>​​ ​ ​​ 61,867​ ​</w:t>
            </w:r>
          </w:p>
        </w:tc>
        <w:tc>
          <w:tcPr>
            <w:tcW w:w="10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4C4C4C"/>
            </w:tcBorders>
            <w:gridSpan w:val="4"/>
          </w:tcPr>
          <w:p>
            <w:pPr>
              <w:jc w:val="right"/>
              <w:spacing w:after="0"/>
              <w:rPr>
                <w:sz w:val="20"/>
                <w:szCs w:val="20"/>
                <w:color w:val="auto"/>
              </w:rPr>
            </w:pPr>
            <w:r>
              <w:rPr>
                <w:rFonts w:ascii="Arial" w:cs="Arial" w:eastAsia="Arial" w:hAnsi="Arial"/>
                <w:sz w:val="13"/>
                <w:szCs w:val="13"/>
                <w:color w:val="auto"/>
              </w:rPr>
              <w:t>92,801 ​​ ​</w:t>
            </w:r>
          </w:p>
        </w:tc>
        <w:tc>
          <w:tcPr>
            <w:tcW w:w="200" w:type="dxa"/>
            <w:vAlign w:val="bottom"/>
            <w:tcBorders>
              <w:bottom w:val="single" w:sz="8" w:color="4C4C4C"/>
            </w:tcBorders>
          </w:tcPr>
          <w:p>
            <w:pPr>
              <w:ind w:left="12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 ​</w:t>
            </w:r>
          </w:p>
        </w:tc>
        <w:tc>
          <w:tcPr>
            <w:tcW w:w="160" w:type="dxa"/>
            <w:vAlign w:val="bottom"/>
            <w:tcBorders>
              <w:bottom w:val="single" w:sz="8" w:color="4C4C4C"/>
            </w:tcBorders>
          </w:tcPr>
          <w:p>
            <w:pPr>
              <w:ind w:left="8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204,161</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000" w:type="dxa"/>
            <w:vAlign w:val="bottom"/>
            <w:tcBorders>
              <w:bottom w:val="single" w:sz="8" w:color="E7417A"/>
            </w:tcBorders>
            <w:gridSpan w:val="2"/>
            <w:vMerge w:val="continue"/>
          </w:tcPr>
          <w:p>
            <w:pPr>
              <w:spacing w:after="0"/>
              <w:rPr>
                <w:sz w:val="15"/>
                <w:szCs w:val="15"/>
                <w:color w:val="auto"/>
              </w:rPr>
            </w:pPr>
          </w:p>
        </w:tc>
        <w:tc>
          <w:tcPr>
            <w:tcW w:w="220" w:type="dxa"/>
            <w:vAlign w:val="bottom"/>
            <w:tcBorders>
              <w:bottom w:val="single" w:sz="8" w:color="E7417A"/>
            </w:tcBorders>
            <w:gridSpan w:val="2"/>
          </w:tcPr>
          <w:p>
            <w:pPr>
              <w:jc w:val="right"/>
              <w:ind w:right="53"/>
              <w:spacing w:after="0"/>
              <w:rPr>
                <w:sz w:val="20"/>
                <w:szCs w:val="20"/>
                <w:color w:val="auto"/>
              </w:rPr>
            </w:pPr>
            <w:r>
              <w:rPr>
                <w:rFonts w:ascii="Arial" w:cs="Arial" w:eastAsia="Arial" w:hAnsi="Arial"/>
                <w:sz w:val="13"/>
                <w:szCs w:val="13"/>
                <w:color w:val="auto"/>
              </w:rPr>
              <w:t>​ ​</w:t>
            </w:r>
          </w:p>
        </w:tc>
        <w:tc>
          <w:tcPr>
            <w:tcW w:w="98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May 15, 2024</w:t>
            </w:r>
          </w:p>
        </w:tc>
        <w:tc>
          <w:tcPr>
            <w:tcW w:w="22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E7417A"/>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E7417A"/>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7417A"/>
            </w:tcBorders>
            <w:gridSpan w:val="2"/>
          </w:tcPr>
          <w:p>
            <w:pPr>
              <w:jc w:val="right"/>
              <w:ind w:right="14"/>
              <w:spacing w:after="0"/>
              <w:rPr>
                <w:sz w:val="20"/>
                <w:szCs w:val="20"/>
                <w:color w:val="auto"/>
              </w:rPr>
            </w:pPr>
            <w:r>
              <w:rPr>
                <w:rFonts w:ascii="Arial" w:cs="Arial" w:eastAsia="Arial" w:hAnsi="Arial"/>
                <w:sz w:val="13"/>
                <w:szCs w:val="13"/>
                <w:color w:val="auto"/>
              </w:rPr>
              <w:t>​​ ​ ​​ 41,244​ ​</w:t>
            </w:r>
          </w:p>
        </w:tc>
        <w:tc>
          <w:tcPr>
            <w:tcW w:w="100" w:type="dxa"/>
            <w:vAlign w:val="bottom"/>
            <w:tcBorders>
              <w:bottom w:val="single" w:sz="8" w:color="E7417A"/>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E7417A"/>
            </w:tcBorders>
            <w:gridSpan w:val="4"/>
          </w:tcPr>
          <w:p>
            <w:pPr>
              <w:jc w:val="right"/>
              <w:spacing w:after="0"/>
              <w:rPr>
                <w:sz w:val="20"/>
                <w:szCs w:val="20"/>
                <w:color w:val="auto"/>
              </w:rPr>
            </w:pPr>
            <w:r>
              <w:rPr>
                <w:rFonts w:ascii="Arial" w:cs="Arial" w:eastAsia="Arial" w:hAnsi="Arial"/>
                <w:sz w:val="13"/>
                <w:szCs w:val="13"/>
                <w:color w:val="auto"/>
              </w:rPr>
              <w:t>82,488 ​​ ​</w:t>
            </w:r>
          </w:p>
        </w:tc>
        <w:tc>
          <w:tcPr>
            <w:tcW w:w="200" w:type="dxa"/>
            <w:vAlign w:val="bottom"/>
            <w:tcBorders>
              <w:bottom w:val="single" w:sz="8" w:color="E7417A"/>
            </w:tcBorders>
          </w:tcPr>
          <w:p>
            <w:pPr>
              <w:ind w:left="12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417A"/>
            </w:tcBorders>
          </w:tcPr>
          <w:p>
            <w:pPr>
              <w:jc w:val="right"/>
              <w:ind w:right="3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3"/>
                <w:szCs w:val="13"/>
                <w:color w:val="auto"/>
              </w:rPr>
              <w:t>​​ ​</w:t>
            </w:r>
          </w:p>
        </w:tc>
        <w:tc>
          <w:tcPr>
            <w:tcW w:w="160" w:type="dxa"/>
            <w:vAlign w:val="bottom"/>
            <w:tcBorders>
              <w:bottom w:val="single" w:sz="8" w:color="E7417A"/>
            </w:tcBorders>
          </w:tcPr>
          <w:p>
            <w:pPr>
              <w:ind w:left="8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241,277</w:t>
            </w:r>
          </w:p>
        </w:tc>
        <w:tc>
          <w:tcPr>
            <w:tcW w:w="12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7"/>
        </w:trPr>
        <w:tc>
          <w:tcPr>
            <w:tcW w:w="80" w:type="dxa"/>
            <w:vAlign w:val="bottom"/>
            <w:shd w:val="clear" w:color="auto" w:fill="F2F2F2"/>
          </w:tcPr>
          <w:p>
            <w:pPr>
              <w:spacing w:after="0"/>
              <w:rPr>
                <w:sz w:val="11"/>
                <w:szCs w:val="11"/>
                <w:color w:val="auto"/>
              </w:rPr>
            </w:pPr>
          </w:p>
        </w:tc>
        <w:tc>
          <w:tcPr>
            <w:tcW w:w="920" w:type="dxa"/>
            <w:vAlign w:val="bottom"/>
            <w:shd w:val="clear" w:color="auto" w:fill="F2F2F2"/>
          </w:tcPr>
          <w:p>
            <w:pPr>
              <w:spacing w:after="0" w:line="128" w:lineRule="exact"/>
              <w:rPr>
                <w:sz w:val="20"/>
                <w:szCs w:val="20"/>
                <w:color w:val="auto"/>
              </w:rPr>
            </w:pPr>
            <w:r>
              <w:rPr>
                <w:rFonts w:ascii="Arial" w:cs="Arial" w:eastAsia="Arial" w:hAnsi="Arial"/>
                <w:sz w:val="13"/>
                <w:szCs w:val="13"/>
                <w:b w:val="1"/>
                <w:bCs w:val="1"/>
                <w:color w:val="auto"/>
              </w:rPr>
              <w:t>Dan</w:t>
            </w:r>
          </w:p>
        </w:tc>
        <w:tc>
          <w:tcPr>
            <w:tcW w:w="6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98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700" w:type="dxa"/>
            <w:vAlign w:val="bottom"/>
            <w:shd w:val="clear" w:color="auto" w:fill="F2F2F2"/>
          </w:tcPr>
          <w:p>
            <w:pPr>
              <w:spacing w:after="0"/>
              <w:rPr>
                <w:sz w:val="11"/>
                <w:szCs w:val="11"/>
                <w:color w:val="auto"/>
              </w:rPr>
            </w:pPr>
          </w:p>
        </w:tc>
        <w:tc>
          <w:tcPr>
            <w:tcW w:w="500" w:type="dxa"/>
            <w:vAlign w:val="bottom"/>
            <w:shd w:val="clear" w:color="auto" w:fill="F2F2F2"/>
          </w:tcPr>
          <w:p>
            <w:pPr>
              <w:spacing w:after="0"/>
              <w:rPr>
                <w:sz w:val="11"/>
                <w:szCs w:val="11"/>
                <w:color w:val="auto"/>
              </w:rPr>
            </w:pPr>
          </w:p>
        </w:tc>
        <w:tc>
          <w:tcPr>
            <w:tcW w:w="300" w:type="dxa"/>
            <w:vAlign w:val="bottom"/>
            <w:shd w:val="clear" w:color="auto" w:fill="F2F2F2"/>
          </w:tcPr>
          <w:p>
            <w:pPr>
              <w:spacing w:after="0"/>
              <w:rPr>
                <w:sz w:val="11"/>
                <w:szCs w:val="11"/>
                <w:color w:val="auto"/>
              </w:rPr>
            </w:pPr>
          </w:p>
        </w:tc>
        <w:tc>
          <w:tcPr>
            <w:tcW w:w="6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660" w:type="dxa"/>
            <w:vAlign w:val="bottom"/>
            <w:shd w:val="clear" w:color="auto" w:fill="F2F2F2"/>
          </w:tcPr>
          <w:p>
            <w:pPr>
              <w:spacing w:after="0"/>
              <w:rPr>
                <w:sz w:val="11"/>
                <w:szCs w:val="11"/>
                <w:color w:val="auto"/>
              </w:rPr>
            </w:pPr>
          </w:p>
        </w:tc>
        <w:tc>
          <w:tcPr>
            <w:tcW w:w="540" w:type="dxa"/>
            <w:vAlign w:val="bottom"/>
            <w:shd w:val="clear" w:color="auto" w:fill="F2F2F2"/>
          </w:tcPr>
          <w:p>
            <w:pPr>
              <w:spacing w:after="0"/>
              <w:rPr>
                <w:sz w:val="11"/>
                <w:szCs w:val="11"/>
                <w:color w:val="auto"/>
              </w:rPr>
            </w:pPr>
          </w:p>
        </w:tc>
        <w:tc>
          <w:tcPr>
            <w:tcW w:w="3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30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6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58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58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000" w:type="dxa"/>
            <w:vAlign w:val="bottom"/>
            <w:tcBorders>
              <w:bottom w:val="single" w:sz="8" w:color="E7417A"/>
            </w:tcBorders>
            <w:gridSpan w:val="2"/>
            <w:shd w:val="clear" w:color="auto" w:fill="F2F2F2"/>
          </w:tcPr>
          <w:p>
            <w:pPr>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Redington</w:t>
            </w:r>
          </w:p>
        </w:tc>
        <w:tc>
          <w:tcPr>
            <w:tcW w:w="220" w:type="dxa"/>
            <w:vAlign w:val="bottom"/>
            <w:tcBorders>
              <w:bottom w:val="single" w:sz="8" w:color="E7417A"/>
            </w:tcBorders>
            <w:gridSpan w:val="2"/>
            <w:shd w:val="clear" w:color="auto" w:fill="F2F2F2"/>
          </w:tcPr>
          <w:p>
            <w:pPr>
              <w:jc w:val="right"/>
              <w:ind w:right="53"/>
              <w:spacing w:after="0"/>
              <w:rPr>
                <w:sz w:val="20"/>
                <w:szCs w:val="20"/>
                <w:color w:val="auto"/>
              </w:rPr>
            </w:pPr>
            <w:r>
              <w:rPr>
                <w:rFonts w:ascii="Arial" w:cs="Arial" w:eastAsia="Arial" w:hAnsi="Arial"/>
                <w:sz w:val="13"/>
                <w:szCs w:val="13"/>
                <w:color w:val="auto"/>
              </w:rPr>
              <w:t>​ ​</w:t>
            </w:r>
          </w:p>
        </w:tc>
        <w:tc>
          <w:tcPr>
            <w:tcW w:w="98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E7417A"/>
            </w:tcBorders>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7417A"/>
            </w:tcBorders>
            <w:gridSpan w:val="2"/>
            <w:shd w:val="clear" w:color="auto" w:fill="F2F2F2"/>
          </w:tcPr>
          <w:p>
            <w:pPr>
              <w:jc w:val="right"/>
              <w:spacing w:after="0"/>
              <w:rPr>
                <w:sz w:val="20"/>
                <w:szCs w:val="20"/>
                <w:color w:val="auto"/>
              </w:rPr>
            </w:pPr>
            <w:r>
              <w:rPr>
                <w:rFonts w:ascii="Arial" w:cs="Arial" w:eastAsia="Arial" w:hAnsi="Arial"/>
                <w:sz w:val="13"/>
                <w:szCs w:val="13"/>
                <w:color w:val="auto"/>
              </w:rPr>
              <w:t>​ ​ ​​322,500​ ​</w:t>
            </w:r>
          </w:p>
        </w:tc>
        <w:tc>
          <w:tcPr>
            <w:tcW w:w="620" w:type="dxa"/>
            <w:vAlign w:val="bottom"/>
            <w:tcBorders>
              <w:bottom w:val="single" w:sz="8" w:color="E7417A"/>
            </w:tcBorders>
            <w:shd w:val="clear" w:color="auto" w:fill="F2F2F2"/>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color w:val="auto"/>
              </w:rPr>
              <w:t>​​ ​ ​​</w:t>
            </w:r>
          </w:p>
        </w:tc>
        <w:tc>
          <w:tcPr>
            <w:tcW w:w="340" w:type="dxa"/>
            <w:vAlign w:val="bottom"/>
            <w:tcBorders>
              <w:bottom w:val="single" w:sz="8" w:color="E7417A"/>
            </w:tcBorders>
            <w:shd w:val="clear" w:color="auto" w:fill="F2F2F2"/>
          </w:tcPr>
          <w:p>
            <w:pPr>
              <w:jc w:val="right"/>
              <w:ind w:right="14"/>
              <w:spacing w:after="0"/>
              <w:rPr>
                <w:sz w:val="20"/>
                <w:szCs w:val="20"/>
                <w:color w:val="auto"/>
              </w:rPr>
            </w:pPr>
            <w:r>
              <w:rPr>
                <w:rFonts w:ascii="Arial" w:cs="Arial" w:eastAsia="Arial" w:hAnsi="Arial"/>
                <w:sz w:val="13"/>
                <w:szCs w:val="13"/>
                <w:color w:val="auto"/>
              </w:rPr>
              <w:t>—​ ​</w:t>
            </w:r>
          </w:p>
        </w:tc>
        <w:tc>
          <w:tcPr>
            <w:tcW w:w="10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E7417A"/>
            </w:tcBorders>
            <w:shd w:val="clear" w:color="auto" w:fill="F2F2F2"/>
          </w:tcPr>
          <w:p>
            <w:pPr>
              <w:spacing w:after="0"/>
              <w:rPr>
                <w:sz w:val="15"/>
                <w:szCs w:val="15"/>
                <w:color w:val="auto"/>
              </w:rPr>
            </w:pPr>
          </w:p>
        </w:tc>
        <w:tc>
          <w:tcPr>
            <w:tcW w:w="360" w:type="dxa"/>
            <w:vAlign w:val="bottom"/>
            <w:tcBorders>
              <w:bottom w:val="single" w:sz="8" w:color="E7417A"/>
            </w:tcBorders>
            <w:gridSpan w:val="3"/>
            <w:shd w:val="clear" w:color="auto" w:fill="F2F2F2"/>
          </w:tcPr>
          <w:p>
            <w:pPr>
              <w:jc w:val="right"/>
              <w:spacing w:after="0"/>
              <w:rPr>
                <w:sz w:val="20"/>
                <w:szCs w:val="20"/>
                <w:color w:val="auto"/>
              </w:rPr>
            </w:pPr>
            <w:r>
              <w:rPr>
                <w:rFonts w:ascii="Arial" w:cs="Arial" w:eastAsia="Arial" w:hAnsi="Arial"/>
                <w:sz w:val="13"/>
                <w:szCs w:val="13"/>
                <w:color w:val="auto"/>
              </w:rPr>
              <w:t>— ​​ ​</w:t>
            </w:r>
          </w:p>
        </w:tc>
        <w:tc>
          <w:tcPr>
            <w:tcW w:w="200" w:type="dxa"/>
            <w:vAlign w:val="bottom"/>
            <w:tcBorders>
              <w:bottom w:val="single" w:sz="8" w:color="E7417A"/>
            </w:tcBorders>
            <w:shd w:val="clear" w:color="auto" w:fill="F2F2F2"/>
          </w:tcPr>
          <w:p>
            <w:pPr>
              <w:ind w:left="12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E7417A"/>
            </w:tcBorders>
            <w:shd w:val="clear" w:color="auto" w:fill="F2F2F2"/>
          </w:tcPr>
          <w:p>
            <w:pPr>
              <w:jc w:val="right"/>
              <w:ind w:right="3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color w:val="auto"/>
              </w:rPr>
              <w:t>​​ ​</w:t>
            </w:r>
          </w:p>
        </w:tc>
        <w:tc>
          <w:tcPr>
            <w:tcW w:w="160" w:type="dxa"/>
            <w:vAlign w:val="bottom"/>
            <w:tcBorders>
              <w:bottom w:val="single" w:sz="8" w:color="E7417A"/>
            </w:tcBorders>
            <w:shd w:val="clear" w:color="auto" w:fill="F2F2F2"/>
          </w:tcPr>
          <w:p>
            <w:pPr>
              <w:ind w:left="8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E7417A"/>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E7417A"/>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4C4C4C"/>
            </w:tcBorders>
          </w:tcPr>
          <w:p>
            <w:pPr>
              <w:jc w:val="right"/>
              <w:ind w:right="5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2024</w:t>
            </w:r>
          </w:p>
        </w:tc>
        <w:tc>
          <w:tcPr>
            <w:tcW w:w="2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line="210" w:lineRule="exact"/>
              <w:rPr>
                <w:sz w:val="20"/>
                <w:szCs w:val="20"/>
                <w:color w:val="auto"/>
              </w:rPr>
            </w:pPr>
            <w:r>
              <w:rPr>
                <w:rFonts w:ascii="Arial" w:cs="Arial" w:eastAsia="Arial" w:hAnsi="Arial"/>
                <w:sz w:val="13"/>
                <w:szCs w:val="13"/>
                <w:color w:val="auto"/>
              </w:rPr>
              <w:t>​ ​ ​</w:t>
            </w:r>
            <w:r>
              <w:rPr>
                <w:rFonts w:ascii="Arial" w:cs="Arial" w:eastAsia="Arial" w:hAnsi="Arial"/>
                <w:sz w:val="24"/>
                <w:szCs w:val="24"/>
                <w:color w:val="auto"/>
                <w:vertAlign w:val="superscript"/>
              </w:rPr>
              <w:t>​</w:t>
            </w:r>
          </w:p>
        </w:tc>
        <w:tc>
          <w:tcPr>
            <w:tcW w:w="300" w:type="dxa"/>
            <w:vAlign w:val="bottom"/>
            <w:tcBorders>
              <w:bottom w:val="single" w:sz="8" w:color="4C4C4C"/>
            </w:tcBorders>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540" w:type="dxa"/>
            <w:vAlign w:val="bottom"/>
            <w:tcBorders>
              <w:bottom w:val="single" w:sz="8" w:color="4C4C4C"/>
            </w:tcBorders>
          </w:tcPr>
          <w:p>
            <w:pPr>
              <w:spacing w:after="0" w:line="210" w:lineRule="exact"/>
              <w:rPr>
                <w:sz w:val="20"/>
                <w:szCs w:val="20"/>
                <w:color w:val="auto"/>
              </w:rPr>
            </w:pPr>
            <w:r>
              <w:rPr>
                <w:rFonts w:ascii="Arial" w:cs="Arial" w:eastAsia="Arial" w:hAnsi="Arial"/>
                <w:sz w:val="13"/>
                <w:szCs w:val="13"/>
                <w:color w:val="auto"/>
              </w:rPr>
              <w:t>​​ ​ ​</w:t>
            </w:r>
            <w:r>
              <w:rPr>
                <w:rFonts w:ascii="Arial" w:cs="Arial" w:eastAsia="Arial" w:hAnsi="Arial"/>
                <w:sz w:val="24"/>
                <w:szCs w:val="24"/>
                <w:color w:val="auto"/>
                <w:vertAlign w:val="superscript"/>
              </w:rPr>
              <w:t>​</w:t>
            </w:r>
          </w:p>
        </w:tc>
        <w:tc>
          <w:tcPr>
            <w:tcW w:w="340" w:type="dxa"/>
            <w:vAlign w:val="bottom"/>
            <w:tcBorders>
              <w:bottom w:val="single" w:sz="8" w:color="4C4C4C"/>
            </w:tcBorders>
          </w:tcPr>
          <w:p>
            <w:pPr>
              <w:jc w:val="right"/>
              <w:ind w:right="14"/>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100" w:type="dxa"/>
            <w:vAlign w:val="bottom"/>
            <w:tcBorders>
              <w:bottom w:val="single" w:sz="8" w:color="4C4C4C"/>
            </w:tcBorders>
          </w:tcPr>
          <w:p>
            <w:pPr>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300" w:type="dxa"/>
            <w:vAlign w:val="bottom"/>
            <w:tcBorders>
              <w:bottom w:val="single" w:sz="8" w:color="4C4C4C"/>
            </w:tcBorders>
          </w:tcPr>
          <w:p>
            <w:pPr>
              <w:spacing w:after="0"/>
              <w:rPr>
                <w:sz w:val="18"/>
                <w:szCs w:val="18"/>
                <w:color w:val="auto"/>
              </w:rPr>
            </w:pPr>
          </w:p>
        </w:tc>
        <w:tc>
          <w:tcPr>
            <w:tcW w:w="360" w:type="dxa"/>
            <w:vAlign w:val="bottom"/>
            <w:tcBorders>
              <w:bottom w:val="single" w:sz="8" w:color="4C4C4C"/>
            </w:tcBorders>
            <w:gridSpan w:val="3"/>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 ​</w:t>
            </w:r>
          </w:p>
        </w:tc>
        <w:tc>
          <w:tcPr>
            <w:tcW w:w="200" w:type="dxa"/>
            <w:vAlign w:val="bottom"/>
            <w:tcBorders>
              <w:bottom w:val="single" w:sz="8" w:color="4C4C4C"/>
            </w:tcBorders>
          </w:tcPr>
          <w:p>
            <w:pPr>
              <w:ind w:left="12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58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42,194</w:t>
            </w:r>
          </w:p>
        </w:tc>
        <w:tc>
          <w:tcPr>
            <w:tcW w:w="18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 ​</w:t>
            </w:r>
          </w:p>
        </w:tc>
        <w:tc>
          <w:tcPr>
            <w:tcW w:w="160" w:type="dxa"/>
            <w:vAlign w:val="bottom"/>
            <w:tcBorders>
              <w:bottom w:val="single" w:sz="8" w:color="4C4C4C"/>
            </w:tcBorders>
          </w:tcPr>
          <w:p>
            <w:pPr>
              <w:ind w:left="8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58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139,240</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1000" w:type="dxa"/>
            <w:vAlign w:val="bottom"/>
            <w:gridSpan w:val="2"/>
            <w:vMerge w:val="restart"/>
          </w:tcPr>
          <w:p>
            <w:pPr>
              <w:jc w:val="right"/>
              <w:ind w:right="813"/>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26"/>
                <w:szCs w:val="26"/>
                <w:color w:val="auto"/>
                <w:vertAlign w:val="superscript"/>
              </w:rPr>
              <w:t>​</w:t>
            </w:r>
          </w:p>
        </w:tc>
        <w:tc>
          <w:tcPr>
            <w:tcW w:w="60" w:type="dxa"/>
            <w:vAlign w:val="bottom"/>
          </w:tcPr>
          <w:p>
            <w:pPr>
              <w:spacing w:after="0"/>
              <w:rPr>
                <w:sz w:val="17"/>
                <w:szCs w:val="17"/>
                <w:color w:val="auto"/>
              </w:rPr>
            </w:pPr>
          </w:p>
        </w:tc>
        <w:tc>
          <w:tcPr>
            <w:tcW w:w="160" w:type="dxa"/>
            <w:vAlign w:val="bottom"/>
            <w:tcBorders>
              <w:bottom w:val="single" w:sz="8" w:color="4C4C4C"/>
            </w:tcBorders>
          </w:tcPr>
          <w:p>
            <w:pPr>
              <w:jc w:val="right"/>
              <w:ind w:right="5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2024</w:t>
            </w:r>
          </w:p>
        </w:tc>
        <w:tc>
          <w:tcPr>
            <w:tcW w:w="2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4C4C4C"/>
            </w:tcBorders>
            <w:gridSpan w:val="2"/>
          </w:tcPr>
          <w:p>
            <w:pPr>
              <w:jc w:val="right"/>
              <w:ind w:right="14"/>
              <w:spacing w:after="0"/>
              <w:rPr>
                <w:sz w:val="20"/>
                <w:szCs w:val="20"/>
                <w:color w:val="auto"/>
              </w:rPr>
            </w:pPr>
            <w:r>
              <w:rPr>
                <w:rFonts w:ascii="Arial" w:cs="Arial" w:eastAsia="Arial" w:hAnsi="Arial"/>
                <w:sz w:val="13"/>
                <w:szCs w:val="13"/>
                <w:color w:val="auto"/>
              </w:rPr>
              <w:t>​​ ​ ​​ 58,228​ ​</w:t>
            </w:r>
          </w:p>
        </w:tc>
        <w:tc>
          <w:tcPr>
            <w:tcW w:w="10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4C4C4C"/>
            </w:tcBorders>
            <w:gridSpan w:val="4"/>
          </w:tcPr>
          <w:p>
            <w:pPr>
              <w:jc w:val="right"/>
              <w:spacing w:after="0"/>
              <w:rPr>
                <w:sz w:val="20"/>
                <w:szCs w:val="20"/>
                <w:color w:val="auto"/>
              </w:rPr>
            </w:pPr>
            <w:r>
              <w:rPr>
                <w:rFonts w:ascii="Arial" w:cs="Arial" w:eastAsia="Arial" w:hAnsi="Arial"/>
                <w:sz w:val="13"/>
                <w:szCs w:val="13"/>
                <w:color w:val="auto"/>
              </w:rPr>
              <w:t>87,342 ​​ ​</w:t>
            </w:r>
          </w:p>
        </w:tc>
        <w:tc>
          <w:tcPr>
            <w:tcW w:w="200" w:type="dxa"/>
            <w:vAlign w:val="bottom"/>
            <w:tcBorders>
              <w:bottom w:val="single" w:sz="8" w:color="4C4C4C"/>
            </w:tcBorders>
          </w:tcPr>
          <w:p>
            <w:pPr>
              <w:ind w:left="12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 ​</w:t>
            </w:r>
          </w:p>
        </w:tc>
        <w:tc>
          <w:tcPr>
            <w:tcW w:w="160" w:type="dxa"/>
            <w:vAlign w:val="bottom"/>
            <w:tcBorders>
              <w:bottom w:val="single" w:sz="8" w:color="4C4C4C"/>
            </w:tcBorders>
          </w:tcPr>
          <w:p>
            <w:pPr>
              <w:ind w:left="8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192,152</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000" w:type="dxa"/>
            <w:vAlign w:val="bottom"/>
            <w:tcBorders>
              <w:bottom w:val="single" w:sz="8" w:color="E7417A"/>
            </w:tcBorders>
            <w:gridSpan w:val="2"/>
            <w:vMerge w:val="continue"/>
          </w:tcPr>
          <w:p>
            <w:pPr>
              <w:spacing w:after="0"/>
              <w:rPr>
                <w:sz w:val="15"/>
                <w:szCs w:val="15"/>
                <w:color w:val="auto"/>
              </w:rPr>
            </w:pPr>
          </w:p>
        </w:tc>
        <w:tc>
          <w:tcPr>
            <w:tcW w:w="220" w:type="dxa"/>
            <w:vAlign w:val="bottom"/>
            <w:tcBorders>
              <w:bottom w:val="single" w:sz="8" w:color="E7417A"/>
            </w:tcBorders>
            <w:gridSpan w:val="2"/>
          </w:tcPr>
          <w:p>
            <w:pPr>
              <w:jc w:val="right"/>
              <w:ind w:right="53"/>
              <w:spacing w:after="0"/>
              <w:rPr>
                <w:sz w:val="20"/>
                <w:szCs w:val="20"/>
                <w:color w:val="auto"/>
              </w:rPr>
            </w:pPr>
            <w:r>
              <w:rPr>
                <w:rFonts w:ascii="Arial" w:cs="Arial" w:eastAsia="Arial" w:hAnsi="Arial"/>
                <w:sz w:val="13"/>
                <w:szCs w:val="13"/>
                <w:color w:val="auto"/>
              </w:rPr>
              <w:t>​ ​</w:t>
            </w:r>
          </w:p>
        </w:tc>
        <w:tc>
          <w:tcPr>
            <w:tcW w:w="98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May 15, 2024</w:t>
            </w:r>
          </w:p>
        </w:tc>
        <w:tc>
          <w:tcPr>
            <w:tcW w:w="22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E7417A"/>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E7417A"/>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7417A"/>
            </w:tcBorders>
            <w:gridSpan w:val="2"/>
          </w:tcPr>
          <w:p>
            <w:pPr>
              <w:jc w:val="right"/>
              <w:ind w:right="14"/>
              <w:spacing w:after="0"/>
              <w:rPr>
                <w:sz w:val="20"/>
                <w:szCs w:val="20"/>
                <w:color w:val="auto"/>
              </w:rPr>
            </w:pPr>
            <w:r>
              <w:rPr>
                <w:rFonts w:ascii="Arial" w:cs="Arial" w:eastAsia="Arial" w:hAnsi="Arial"/>
                <w:sz w:val="13"/>
                <w:szCs w:val="13"/>
                <w:color w:val="auto"/>
              </w:rPr>
              <w:t>​​ ​ ​​ 38,818​ ​</w:t>
            </w:r>
          </w:p>
        </w:tc>
        <w:tc>
          <w:tcPr>
            <w:tcW w:w="100" w:type="dxa"/>
            <w:vAlign w:val="bottom"/>
            <w:tcBorders>
              <w:bottom w:val="single" w:sz="8" w:color="E7417A"/>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E7417A"/>
            </w:tcBorders>
            <w:gridSpan w:val="4"/>
          </w:tcPr>
          <w:p>
            <w:pPr>
              <w:jc w:val="right"/>
              <w:spacing w:after="0"/>
              <w:rPr>
                <w:sz w:val="20"/>
                <w:szCs w:val="20"/>
                <w:color w:val="auto"/>
              </w:rPr>
            </w:pPr>
            <w:r>
              <w:rPr>
                <w:rFonts w:ascii="Arial" w:cs="Arial" w:eastAsia="Arial" w:hAnsi="Arial"/>
                <w:sz w:val="13"/>
                <w:szCs w:val="13"/>
                <w:color w:val="auto"/>
              </w:rPr>
              <w:t>77,636 ​​ ​</w:t>
            </w:r>
          </w:p>
        </w:tc>
        <w:tc>
          <w:tcPr>
            <w:tcW w:w="200" w:type="dxa"/>
            <w:vAlign w:val="bottom"/>
            <w:tcBorders>
              <w:bottom w:val="single" w:sz="8" w:color="E7417A"/>
            </w:tcBorders>
          </w:tcPr>
          <w:p>
            <w:pPr>
              <w:ind w:left="12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417A"/>
            </w:tcBorders>
          </w:tcPr>
          <w:p>
            <w:pPr>
              <w:jc w:val="right"/>
              <w:ind w:right="3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3"/>
                <w:szCs w:val="13"/>
                <w:color w:val="auto"/>
              </w:rPr>
              <w:t>​​ ​</w:t>
            </w:r>
          </w:p>
        </w:tc>
        <w:tc>
          <w:tcPr>
            <w:tcW w:w="160" w:type="dxa"/>
            <w:vAlign w:val="bottom"/>
            <w:tcBorders>
              <w:bottom w:val="single" w:sz="8" w:color="E7417A"/>
            </w:tcBorders>
          </w:tcPr>
          <w:p>
            <w:pPr>
              <w:ind w:left="8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227,085</w:t>
            </w:r>
          </w:p>
        </w:tc>
        <w:tc>
          <w:tcPr>
            <w:tcW w:w="12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5"/>
        </w:trPr>
        <w:tc>
          <w:tcPr>
            <w:tcW w:w="80" w:type="dxa"/>
            <w:vAlign w:val="bottom"/>
            <w:shd w:val="clear" w:color="auto" w:fill="F2F2F2"/>
          </w:tcPr>
          <w:p>
            <w:pPr>
              <w:spacing w:after="0"/>
              <w:rPr>
                <w:sz w:val="10"/>
                <w:szCs w:val="10"/>
                <w:color w:val="auto"/>
              </w:rPr>
            </w:pPr>
          </w:p>
        </w:tc>
        <w:tc>
          <w:tcPr>
            <w:tcW w:w="920" w:type="dxa"/>
            <w:vAlign w:val="bottom"/>
            <w:shd w:val="clear" w:color="auto" w:fill="F2F2F2"/>
          </w:tcPr>
          <w:p>
            <w:pPr>
              <w:spacing w:after="0" w:line="115" w:lineRule="exact"/>
              <w:rPr>
                <w:sz w:val="20"/>
                <w:szCs w:val="20"/>
                <w:color w:val="auto"/>
              </w:rPr>
            </w:pPr>
            <w:r>
              <w:rPr>
                <w:rFonts w:ascii="Arial" w:cs="Arial" w:eastAsia="Arial" w:hAnsi="Arial"/>
                <w:sz w:val="13"/>
                <w:szCs w:val="13"/>
                <w:b w:val="1"/>
                <w:bCs w:val="1"/>
                <w:color w:val="auto"/>
              </w:rPr>
              <w:t>Miguel</w:t>
            </w:r>
          </w:p>
        </w:tc>
        <w:tc>
          <w:tcPr>
            <w:tcW w:w="6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98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700" w:type="dxa"/>
            <w:vAlign w:val="bottom"/>
            <w:shd w:val="clear" w:color="auto" w:fill="F2F2F2"/>
          </w:tcPr>
          <w:p>
            <w:pPr>
              <w:spacing w:after="0"/>
              <w:rPr>
                <w:sz w:val="10"/>
                <w:szCs w:val="10"/>
                <w:color w:val="auto"/>
              </w:rPr>
            </w:pPr>
          </w:p>
        </w:tc>
        <w:tc>
          <w:tcPr>
            <w:tcW w:w="500" w:type="dxa"/>
            <w:vAlign w:val="bottom"/>
            <w:shd w:val="clear" w:color="auto" w:fill="F2F2F2"/>
          </w:tcPr>
          <w:p>
            <w:pPr>
              <w:spacing w:after="0"/>
              <w:rPr>
                <w:sz w:val="10"/>
                <w:szCs w:val="10"/>
                <w:color w:val="auto"/>
              </w:rPr>
            </w:pPr>
          </w:p>
        </w:tc>
        <w:tc>
          <w:tcPr>
            <w:tcW w:w="300" w:type="dxa"/>
            <w:vAlign w:val="bottom"/>
            <w:shd w:val="clear" w:color="auto" w:fill="F2F2F2"/>
          </w:tcPr>
          <w:p>
            <w:pPr>
              <w:spacing w:after="0"/>
              <w:rPr>
                <w:sz w:val="10"/>
                <w:szCs w:val="10"/>
                <w:color w:val="auto"/>
              </w:rPr>
            </w:pPr>
          </w:p>
        </w:tc>
        <w:tc>
          <w:tcPr>
            <w:tcW w:w="620" w:type="dxa"/>
            <w:vAlign w:val="bottom"/>
            <w:shd w:val="clear" w:color="auto" w:fill="F2F2F2"/>
          </w:tcPr>
          <w:p>
            <w:pPr>
              <w:spacing w:after="0"/>
              <w:rPr>
                <w:sz w:val="10"/>
                <w:szCs w:val="10"/>
                <w:color w:val="auto"/>
              </w:rPr>
            </w:pPr>
          </w:p>
        </w:tc>
        <w:tc>
          <w:tcPr>
            <w:tcW w:w="200" w:type="dxa"/>
            <w:vAlign w:val="bottom"/>
            <w:shd w:val="clear" w:color="auto" w:fill="F2F2F2"/>
          </w:tcPr>
          <w:p>
            <w:pPr>
              <w:spacing w:after="0"/>
              <w:rPr>
                <w:sz w:val="10"/>
                <w:szCs w:val="10"/>
                <w:color w:val="auto"/>
              </w:rPr>
            </w:pPr>
          </w:p>
        </w:tc>
        <w:tc>
          <w:tcPr>
            <w:tcW w:w="660" w:type="dxa"/>
            <w:vAlign w:val="bottom"/>
            <w:shd w:val="clear" w:color="auto" w:fill="F2F2F2"/>
          </w:tcPr>
          <w:p>
            <w:pPr>
              <w:spacing w:after="0"/>
              <w:rPr>
                <w:sz w:val="10"/>
                <w:szCs w:val="10"/>
                <w:color w:val="auto"/>
              </w:rPr>
            </w:pPr>
          </w:p>
        </w:tc>
        <w:tc>
          <w:tcPr>
            <w:tcW w:w="540" w:type="dxa"/>
            <w:vAlign w:val="bottom"/>
            <w:shd w:val="clear" w:color="auto" w:fill="F2F2F2"/>
          </w:tcPr>
          <w:p>
            <w:pPr>
              <w:spacing w:after="0"/>
              <w:rPr>
                <w:sz w:val="10"/>
                <w:szCs w:val="10"/>
                <w:color w:val="auto"/>
              </w:rPr>
            </w:pPr>
          </w:p>
        </w:tc>
        <w:tc>
          <w:tcPr>
            <w:tcW w:w="340" w:type="dxa"/>
            <w:vAlign w:val="bottom"/>
            <w:shd w:val="clear" w:color="auto" w:fill="F2F2F2"/>
          </w:tcPr>
          <w:p>
            <w:pPr>
              <w:spacing w:after="0"/>
              <w:rPr>
                <w:sz w:val="10"/>
                <w:szCs w:val="10"/>
                <w:color w:val="auto"/>
              </w:rPr>
            </w:pPr>
          </w:p>
        </w:tc>
        <w:tc>
          <w:tcPr>
            <w:tcW w:w="100" w:type="dxa"/>
            <w:vAlign w:val="bottom"/>
            <w:shd w:val="clear" w:color="auto" w:fill="F2F2F2"/>
          </w:tcPr>
          <w:p>
            <w:pPr>
              <w:spacing w:after="0"/>
              <w:rPr>
                <w:sz w:val="10"/>
                <w:szCs w:val="10"/>
                <w:color w:val="auto"/>
              </w:rPr>
            </w:pPr>
          </w:p>
        </w:tc>
        <w:tc>
          <w:tcPr>
            <w:tcW w:w="30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60" w:type="dxa"/>
            <w:vAlign w:val="bottom"/>
            <w:shd w:val="clear" w:color="auto" w:fill="F2F2F2"/>
          </w:tcPr>
          <w:p>
            <w:pPr>
              <w:spacing w:after="0"/>
              <w:rPr>
                <w:sz w:val="10"/>
                <w:szCs w:val="10"/>
                <w:color w:val="auto"/>
              </w:rPr>
            </w:pPr>
          </w:p>
        </w:tc>
        <w:tc>
          <w:tcPr>
            <w:tcW w:w="80" w:type="dxa"/>
            <w:vAlign w:val="bottom"/>
            <w:shd w:val="clear" w:color="auto" w:fill="F2F2F2"/>
          </w:tcPr>
          <w:p>
            <w:pPr>
              <w:spacing w:after="0"/>
              <w:rPr>
                <w:sz w:val="10"/>
                <w:szCs w:val="10"/>
                <w:color w:val="auto"/>
              </w:rPr>
            </w:pPr>
          </w:p>
        </w:tc>
        <w:tc>
          <w:tcPr>
            <w:tcW w:w="200" w:type="dxa"/>
            <w:vAlign w:val="bottom"/>
            <w:shd w:val="clear" w:color="auto" w:fill="F2F2F2"/>
          </w:tcPr>
          <w:p>
            <w:pPr>
              <w:spacing w:after="0"/>
              <w:rPr>
                <w:sz w:val="10"/>
                <w:szCs w:val="10"/>
                <w:color w:val="auto"/>
              </w:rPr>
            </w:pPr>
          </w:p>
        </w:tc>
        <w:tc>
          <w:tcPr>
            <w:tcW w:w="580" w:type="dxa"/>
            <w:vAlign w:val="bottom"/>
            <w:shd w:val="clear" w:color="auto" w:fill="F2F2F2"/>
          </w:tcPr>
          <w:p>
            <w:pPr>
              <w:spacing w:after="0"/>
              <w:rPr>
                <w:sz w:val="10"/>
                <w:szCs w:val="10"/>
                <w:color w:val="auto"/>
              </w:rPr>
            </w:pPr>
          </w:p>
        </w:tc>
        <w:tc>
          <w:tcPr>
            <w:tcW w:w="18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580" w:type="dxa"/>
            <w:vAlign w:val="bottom"/>
            <w:shd w:val="clear" w:color="auto" w:fill="F2F2F2"/>
          </w:tcPr>
          <w:p>
            <w:pPr>
              <w:spacing w:after="0"/>
              <w:rPr>
                <w:sz w:val="10"/>
                <w:szCs w:val="10"/>
                <w:color w:val="auto"/>
              </w:rPr>
            </w:pPr>
          </w:p>
        </w:tc>
        <w:tc>
          <w:tcPr>
            <w:tcW w:w="12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000" w:type="dxa"/>
            <w:vAlign w:val="bottom"/>
            <w:tcBorders>
              <w:bottom w:val="single" w:sz="8" w:color="62259D"/>
            </w:tcBorders>
            <w:gridSpan w:val="2"/>
            <w:shd w:val="clear" w:color="auto" w:fill="F2F2F2"/>
          </w:tcPr>
          <w:p>
            <w:pPr>
              <w:spacing w:after="0" w:line="243"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3"/>
                <w:szCs w:val="13"/>
                <w:b w:val="1"/>
                <w:bCs w:val="1"/>
                <w:color w:val="auto"/>
              </w:rPr>
              <w:t xml:space="preserve"> Lopez</w:t>
            </w:r>
          </w:p>
        </w:tc>
        <w:tc>
          <w:tcPr>
            <w:tcW w:w="220" w:type="dxa"/>
            <w:vAlign w:val="bottom"/>
            <w:tcBorders>
              <w:bottom w:val="single" w:sz="8" w:color="62259D"/>
            </w:tcBorders>
            <w:gridSpan w:val="2"/>
            <w:shd w:val="clear" w:color="auto" w:fill="F2F2F2"/>
          </w:tcPr>
          <w:p>
            <w:pPr>
              <w:jc w:val="right"/>
              <w:ind w:right="53"/>
              <w:spacing w:after="0"/>
              <w:rPr>
                <w:sz w:val="20"/>
                <w:szCs w:val="20"/>
                <w:color w:val="auto"/>
              </w:rPr>
            </w:pPr>
            <w:r>
              <w:rPr>
                <w:rFonts w:ascii="Arial" w:cs="Arial" w:eastAsia="Arial" w:hAnsi="Arial"/>
                <w:sz w:val="13"/>
                <w:szCs w:val="13"/>
                <w:color w:val="auto"/>
              </w:rPr>
              <w:t>​ ​</w:t>
            </w:r>
          </w:p>
        </w:tc>
        <w:tc>
          <w:tcPr>
            <w:tcW w:w="980" w:type="dxa"/>
            <w:vAlign w:val="bottom"/>
            <w:tcBorders>
              <w:bottom w:val="single" w:sz="8" w:color="62259D"/>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62259D"/>
            </w:tcBorders>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62259D"/>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62259D"/>
            </w:tcBorders>
            <w:gridSpan w:val="2"/>
            <w:shd w:val="clear" w:color="auto" w:fill="F2F2F2"/>
          </w:tcPr>
          <w:p>
            <w:pPr>
              <w:jc w:val="right"/>
              <w:spacing w:after="0"/>
              <w:rPr>
                <w:sz w:val="20"/>
                <w:szCs w:val="20"/>
                <w:color w:val="auto"/>
              </w:rPr>
            </w:pPr>
            <w:r>
              <w:rPr>
                <w:rFonts w:ascii="Arial" w:cs="Arial" w:eastAsia="Arial" w:hAnsi="Arial"/>
                <w:sz w:val="13"/>
                <w:szCs w:val="13"/>
                <w:color w:val="auto"/>
              </w:rPr>
              <w:t>​ ​ ​​393,750​ ​</w:t>
            </w:r>
          </w:p>
        </w:tc>
        <w:tc>
          <w:tcPr>
            <w:tcW w:w="620" w:type="dxa"/>
            <w:vAlign w:val="bottom"/>
            <w:tcBorders>
              <w:bottom w:val="single" w:sz="8" w:color="62259D"/>
            </w:tcBorders>
            <w:shd w:val="clear" w:color="auto" w:fill="F2F2F2"/>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62259D"/>
            </w:tcBorders>
            <w:shd w:val="clear" w:color="auto" w:fill="F2F2F2"/>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62259D"/>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62259D"/>
            </w:tcBorders>
            <w:shd w:val="clear" w:color="auto" w:fill="F2F2F2"/>
          </w:tcPr>
          <w:p>
            <w:pPr>
              <w:spacing w:after="0"/>
              <w:rPr>
                <w:sz w:val="20"/>
                <w:szCs w:val="20"/>
                <w:color w:val="auto"/>
              </w:rPr>
            </w:pPr>
            <w:r>
              <w:rPr>
                <w:rFonts w:ascii="Arial" w:cs="Arial" w:eastAsia="Arial" w:hAnsi="Arial"/>
                <w:sz w:val="13"/>
                <w:szCs w:val="13"/>
                <w:color w:val="auto"/>
              </w:rPr>
              <w:t>​​ ​ ​​</w:t>
            </w:r>
          </w:p>
        </w:tc>
        <w:tc>
          <w:tcPr>
            <w:tcW w:w="340" w:type="dxa"/>
            <w:vAlign w:val="bottom"/>
            <w:tcBorders>
              <w:bottom w:val="single" w:sz="8" w:color="62259D"/>
            </w:tcBorders>
            <w:shd w:val="clear" w:color="auto" w:fill="F2F2F2"/>
          </w:tcPr>
          <w:p>
            <w:pPr>
              <w:jc w:val="right"/>
              <w:ind w:right="14"/>
              <w:spacing w:after="0"/>
              <w:rPr>
                <w:sz w:val="20"/>
                <w:szCs w:val="20"/>
                <w:color w:val="auto"/>
              </w:rPr>
            </w:pPr>
            <w:r>
              <w:rPr>
                <w:rFonts w:ascii="Arial" w:cs="Arial" w:eastAsia="Arial" w:hAnsi="Arial"/>
                <w:sz w:val="13"/>
                <w:szCs w:val="13"/>
                <w:color w:val="auto"/>
              </w:rPr>
              <w:t>—​ ​</w:t>
            </w:r>
          </w:p>
        </w:tc>
        <w:tc>
          <w:tcPr>
            <w:tcW w:w="100" w:type="dxa"/>
            <w:vAlign w:val="bottom"/>
            <w:tcBorders>
              <w:bottom w:val="single" w:sz="8" w:color="62259D"/>
            </w:tcBorders>
            <w:shd w:val="clear" w:color="auto" w:fill="F2F2F2"/>
          </w:tcPr>
          <w:p>
            <w:pPr>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62259D"/>
            </w:tcBorders>
            <w:shd w:val="clear" w:color="auto" w:fill="F2F2F2"/>
          </w:tcPr>
          <w:p>
            <w:pPr>
              <w:spacing w:after="0"/>
              <w:rPr>
                <w:sz w:val="21"/>
                <w:szCs w:val="21"/>
                <w:color w:val="auto"/>
              </w:rPr>
            </w:pPr>
          </w:p>
        </w:tc>
        <w:tc>
          <w:tcPr>
            <w:tcW w:w="360" w:type="dxa"/>
            <w:vAlign w:val="bottom"/>
            <w:tcBorders>
              <w:bottom w:val="single" w:sz="8" w:color="62259D"/>
            </w:tcBorders>
            <w:gridSpan w:val="3"/>
            <w:shd w:val="clear" w:color="auto" w:fill="F2F2F2"/>
          </w:tcPr>
          <w:p>
            <w:pPr>
              <w:jc w:val="right"/>
              <w:spacing w:after="0"/>
              <w:rPr>
                <w:sz w:val="20"/>
                <w:szCs w:val="20"/>
                <w:color w:val="auto"/>
              </w:rPr>
            </w:pPr>
            <w:r>
              <w:rPr>
                <w:rFonts w:ascii="Arial" w:cs="Arial" w:eastAsia="Arial" w:hAnsi="Arial"/>
                <w:sz w:val="13"/>
                <w:szCs w:val="13"/>
                <w:color w:val="auto"/>
              </w:rPr>
              <w:t>— ​​ ​</w:t>
            </w:r>
          </w:p>
        </w:tc>
        <w:tc>
          <w:tcPr>
            <w:tcW w:w="200" w:type="dxa"/>
            <w:vAlign w:val="bottom"/>
            <w:tcBorders>
              <w:bottom w:val="single" w:sz="8" w:color="62259D"/>
            </w:tcBorders>
            <w:shd w:val="clear" w:color="auto" w:fill="F2F2F2"/>
          </w:tcPr>
          <w:p>
            <w:pPr>
              <w:ind w:left="12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62259D"/>
            </w:tcBorders>
            <w:shd w:val="clear" w:color="auto" w:fill="F2F2F2"/>
          </w:tcPr>
          <w:p>
            <w:pPr>
              <w:jc w:val="right"/>
              <w:ind w:right="3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62259D"/>
            </w:tcBorders>
            <w:shd w:val="clear" w:color="auto" w:fill="F2F2F2"/>
          </w:tcPr>
          <w:p>
            <w:pPr>
              <w:spacing w:after="0"/>
              <w:rPr>
                <w:sz w:val="20"/>
                <w:szCs w:val="20"/>
                <w:color w:val="auto"/>
              </w:rPr>
            </w:pPr>
            <w:r>
              <w:rPr>
                <w:rFonts w:ascii="Arial" w:cs="Arial" w:eastAsia="Arial" w:hAnsi="Arial"/>
                <w:sz w:val="13"/>
                <w:szCs w:val="13"/>
                <w:color w:val="auto"/>
              </w:rPr>
              <w:t>​​ ​</w:t>
            </w:r>
          </w:p>
        </w:tc>
        <w:tc>
          <w:tcPr>
            <w:tcW w:w="160" w:type="dxa"/>
            <w:vAlign w:val="bottom"/>
            <w:tcBorders>
              <w:bottom w:val="single" w:sz="8" w:color="62259D"/>
            </w:tcBorders>
            <w:shd w:val="clear" w:color="auto" w:fill="F2F2F2"/>
          </w:tcPr>
          <w:p>
            <w:pPr>
              <w:ind w:left="8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62259D"/>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62259D"/>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400" w:hanging="368"/>
        <w:spacing w:after="0"/>
        <w:tabs>
          <w:tab w:leader="none" w:pos="140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“Target” amount represents the potential cash bonus payment under the SMCIP at target level of achievement.</w:t>
      </w:r>
    </w:p>
    <w:p>
      <w:pPr>
        <w:spacing w:after="0" w:line="68" w:lineRule="exact"/>
        <w:rPr>
          <w:rFonts w:ascii="Arial" w:cs="Arial" w:eastAsia="Arial" w:hAnsi="Arial"/>
          <w:sz w:val="14"/>
          <w:szCs w:val="14"/>
          <w:color w:val="auto"/>
        </w:rPr>
      </w:pPr>
    </w:p>
    <w:p>
      <w:pPr>
        <w:ind w:left="1400" w:right="279" w:hanging="368"/>
        <w:spacing w:after="0" w:line="269" w:lineRule="auto"/>
        <w:tabs>
          <w:tab w:leader="none" w:pos="140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In 2024, we granted PSUs with both market and service conditions to Messrs. McClelland, Townsend, Bucci, Macken and Redington. PSUs that include a market condition require the use of a Monte Carlo simulation approach to model future stock price movements based upon the risk-free rate of return, the volatility of each entity and, where applicable, the pair-wise covariance between each entity. These results are then used to calculate the grant date fair values of the respective PSUs.</w:t>
      </w:r>
    </w:p>
    <w:p>
      <w:pPr>
        <w:spacing w:after="0" w:line="7" w:lineRule="exact"/>
        <w:rPr>
          <w:rFonts w:ascii="Arial" w:cs="Arial" w:eastAsia="Arial" w:hAnsi="Arial"/>
          <w:sz w:val="14"/>
          <w:szCs w:val="14"/>
          <w:color w:val="auto"/>
        </w:rPr>
      </w:pPr>
    </w:p>
    <w:p>
      <w:pPr>
        <w:ind w:left="1400" w:right="139"/>
        <w:spacing w:after="0" w:line="245" w:lineRule="auto"/>
        <w:rPr>
          <w:rFonts w:ascii="Arial" w:cs="Arial" w:eastAsia="Arial" w:hAnsi="Arial"/>
          <w:sz w:val="14"/>
          <w:szCs w:val="14"/>
          <w:color w:val="auto"/>
        </w:rPr>
      </w:pPr>
      <w:r>
        <w:rPr>
          <w:rFonts w:ascii="Arial" w:cs="Arial" w:eastAsia="Arial" w:hAnsi="Arial"/>
          <w:sz w:val="14"/>
          <w:szCs w:val="14"/>
          <w:color w:val="auto"/>
        </w:rPr>
        <w:t>Each 2024 Annual PSU grant made to Messrs. McClelland, Bucci, Macken and Redington, based, in part, on performance is comprised of two consecutive fiscal year performance periods from 2024 through 2025 (each, a “</w:t>
      </w:r>
      <w:r>
        <w:rPr>
          <w:rFonts w:ascii="Arial" w:cs="Arial" w:eastAsia="Arial" w:hAnsi="Arial"/>
          <w:sz w:val="14"/>
          <w:szCs w:val="14"/>
          <w:i w:val="1"/>
          <w:iCs w:val="1"/>
          <w:color w:val="auto"/>
        </w:rPr>
        <w:t>Fiscal Year Performance</w:t>
      </w:r>
      <w:r>
        <w:rPr>
          <w:rFonts w:ascii="Arial" w:cs="Arial" w:eastAsia="Arial" w:hAnsi="Arial"/>
          <w:sz w:val="14"/>
          <w:szCs w:val="14"/>
          <w:color w:val="auto"/>
        </w:rPr>
        <w:t xml:space="preserve"> </w:t>
      </w:r>
      <w:r>
        <w:rPr>
          <w:rFonts w:ascii="Arial" w:cs="Arial" w:eastAsia="Arial" w:hAnsi="Arial"/>
          <w:sz w:val="14"/>
          <w:szCs w:val="14"/>
          <w:i w:val="1"/>
          <w:iCs w:val="1"/>
          <w:color w:val="auto"/>
        </w:rPr>
        <w:t>Period</w:t>
      </w:r>
      <w:r>
        <w:rPr>
          <w:rFonts w:ascii="Arial" w:cs="Arial" w:eastAsia="Arial" w:hAnsi="Arial"/>
          <w:sz w:val="14"/>
          <w:szCs w:val="14"/>
          <w:color w:val="auto"/>
        </w:rPr>
        <w:t>”), with one-half of the Performance PSUs attributable to each Fiscal Year Performance Period. The 2024 Annual PSU</w:t>
      </w:r>
      <w:r>
        <w:rPr>
          <w:rFonts w:ascii="Arial" w:cs="Arial" w:eastAsia="Arial" w:hAnsi="Arial"/>
          <w:sz w:val="14"/>
          <w:szCs w:val="14"/>
          <w:i w:val="1"/>
          <w:iCs w:val="1"/>
          <w:color w:val="auto"/>
        </w:rPr>
        <w:t xml:space="preserve"> </w:t>
      </w:r>
      <w:r>
        <w:rPr>
          <w:rFonts w:ascii="Arial" w:cs="Arial" w:eastAsia="Arial" w:hAnsi="Arial"/>
          <w:sz w:val="14"/>
          <w:szCs w:val="14"/>
          <w:color w:val="auto"/>
        </w:rPr>
        <w:t>grant made to Mr. Townsend is based, in part, on performance is comprised of three consecutive fiscal year performance periods from 2025 through 2027, with one-third of the Performance PSUs attributable to each Fiscal Year Performance Period. The number of shares that will vest for each Fiscal Year Performance Period will be based on the achievement of certain metrics related to the Company’s financial performance for the applicable year on a standalone basis (each, a “</w:t>
      </w:r>
      <w:r>
        <w:rPr>
          <w:rFonts w:ascii="Arial" w:cs="Arial" w:eastAsia="Arial" w:hAnsi="Arial"/>
          <w:sz w:val="14"/>
          <w:szCs w:val="14"/>
          <w:i w:val="1"/>
          <w:iCs w:val="1"/>
          <w:color w:val="auto"/>
        </w:rPr>
        <w:t>Fiscal Year</w:t>
      </w:r>
      <w:r>
        <w:rPr>
          <w:rFonts w:ascii="Arial" w:cs="Arial" w:eastAsia="Arial" w:hAnsi="Arial"/>
          <w:sz w:val="14"/>
          <w:szCs w:val="14"/>
          <w:color w:val="auto"/>
        </w:rPr>
        <w:t xml:space="preserve"> </w:t>
      </w:r>
      <w:r>
        <w:rPr>
          <w:rFonts w:ascii="Arial" w:cs="Arial" w:eastAsia="Arial" w:hAnsi="Arial"/>
          <w:sz w:val="14"/>
          <w:szCs w:val="14"/>
          <w:i w:val="1"/>
          <w:iCs w:val="1"/>
          <w:color w:val="auto"/>
        </w:rPr>
        <w:t>Performance Condition</w:t>
      </w:r>
      <w:r>
        <w:rPr>
          <w:rFonts w:ascii="Arial" w:cs="Arial" w:eastAsia="Arial" w:hAnsi="Arial"/>
          <w:sz w:val="14"/>
          <w:szCs w:val="14"/>
          <w:color w:val="auto"/>
        </w:rPr>
        <w:t>”). The Company’s achievement of each Fiscal Year Performance Condition (and the number of shares</w:t>
      </w:r>
      <w:r>
        <w:rPr>
          <w:rFonts w:ascii="Arial" w:cs="Arial" w:eastAsia="Arial" w:hAnsi="Arial"/>
          <w:sz w:val="14"/>
          <w:szCs w:val="14"/>
          <w:i w:val="1"/>
          <w:iCs w:val="1"/>
          <w:color w:val="auto"/>
        </w:rPr>
        <w:t xml:space="preserve"> </w:t>
      </w:r>
      <w:r>
        <w:rPr>
          <w:rFonts w:ascii="Arial" w:cs="Arial" w:eastAsia="Arial" w:hAnsi="Arial"/>
          <w:sz w:val="14"/>
          <w:szCs w:val="14"/>
          <w:color w:val="auto"/>
        </w:rPr>
        <w:t>of Company common stock to vest as a result thereof) is measured on a linear sliding scale in relation to specific threshold, target and stretch performance conditions. The Compensation Committee will determine the number of shares earned, if any, after the Company’s financial results for each Fiscal Year Performance Period are finalized. Upon the determination by the Compensation Committee of the number of shares that will be received upon vesting of the 2024 Annual PSUs, such number of shares will become fixed</w:t>
      </w:r>
    </w:p>
    <w:p>
      <w:pPr>
        <w:sectPr>
          <w:pgSz w:w="11900" w:h="16838" w:orient="portrait"/>
          <w:cols w:equalWidth="0" w:num="1">
            <w:col w:w="9879"/>
          </w:cols>
          <w:pgMar w:left="580" w:top="97" w:right="1440" w:bottom="1440" w:gutter="0" w:footer="0" w:header="0"/>
        </w:sectPr>
      </w:pPr>
    </w:p>
    <w:p>
      <w:pPr>
        <w:spacing w:after="0" w:line="327"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63"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and the unamortized expense will be recorded through the remainder of the service period that ends on May 15, 2026</w:t>
      </w:r>
    </w:p>
    <w:p>
      <w:pPr>
        <w:spacing w:after="0" w:line="29" w:lineRule="exact"/>
        <w:rPr>
          <w:sz w:val="20"/>
          <w:szCs w:val="20"/>
          <w:color w:val="auto"/>
        </w:rPr>
      </w:pPr>
    </w:p>
    <w:p>
      <w:pPr>
        <w:ind w:left="1400" w:right="139"/>
        <w:spacing w:after="0" w:line="264" w:lineRule="auto"/>
        <w:rPr>
          <w:sz w:val="20"/>
          <w:szCs w:val="20"/>
          <w:color w:val="auto"/>
        </w:rPr>
      </w:pPr>
      <w:r>
        <w:rPr>
          <w:rFonts w:ascii="Arial" w:cs="Arial" w:eastAsia="Arial" w:hAnsi="Arial"/>
          <w:sz w:val="14"/>
          <w:szCs w:val="14"/>
          <w:color w:val="auto"/>
        </w:rPr>
        <w:t>(May 15, 2028 for Mr. Townsend), at which time the total Performance PSUs earned, if any, will vest, pending each executive’s continued employment with the Company through that date.</w:t>
      </w:r>
    </w:p>
    <w:p>
      <w:pPr>
        <w:spacing w:after="0" w:line="10" w:lineRule="exact"/>
        <w:rPr>
          <w:sz w:val="20"/>
          <w:szCs w:val="20"/>
          <w:color w:val="auto"/>
        </w:rPr>
      </w:pPr>
    </w:p>
    <w:p>
      <w:pPr>
        <w:ind w:left="1400" w:right="139"/>
        <w:spacing w:after="0" w:line="262" w:lineRule="auto"/>
        <w:rPr>
          <w:sz w:val="20"/>
          <w:szCs w:val="20"/>
          <w:color w:val="auto"/>
        </w:rPr>
      </w:pPr>
      <w:r>
        <w:rPr>
          <w:rFonts w:ascii="Arial" w:cs="Arial" w:eastAsia="Arial" w:hAnsi="Arial"/>
          <w:sz w:val="14"/>
          <w:szCs w:val="14"/>
          <w:color w:val="auto"/>
        </w:rPr>
        <w:t xml:space="preserve">The number of shares of common stock to be achieved upon vesting of the Performance PSUs will in no event exceed 150% of the Performance PSUs. Shares subject to the Performance PSUs that fail to be earned will be forfeited. In January 2025, as discussed in “— </w:t>
      </w:r>
      <w:r>
        <w:rPr>
          <w:rFonts w:ascii="Arial" w:cs="Arial" w:eastAsia="Arial" w:hAnsi="Arial"/>
          <w:sz w:val="14"/>
          <w:szCs w:val="14"/>
          <w:i w:val="1"/>
          <w:iCs w:val="1"/>
          <w:color w:val="auto"/>
        </w:rPr>
        <w:t>Compensation Discussion &amp; Analysis</w:t>
      </w:r>
      <w:r>
        <w:rPr>
          <w:rFonts w:ascii="Arial" w:cs="Arial" w:eastAsia="Arial" w:hAnsi="Arial"/>
          <w:sz w:val="14"/>
          <w:szCs w:val="14"/>
          <w:color w:val="auto"/>
        </w:rPr>
        <w:t>” above, the Compensation Committee determined that the performance metrics for the performance portion of the 2024 Annual PSUs had been achieved at approximately 70% of target, with such achievement equal to the right to receive the following shares, provided (with respect to the Annual PSU grants), that the NEO is still employed by the Company on the vesting date: Mr. McClelland 114,636 shares; Mr. Lopez 18,071 shares; Mr. Bucci 24,474 shares; Mr. Macken 21,653 shares; and Mr. Redington 20,380 shares.</w:t>
      </w:r>
    </w:p>
    <w:p>
      <w:pPr>
        <w:spacing w:after="0" w:line="12" w:lineRule="exact"/>
        <w:rPr>
          <w:sz w:val="20"/>
          <w:szCs w:val="20"/>
          <w:color w:val="auto"/>
        </w:rPr>
      </w:pPr>
    </w:p>
    <w:p>
      <w:pPr>
        <w:ind w:left="1400" w:right="99"/>
        <w:spacing w:after="0" w:line="262" w:lineRule="auto"/>
        <w:rPr>
          <w:sz w:val="20"/>
          <w:szCs w:val="20"/>
          <w:color w:val="auto"/>
        </w:rPr>
      </w:pPr>
      <w:r>
        <w:rPr>
          <w:rFonts w:ascii="Arial" w:cs="Arial" w:eastAsia="Arial" w:hAnsi="Arial"/>
          <w:sz w:val="14"/>
          <w:szCs w:val="14"/>
          <w:color w:val="auto"/>
        </w:rPr>
        <w:t>The TSR portion of the 2024 Annual PSUs have a single multi-year performance period, which will end on December 31, 2026 (the “</w:t>
      </w:r>
      <w:r>
        <w:rPr>
          <w:rFonts w:ascii="Arial" w:cs="Arial" w:eastAsia="Arial" w:hAnsi="Arial"/>
          <w:sz w:val="14"/>
          <w:szCs w:val="14"/>
          <w:i w:val="1"/>
          <w:iCs w:val="1"/>
          <w:color w:val="auto"/>
        </w:rPr>
        <w:t>Market Performance Period</w:t>
      </w:r>
      <w:r>
        <w:rPr>
          <w:rFonts w:ascii="Arial" w:cs="Arial" w:eastAsia="Arial" w:hAnsi="Arial"/>
          <w:sz w:val="14"/>
          <w:szCs w:val="14"/>
          <w:color w:val="auto"/>
        </w:rPr>
        <w:t>”). The number of shares subject to the TSR portion of the 2024 Annual PSUs that will vest, if any, on May 15, 2028, will be dependent upon the Company’s TSR compared with the TSR of the peer companies identified by the Compensation Committee for the 2024 Annual PSUs, measured by the Compensation Committee after the Market Performance Period ends. The shares determined to be earned will vest on May 15, 2028, pending each executive’s continued employment with the Company through that date. The number of shares of common stock to be achieved upon vesting of the TSR portion of the 2024 Annual PSUs will in no event exceed 200% of the TSR portion of the 2024 Annual PSUs. Shares subject to the TSR portion of the 2024 Annual PSUs that fail to be earned will be forfeited.</w:t>
      </w:r>
    </w:p>
    <w:p>
      <w:pPr>
        <w:spacing w:after="0" w:line="38" w:lineRule="exact"/>
        <w:rPr>
          <w:sz w:val="20"/>
          <w:szCs w:val="20"/>
          <w:color w:val="auto"/>
        </w:rPr>
      </w:pPr>
    </w:p>
    <w:p>
      <w:pPr>
        <w:ind w:left="1400" w:right="259" w:hanging="368"/>
        <w:spacing w:after="0" w:line="273" w:lineRule="auto"/>
        <w:tabs>
          <w:tab w:leader="none" w:pos="140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Amounts reflect the grant date fair values of the RSUs and PSUs estimated in accordance with ASC 718 as of the respective grant dates. The methodology for calculating the grant date fair value of stock awards is discussed in Note 20 to the Company’s Audited Financial Statements for the year ended December 31, 2024.</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54</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Outstanding Equity Awards at Fiscal Year-End</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information concerning unvested stock awards held by the NEOs as of</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December 31, 2024 for those NEOs that held unvested awards as of such date:</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209"/>
        </w:trPr>
        <w:tc>
          <w:tcPr>
            <w:tcW w:w="60" w:type="dxa"/>
            <w:vAlign w:val="bottom"/>
            <w:shd w:val="clear" w:color="auto" w:fill="62259D"/>
          </w:tcPr>
          <w:p>
            <w:pPr>
              <w:spacing w:after="0"/>
              <w:rPr>
                <w:sz w:val="20"/>
                <w:szCs w:val="20"/>
                <w:color w:val="auto"/>
              </w:rPr>
            </w:pPr>
            <w:r>
              <w:rPr>
                <w:rFonts w:ascii="Arial" w:cs="Arial" w:eastAsia="Arial" w:hAnsi="Arial"/>
                <w:sz w:val="13"/>
                <w:szCs w:val="13"/>
                <w:b w:val="1"/>
                <w:bCs w:val="1"/>
                <w:color w:val="FEFEFE"/>
              </w:rPr>
              <w:t>​</w:t>
            </w:r>
          </w:p>
        </w:tc>
        <w:tc>
          <w:tcPr>
            <w:tcW w:w="1500" w:type="dxa"/>
            <w:vAlign w:val="bottom"/>
            <w:shd w:val="clear" w:color="auto" w:fill="62259D"/>
          </w:tcPr>
          <w:p>
            <w:pPr>
              <w:ind w:left="20"/>
              <w:spacing w:after="0"/>
              <w:rPr>
                <w:sz w:val="20"/>
                <w:szCs w:val="20"/>
                <w:color w:val="auto"/>
              </w:rPr>
            </w:pPr>
            <w:r>
              <w:rPr>
                <w:rFonts w:ascii="Arial" w:cs="Arial" w:eastAsia="Arial" w:hAnsi="Arial"/>
                <w:sz w:val="13"/>
                <w:szCs w:val="13"/>
                <w:b w:val="1"/>
                <w:bCs w:val="1"/>
                <w:color w:val="FEFEFE"/>
              </w:rPr>
              <w:t>​</w:t>
            </w:r>
          </w:p>
        </w:tc>
        <w:tc>
          <w:tcPr>
            <w:tcW w:w="180" w:type="dxa"/>
            <w:vAlign w:val="bottom"/>
            <w:gridSpan w:val="2"/>
            <w:shd w:val="clear" w:color="auto" w:fill="62259D"/>
          </w:tcPr>
          <w:p>
            <w:pPr>
              <w:jc w:val="right"/>
              <w:spacing w:after="0"/>
              <w:rPr>
                <w:sz w:val="20"/>
                <w:szCs w:val="20"/>
                <w:color w:val="auto"/>
              </w:rPr>
            </w:pPr>
            <w:r>
              <w:rPr>
                <w:rFonts w:ascii="Arial" w:cs="Arial" w:eastAsia="Arial" w:hAnsi="Arial"/>
                <w:sz w:val="13"/>
                <w:szCs w:val="13"/>
                <w:b w:val="1"/>
                <w:bCs w:val="1"/>
                <w:color w:val="FEFEFE"/>
              </w:rPr>
              <w:t>​ ​</w:t>
            </w:r>
          </w:p>
        </w:tc>
        <w:tc>
          <w:tcPr>
            <w:tcW w:w="540" w:type="dxa"/>
            <w:vAlign w:val="bottom"/>
            <w:shd w:val="clear" w:color="auto" w:fill="62259D"/>
          </w:tcPr>
          <w:p>
            <w:pPr>
              <w:spacing w:after="0"/>
              <w:rPr>
                <w:sz w:val="18"/>
                <w:szCs w:val="18"/>
                <w:color w:val="auto"/>
              </w:rPr>
            </w:pPr>
          </w:p>
        </w:tc>
        <w:tc>
          <w:tcPr>
            <w:tcW w:w="920" w:type="dxa"/>
            <w:vAlign w:val="bottom"/>
            <w:shd w:val="clear" w:color="auto" w:fill="62259D"/>
          </w:tcPr>
          <w:p>
            <w:pPr>
              <w:spacing w:after="0"/>
              <w:rPr>
                <w:sz w:val="18"/>
                <w:szCs w:val="18"/>
                <w:color w:val="auto"/>
              </w:rPr>
            </w:pPr>
          </w:p>
        </w:tc>
        <w:tc>
          <w:tcPr>
            <w:tcW w:w="220" w:type="dxa"/>
            <w:vAlign w:val="bottom"/>
            <w:shd w:val="clear" w:color="auto" w:fill="62259D"/>
          </w:tcPr>
          <w:p>
            <w:pPr>
              <w:spacing w:after="0"/>
              <w:rPr>
                <w:sz w:val="18"/>
                <w:szCs w:val="18"/>
                <w:color w:val="auto"/>
              </w:rPr>
            </w:pPr>
          </w:p>
        </w:tc>
        <w:tc>
          <w:tcPr>
            <w:tcW w:w="520" w:type="dxa"/>
            <w:vAlign w:val="bottom"/>
            <w:shd w:val="clear" w:color="auto" w:fill="62259D"/>
          </w:tcPr>
          <w:p>
            <w:pPr>
              <w:spacing w:after="0"/>
              <w:rPr>
                <w:sz w:val="18"/>
                <w:szCs w:val="18"/>
                <w:color w:val="auto"/>
              </w:rPr>
            </w:pPr>
          </w:p>
        </w:tc>
        <w:tc>
          <w:tcPr>
            <w:tcW w:w="820" w:type="dxa"/>
            <w:vAlign w:val="bottom"/>
            <w:shd w:val="clear" w:color="auto" w:fill="62259D"/>
          </w:tcPr>
          <w:p>
            <w:pPr>
              <w:spacing w:after="0"/>
              <w:rPr>
                <w:sz w:val="18"/>
                <w:szCs w:val="18"/>
                <w:color w:val="auto"/>
              </w:rPr>
            </w:pPr>
          </w:p>
        </w:tc>
        <w:tc>
          <w:tcPr>
            <w:tcW w:w="1820" w:type="dxa"/>
            <w:vAlign w:val="bottom"/>
            <w:gridSpan w:val="3"/>
            <w:shd w:val="clear" w:color="auto" w:fill="62259D"/>
          </w:tcPr>
          <w:p>
            <w:pPr>
              <w:ind w:left="20"/>
              <w:spacing w:after="0"/>
              <w:rPr>
                <w:sz w:val="20"/>
                <w:szCs w:val="20"/>
                <w:color w:val="auto"/>
              </w:rPr>
            </w:pPr>
            <w:r>
              <w:rPr>
                <w:rFonts w:ascii="Arial" w:cs="Arial" w:eastAsia="Arial" w:hAnsi="Arial"/>
                <w:sz w:val="13"/>
                <w:szCs w:val="13"/>
                <w:b w:val="1"/>
                <w:bCs w:val="1"/>
                <w:color w:val="FEFEFE"/>
              </w:rPr>
              <w:t>Stock Awards</w:t>
            </w:r>
          </w:p>
        </w:tc>
        <w:tc>
          <w:tcPr>
            <w:tcW w:w="220" w:type="dxa"/>
            <w:vAlign w:val="bottom"/>
            <w:shd w:val="clear" w:color="auto" w:fill="62259D"/>
          </w:tcPr>
          <w:p>
            <w:pPr>
              <w:spacing w:after="0"/>
              <w:rPr>
                <w:sz w:val="18"/>
                <w:szCs w:val="18"/>
                <w:color w:val="auto"/>
              </w:rPr>
            </w:pPr>
          </w:p>
        </w:tc>
        <w:tc>
          <w:tcPr>
            <w:tcW w:w="680" w:type="dxa"/>
            <w:vAlign w:val="bottom"/>
            <w:shd w:val="clear" w:color="auto" w:fill="62259D"/>
          </w:tcPr>
          <w:p>
            <w:pPr>
              <w:spacing w:after="0"/>
              <w:rPr>
                <w:sz w:val="18"/>
                <w:szCs w:val="18"/>
                <w:color w:val="auto"/>
              </w:rPr>
            </w:pPr>
          </w:p>
        </w:tc>
        <w:tc>
          <w:tcPr>
            <w:tcW w:w="1220" w:type="dxa"/>
            <w:vAlign w:val="bottom"/>
            <w:shd w:val="clear" w:color="auto" w:fill="62259D"/>
          </w:tcPr>
          <w:p>
            <w:pPr>
              <w:spacing w:after="0"/>
              <w:rPr>
                <w:sz w:val="18"/>
                <w:szCs w:val="18"/>
                <w:color w:val="auto"/>
              </w:rPr>
            </w:pPr>
          </w:p>
        </w:tc>
        <w:tc>
          <w:tcPr>
            <w:tcW w:w="160" w:type="dxa"/>
            <w:vAlign w:val="bottom"/>
            <w:shd w:val="clear" w:color="auto" w:fill="62259D"/>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54"/>
        </w:trPr>
        <w:tc>
          <w:tcPr>
            <w:tcW w:w="60" w:type="dxa"/>
            <w:vAlign w:val="bottom"/>
            <w:shd w:val="clear" w:color="auto" w:fill="62259D"/>
          </w:tcPr>
          <w:p>
            <w:pPr>
              <w:spacing w:after="0"/>
              <w:rPr>
                <w:sz w:val="13"/>
                <w:szCs w:val="13"/>
                <w:color w:val="auto"/>
              </w:rPr>
            </w:pPr>
          </w:p>
        </w:tc>
        <w:tc>
          <w:tcPr>
            <w:tcW w:w="1500" w:type="dxa"/>
            <w:vAlign w:val="bottom"/>
            <w:shd w:val="clear" w:color="auto" w:fill="62259D"/>
          </w:tcPr>
          <w:p>
            <w:pPr>
              <w:spacing w:after="0"/>
              <w:rPr>
                <w:sz w:val="13"/>
                <w:szCs w:val="13"/>
                <w:color w:val="auto"/>
              </w:rPr>
            </w:pPr>
          </w:p>
        </w:tc>
        <w:tc>
          <w:tcPr>
            <w:tcW w:w="80" w:type="dxa"/>
            <w:vAlign w:val="bottom"/>
            <w:shd w:val="clear" w:color="auto" w:fill="62259D"/>
          </w:tcPr>
          <w:p>
            <w:pPr>
              <w:spacing w:after="0"/>
              <w:rPr>
                <w:sz w:val="13"/>
                <w:szCs w:val="13"/>
                <w:color w:val="auto"/>
              </w:rPr>
            </w:pPr>
          </w:p>
        </w:tc>
        <w:tc>
          <w:tcPr>
            <w:tcW w:w="100" w:type="dxa"/>
            <w:vAlign w:val="bottom"/>
            <w:shd w:val="clear" w:color="auto" w:fill="62259D"/>
          </w:tcPr>
          <w:p>
            <w:pPr>
              <w:spacing w:after="0"/>
              <w:rPr>
                <w:sz w:val="13"/>
                <w:szCs w:val="13"/>
                <w:color w:val="auto"/>
              </w:rPr>
            </w:pPr>
          </w:p>
        </w:tc>
        <w:tc>
          <w:tcPr>
            <w:tcW w:w="540" w:type="dxa"/>
            <w:vAlign w:val="bottom"/>
            <w:shd w:val="clear" w:color="auto" w:fill="62259D"/>
          </w:tcPr>
          <w:p>
            <w:pPr>
              <w:spacing w:after="0"/>
              <w:rPr>
                <w:sz w:val="13"/>
                <w:szCs w:val="13"/>
                <w:color w:val="auto"/>
              </w:rPr>
            </w:pPr>
          </w:p>
        </w:tc>
        <w:tc>
          <w:tcPr>
            <w:tcW w:w="920" w:type="dxa"/>
            <w:vAlign w:val="bottom"/>
            <w:shd w:val="clear" w:color="auto" w:fill="62259D"/>
          </w:tcPr>
          <w:p>
            <w:pPr>
              <w:spacing w:after="0"/>
              <w:rPr>
                <w:sz w:val="13"/>
                <w:szCs w:val="13"/>
                <w:color w:val="auto"/>
              </w:rPr>
            </w:pPr>
          </w:p>
        </w:tc>
        <w:tc>
          <w:tcPr>
            <w:tcW w:w="220" w:type="dxa"/>
            <w:vAlign w:val="bottom"/>
            <w:shd w:val="clear" w:color="auto" w:fill="62259D"/>
          </w:tcPr>
          <w:p>
            <w:pPr>
              <w:spacing w:after="0"/>
              <w:rPr>
                <w:sz w:val="13"/>
                <w:szCs w:val="13"/>
                <w:color w:val="auto"/>
              </w:rPr>
            </w:pPr>
          </w:p>
        </w:tc>
        <w:tc>
          <w:tcPr>
            <w:tcW w:w="520" w:type="dxa"/>
            <w:vAlign w:val="bottom"/>
            <w:shd w:val="clear" w:color="auto" w:fill="62259D"/>
          </w:tcPr>
          <w:p>
            <w:pPr>
              <w:spacing w:after="0"/>
              <w:rPr>
                <w:sz w:val="13"/>
                <w:szCs w:val="13"/>
                <w:color w:val="auto"/>
              </w:rPr>
            </w:pPr>
          </w:p>
        </w:tc>
        <w:tc>
          <w:tcPr>
            <w:tcW w:w="820" w:type="dxa"/>
            <w:vAlign w:val="bottom"/>
            <w:shd w:val="clear" w:color="auto" w:fill="62259D"/>
          </w:tcPr>
          <w:p>
            <w:pPr>
              <w:spacing w:after="0"/>
              <w:rPr>
                <w:sz w:val="13"/>
                <w:szCs w:val="13"/>
                <w:color w:val="auto"/>
              </w:rPr>
            </w:pPr>
          </w:p>
        </w:tc>
        <w:tc>
          <w:tcPr>
            <w:tcW w:w="300" w:type="dxa"/>
            <w:vAlign w:val="bottom"/>
            <w:shd w:val="clear" w:color="auto" w:fill="62259D"/>
          </w:tcPr>
          <w:p>
            <w:pPr>
              <w:spacing w:after="0"/>
              <w:rPr>
                <w:sz w:val="13"/>
                <w:szCs w:val="13"/>
                <w:color w:val="auto"/>
              </w:rPr>
            </w:pPr>
          </w:p>
        </w:tc>
        <w:tc>
          <w:tcPr>
            <w:tcW w:w="580" w:type="dxa"/>
            <w:vAlign w:val="bottom"/>
            <w:shd w:val="clear" w:color="auto" w:fill="62259D"/>
          </w:tcPr>
          <w:p>
            <w:pPr>
              <w:spacing w:after="0"/>
              <w:rPr>
                <w:sz w:val="13"/>
                <w:szCs w:val="13"/>
                <w:color w:val="auto"/>
              </w:rPr>
            </w:pPr>
          </w:p>
        </w:tc>
        <w:tc>
          <w:tcPr>
            <w:tcW w:w="940" w:type="dxa"/>
            <w:vAlign w:val="bottom"/>
            <w:shd w:val="clear" w:color="auto" w:fill="62259D"/>
          </w:tcPr>
          <w:p>
            <w:pPr>
              <w:spacing w:after="0"/>
              <w:rPr>
                <w:sz w:val="13"/>
                <w:szCs w:val="13"/>
                <w:color w:val="auto"/>
              </w:rPr>
            </w:pPr>
          </w:p>
        </w:tc>
        <w:tc>
          <w:tcPr>
            <w:tcW w:w="220" w:type="dxa"/>
            <w:vAlign w:val="bottom"/>
            <w:shd w:val="clear" w:color="auto" w:fill="62259D"/>
          </w:tcPr>
          <w:p>
            <w:pPr>
              <w:spacing w:after="0"/>
              <w:rPr>
                <w:sz w:val="13"/>
                <w:szCs w:val="13"/>
                <w:color w:val="auto"/>
              </w:rPr>
            </w:pPr>
          </w:p>
        </w:tc>
        <w:tc>
          <w:tcPr>
            <w:tcW w:w="190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Equity Incentive Plan</w:t>
            </w:r>
          </w:p>
        </w:tc>
        <w:tc>
          <w:tcPr>
            <w:tcW w:w="160" w:type="dxa"/>
            <w:vAlign w:val="bottom"/>
            <w:shd w:val="clear" w:color="auto" w:fill="62259D"/>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62259D"/>
          </w:tcPr>
          <w:p>
            <w:pPr>
              <w:spacing w:after="0"/>
              <w:rPr>
                <w:sz w:val="14"/>
                <w:szCs w:val="14"/>
                <w:color w:val="auto"/>
              </w:rPr>
            </w:pPr>
          </w:p>
        </w:tc>
        <w:tc>
          <w:tcPr>
            <w:tcW w:w="1500" w:type="dxa"/>
            <w:vAlign w:val="bottom"/>
            <w:shd w:val="clear" w:color="auto" w:fill="62259D"/>
          </w:tcPr>
          <w:p>
            <w:pPr>
              <w:spacing w:after="0"/>
              <w:rPr>
                <w:sz w:val="14"/>
                <w:szCs w:val="14"/>
                <w:color w:val="auto"/>
              </w:rPr>
            </w:pPr>
          </w:p>
        </w:tc>
        <w:tc>
          <w:tcPr>
            <w:tcW w:w="80" w:type="dxa"/>
            <w:vAlign w:val="bottom"/>
            <w:shd w:val="clear" w:color="auto" w:fill="62259D"/>
          </w:tcPr>
          <w:p>
            <w:pPr>
              <w:spacing w:after="0"/>
              <w:rPr>
                <w:sz w:val="14"/>
                <w:szCs w:val="14"/>
                <w:color w:val="auto"/>
              </w:rPr>
            </w:pPr>
          </w:p>
        </w:tc>
        <w:tc>
          <w:tcPr>
            <w:tcW w:w="100" w:type="dxa"/>
            <w:vAlign w:val="bottom"/>
            <w:shd w:val="clear" w:color="auto" w:fill="62259D"/>
          </w:tcPr>
          <w:p>
            <w:pPr>
              <w:spacing w:after="0"/>
              <w:rPr>
                <w:sz w:val="14"/>
                <w:szCs w:val="14"/>
                <w:color w:val="auto"/>
              </w:rPr>
            </w:pPr>
          </w:p>
        </w:tc>
        <w:tc>
          <w:tcPr>
            <w:tcW w:w="1460" w:type="dxa"/>
            <w:vAlign w:val="bottom"/>
            <w:gridSpan w:val="2"/>
            <w:vMerge w:val="restart"/>
            <w:shd w:val="clear" w:color="auto" w:fill="62259D"/>
          </w:tcPr>
          <w:p>
            <w:pPr>
              <w:jc w:val="center"/>
              <w:spacing w:after="0"/>
              <w:rPr>
                <w:sz w:val="20"/>
                <w:szCs w:val="20"/>
                <w:color w:val="auto"/>
              </w:rPr>
            </w:pPr>
            <w:r>
              <w:rPr>
                <w:rFonts w:ascii="Arial" w:cs="Arial" w:eastAsia="Arial" w:hAnsi="Arial"/>
                <w:sz w:val="13"/>
                <w:szCs w:val="13"/>
                <w:b w:val="1"/>
                <w:bCs w:val="1"/>
                <w:color w:val="FEFEFE"/>
              </w:rPr>
              <w:t>No. of Shares</w:t>
            </w:r>
          </w:p>
        </w:tc>
        <w:tc>
          <w:tcPr>
            <w:tcW w:w="220" w:type="dxa"/>
            <w:vAlign w:val="bottom"/>
            <w:shd w:val="clear" w:color="auto" w:fill="62259D"/>
          </w:tcPr>
          <w:p>
            <w:pPr>
              <w:spacing w:after="0"/>
              <w:rPr>
                <w:sz w:val="14"/>
                <w:szCs w:val="14"/>
                <w:color w:val="auto"/>
              </w:rPr>
            </w:pPr>
          </w:p>
        </w:tc>
        <w:tc>
          <w:tcPr>
            <w:tcW w:w="1340" w:type="dxa"/>
            <w:vAlign w:val="bottom"/>
            <w:gridSpan w:val="2"/>
            <w:vMerge w:val="restart"/>
            <w:shd w:val="clear" w:color="auto" w:fill="62259D"/>
          </w:tcPr>
          <w:p>
            <w:pPr>
              <w:jc w:val="center"/>
              <w:ind w:left="34"/>
              <w:spacing w:after="0"/>
              <w:rPr>
                <w:sz w:val="20"/>
                <w:szCs w:val="20"/>
                <w:color w:val="auto"/>
              </w:rPr>
            </w:pPr>
            <w:r>
              <w:rPr>
                <w:rFonts w:ascii="Arial" w:cs="Arial" w:eastAsia="Arial" w:hAnsi="Arial"/>
                <w:sz w:val="13"/>
                <w:szCs w:val="13"/>
                <w:b w:val="1"/>
                <w:bCs w:val="1"/>
                <w:color w:val="FEFEFE"/>
              </w:rPr>
              <w:t>Market Value of</w:t>
            </w:r>
          </w:p>
        </w:tc>
        <w:tc>
          <w:tcPr>
            <w:tcW w:w="300" w:type="dxa"/>
            <w:vAlign w:val="bottom"/>
            <w:shd w:val="clear" w:color="auto" w:fill="62259D"/>
          </w:tcPr>
          <w:p>
            <w:pPr>
              <w:spacing w:after="0"/>
              <w:rPr>
                <w:sz w:val="14"/>
                <w:szCs w:val="14"/>
                <w:color w:val="auto"/>
              </w:rPr>
            </w:pPr>
          </w:p>
        </w:tc>
        <w:tc>
          <w:tcPr>
            <w:tcW w:w="152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Equity Incentive Plan</w:t>
            </w:r>
          </w:p>
        </w:tc>
        <w:tc>
          <w:tcPr>
            <w:tcW w:w="220" w:type="dxa"/>
            <w:vAlign w:val="bottom"/>
            <w:shd w:val="clear" w:color="auto" w:fill="62259D"/>
          </w:tcPr>
          <w:p>
            <w:pPr>
              <w:spacing w:after="0"/>
              <w:rPr>
                <w:sz w:val="14"/>
                <w:szCs w:val="14"/>
                <w:color w:val="auto"/>
              </w:rPr>
            </w:pPr>
          </w:p>
        </w:tc>
        <w:tc>
          <w:tcPr>
            <w:tcW w:w="680" w:type="dxa"/>
            <w:vAlign w:val="bottom"/>
            <w:shd w:val="clear" w:color="auto" w:fill="62259D"/>
          </w:tcPr>
          <w:p>
            <w:pPr>
              <w:spacing w:after="0"/>
              <w:rPr>
                <w:sz w:val="14"/>
                <w:szCs w:val="14"/>
                <w:color w:val="auto"/>
              </w:rPr>
            </w:pPr>
          </w:p>
        </w:tc>
        <w:tc>
          <w:tcPr>
            <w:tcW w:w="1220" w:type="dxa"/>
            <w:vAlign w:val="bottom"/>
            <w:shd w:val="clear" w:color="auto" w:fill="62259D"/>
          </w:tcPr>
          <w:p>
            <w:pPr>
              <w:jc w:val="center"/>
              <w:ind w:right="568"/>
              <w:spacing w:after="0"/>
              <w:rPr>
                <w:sz w:val="20"/>
                <w:szCs w:val="20"/>
                <w:color w:val="auto"/>
              </w:rPr>
            </w:pPr>
            <w:r>
              <w:rPr>
                <w:rFonts w:ascii="Arial" w:cs="Arial" w:eastAsia="Arial" w:hAnsi="Arial"/>
                <w:sz w:val="13"/>
                <w:szCs w:val="13"/>
                <w:b w:val="1"/>
                <w:bCs w:val="1"/>
                <w:color w:val="FEFEFE"/>
              </w:rPr>
              <w:t>Awards:</w:t>
            </w:r>
          </w:p>
        </w:tc>
        <w:tc>
          <w:tcPr>
            <w:tcW w:w="160" w:type="dxa"/>
            <w:vAlign w:val="bottom"/>
            <w:shd w:val="clear" w:color="auto" w:fill="62259D"/>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 w:type="dxa"/>
            <w:vAlign w:val="bottom"/>
            <w:shd w:val="clear" w:color="auto" w:fill="62259D"/>
          </w:tcPr>
          <w:p>
            <w:pPr>
              <w:spacing w:after="0"/>
              <w:rPr>
                <w:sz w:val="12"/>
                <w:szCs w:val="12"/>
                <w:color w:val="auto"/>
              </w:rPr>
            </w:pPr>
          </w:p>
        </w:tc>
        <w:tc>
          <w:tcPr>
            <w:tcW w:w="1500" w:type="dxa"/>
            <w:vAlign w:val="bottom"/>
            <w:shd w:val="clear" w:color="auto" w:fill="62259D"/>
          </w:tcPr>
          <w:p>
            <w:pPr>
              <w:spacing w:after="0"/>
              <w:rPr>
                <w:sz w:val="12"/>
                <w:szCs w:val="12"/>
                <w:color w:val="auto"/>
              </w:rPr>
            </w:pPr>
          </w:p>
        </w:tc>
        <w:tc>
          <w:tcPr>
            <w:tcW w:w="80" w:type="dxa"/>
            <w:vAlign w:val="bottom"/>
            <w:shd w:val="clear" w:color="auto" w:fill="62259D"/>
          </w:tcPr>
          <w:p>
            <w:pPr>
              <w:spacing w:after="0"/>
              <w:rPr>
                <w:sz w:val="12"/>
                <w:szCs w:val="12"/>
                <w:color w:val="auto"/>
              </w:rPr>
            </w:pPr>
          </w:p>
        </w:tc>
        <w:tc>
          <w:tcPr>
            <w:tcW w:w="100" w:type="dxa"/>
            <w:vAlign w:val="bottom"/>
            <w:shd w:val="clear" w:color="auto" w:fill="62259D"/>
          </w:tcPr>
          <w:p>
            <w:pPr>
              <w:spacing w:after="0"/>
              <w:rPr>
                <w:sz w:val="12"/>
                <w:szCs w:val="12"/>
                <w:color w:val="auto"/>
              </w:rPr>
            </w:pPr>
          </w:p>
        </w:tc>
        <w:tc>
          <w:tcPr>
            <w:tcW w:w="1460" w:type="dxa"/>
            <w:vAlign w:val="bottom"/>
            <w:gridSpan w:val="2"/>
            <w:vMerge w:val="continue"/>
            <w:shd w:val="clear" w:color="auto" w:fill="62259D"/>
          </w:tcPr>
          <w:p>
            <w:pPr>
              <w:spacing w:after="0"/>
              <w:rPr>
                <w:sz w:val="12"/>
                <w:szCs w:val="12"/>
                <w:color w:val="auto"/>
              </w:rPr>
            </w:pPr>
          </w:p>
        </w:tc>
        <w:tc>
          <w:tcPr>
            <w:tcW w:w="220" w:type="dxa"/>
            <w:vAlign w:val="bottom"/>
            <w:shd w:val="clear" w:color="auto" w:fill="62259D"/>
          </w:tcPr>
          <w:p>
            <w:pPr>
              <w:spacing w:after="0"/>
              <w:rPr>
                <w:sz w:val="12"/>
                <w:szCs w:val="12"/>
                <w:color w:val="auto"/>
              </w:rPr>
            </w:pPr>
          </w:p>
        </w:tc>
        <w:tc>
          <w:tcPr>
            <w:tcW w:w="1340" w:type="dxa"/>
            <w:vAlign w:val="bottom"/>
            <w:gridSpan w:val="2"/>
            <w:vMerge w:val="continue"/>
            <w:shd w:val="clear" w:color="auto" w:fill="62259D"/>
          </w:tcPr>
          <w:p>
            <w:pPr>
              <w:spacing w:after="0"/>
              <w:rPr>
                <w:sz w:val="12"/>
                <w:szCs w:val="12"/>
                <w:color w:val="auto"/>
              </w:rPr>
            </w:pPr>
          </w:p>
        </w:tc>
        <w:tc>
          <w:tcPr>
            <w:tcW w:w="300" w:type="dxa"/>
            <w:vAlign w:val="bottom"/>
            <w:shd w:val="clear" w:color="auto" w:fill="62259D"/>
          </w:tcPr>
          <w:p>
            <w:pPr>
              <w:spacing w:after="0"/>
              <w:rPr>
                <w:sz w:val="12"/>
                <w:szCs w:val="12"/>
                <w:color w:val="auto"/>
              </w:rPr>
            </w:pPr>
          </w:p>
        </w:tc>
        <w:tc>
          <w:tcPr>
            <w:tcW w:w="152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Awards: Number of</w:t>
            </w:r>
          </w:p>
        </w:tc>
        <w:tc>
          <w:tcPr>
            <w:tcW w:w="220" w:type="dxa"/>
            <w:vAlign w:val="bottom"/>
            <w:shd w:val="clear" w:color="auto" w:fill="62259D"/>
          </w:tcPr>
          <w:p>
            <w:pPr>
              <w:spacing w:after="0"/>
              <w:rPr>
                <w:sz w:val="12"/>
                <w:szCs w:val="12"/>
                <w:color w:val="auto"/>
              </w:rPr>
            </w:pPr>
          </w:p>
        </w:tc>
        <w:tc>
          <w:tcPr>
            <w:tcW w:w="190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Market or Payout Value of</w:t>
            </w:r>
          </w:p>
        </w:tc>
        <w:tc>
          <w:tcPr>
            <w:tcW w:w="160" w:type="dxa"/>
            <w:vAlign w:val="bottom"/>
            <w:shd w:val="clear" w:color="auto" w:fill="62259D"/>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62259D"/>
          </w:tcPr>
          <w:p>
            <w:pPr>
              <w:spacing w:after="0"/>
              <w:rPr>
                <w:sz w:val="14"/>
                <w:szCs w:val="14"/>
                <w:color w:val="auto"/>
              </w:rPr>
            </w:pPr>
          </w:p>
        </w:tc>
        <w:tc>
          <w:tcPr>
            <w:tcW w:w="1500" w:type="dxa"/>
            <w:vAlign w:val="bottom"/>
            <w:shd w:val="clear" w:color="auto" w:fill="62259D"/>
          </w:tcPr>
          <w:p>
            <w:pPr>
              <w:spacing w:after="0"/>
              <w:rPr>
                <w:sz w:val="14"/>
                <w:szCs w:val="14"/>
                <w:color w:val="auto"/>
              </w:rPr>
            </w:pPr>
          </w:p>
        </w:tc>
        <w:tc>
          <w:tcPr>
            <w:tcW w:w="80" w:type="dxa"/>
            <w:vAlign w:val="bottom"/>
            <w:shd w:val="clear" w:color="auto" w:fill="62259D"/>
          </w:tcPr>
          <w:p>
            <w:pPr>
              <w:spacing w:after="0"/>
              <w:rPr>
                <w:sz w:val="14"/>
                <w:szCs w:val="14"/>
                <w:color w:val="auto"/>
              </w:rPr>
            </w:pPr>
          </w:p>
        </w:tc>
        <w:tc>
          <w:tcPr>
            <w:tcW w:w="100" w:type="dxa"/>
            <w:vAlign w:val="bottom"/>
            <w:shd w:val="clear" w:color="auto" w:fill="62259D"/>
          </w:tcPr>
          <w:p>
            <w:pPr>
              <w:spacing w:after="0"/>
              <w:rPr>
                <w:sz w:val="14"/>
                <w:szCs w:val="14"/>
                <w:color w:val="auto"/>
              </w:rPr>
            </w:pPr>
          </w:p>
        </w:tc>
        <w:tc>
          <w:tcPr>
            <w:tcW w:w="146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of Stock Awards that</w:t>
            </w:r>
          </w:p>
        </w:tc>
        <w:tc>
          <w:tcPr>
            <w:tcW w:w="220" w:type="dxa"/>
            <w:vAlign w:val="bottom"/>
            <w:shd w:val="clear" w:color="auto" w:fill="62259D"/>
          </w:tcPr>
          <w:p>
            <w:pPr>
              <w:spacing w:after="0"/>
              <w:rPr>
                <w:sz w:val="14"/>
                <w:szCs w:val="14"/>
                <w:color w:val="auto"/>
              </w:rPr>
            </w:pPr>
          </w:p>
        </w:tc>
        <w:tc>
          <w:tcPr>
            <w:tcW w:w="1640" w:type="dxa"/>
            <w:vAlign w:val="bottom"/>
            <w:gridSpan w:val="3"/>
            <w:shd w:val="clear" w:color="auto" w:fill="62259D"/>
          </w:tcPr>
          <w:p>
            <w:pPr>
              <w:jc w:val="center"/>
              <w:ind w:right="128"/>
              <w:spacing w:after="0"/>
              <w:rPr>
                <w:sz w:val="20"/>
                <w:szCs w:val="20"/>
                <w:color w:val="auto"/>
              </w:rPr>
            </w:pPr>
            <w:r>
              <w:rPr>
                <w:rFonts w:ascii="Arial" w:cs="Arial" w:eastAsia="Arial" w:hAnsi="Arial"/>
                <w:sz w:val="13"/>
                <w:szCs w:val="13"/>
                <w:b w:val="1"/>
                <w:bCs w:val="1"/>
                <w:color w:val="FEFEFE"/>
              </w:rPr>
              <w:t>Shares of Stock that</w:t>
            </w:r>
          </w:p>
        </w:tc>
        <w:tc>
          <w:tcPr>
            <w:tcW w:w="1740" w:type="dxa"/>
            <w:vAlign w:val="bottom"/>
            <w:gridSpan w:val="3"/>
            <w:shd w:val="clear" w:color="auto" w:fill="62259D"/>
          </w:tcPr>
          <w:p>
            <w:pPr>
              <w:jc w:val="center"/>
              <w:ind w:right="128"/>
              <w:spacing w:after="0"/>
              <w:rPr>
                <w:sz w:val="20"/>
                <w:szCs w:val="20"/>
                <w:color w:val="auto"/>
              </w:rPr>
            </w:pPr>
            <w:r>
              <w:rPr>
                <w:rFonts w:ascii="Arial" w:cs="Arial" w:eastAsia="Arial" w:hAnsi="Arial"/>
                <w:sz w:val="13"/>
                <w:szCs w:val="13"/>
                <w:b w:val="1"/>
                <w:bCs w:val="1"/>
                <w:color w:val="FEFEFE"/>
              </w:rPr>
              <w:t>Unearned Shares that</w:t>
            </w:r>
          </w:p>
        </w:tc>
        <w:tc>
          <w:tcPr>
            <w:tcW w:w="2060" w:type="dxa"/>
            <w:vAlign w:val="bottom"/>
            <w:gridSpan w:val="3"/>
            <w:shd w:val="clear" w:color="auto" w:fill="62259D"/>
          </w:tcPr>
          <w:p>
            <w:pPr>
              <w:jc w:val="center"/>
              <w:ind w:right="68"/>
              <w:spacing w:after="0"/>
              <w:rPr>
                <w:sz w:val="20"/>
                <w:szCs w:val="20"/>
                <w:color w:val="auto"/>
              </w:rPr>
            </w:pPr>
            <w:r>
              <w:rPr>
                <w:rFonts w:ascii="Arial" w:cs="Arial" w:eastAsia="Arial" w:hAnsi="Arial"/>
                <w:sz w:val="13"/>
                <w:szCs w:val="13"/>
                <w:b w:val="1"/>
                <w:bCs w:val="1"/>
                <w:color w:val="FEFEFE"/>
              </w:rPr>
              <w:t>Unearned Shares that Have</w:t>
            </w:r>
          </w:p>
        </w:tc>
        <w:tc>
          <w:tcPr>
            <w:tcW w:w="0" w:type="dxa"/>
            <w:vAlign w:val="bottom"/>
          </w:tcPr>
          <w:p>
            <w:pPr>
              <w:spacing w:after="0"/>
              <w:rPr>
                <w:sz w:val="1"/>
                <w:szCs w:val="1"/>
                <w:color w:val="auto"/>
              </w:rPr>
            </w:pPr>
          </w:p>
        </w:tc>
      </w:tr>
      <w:tr>
        <w:trPr>
          <w:trHeight w:val="148"/>
        </w:trPr>
        <w:tc>
          <w:tcPr>
            <w:tcW w:w="60" w:type="dxa"/>
            <w:vAlign w:val="bottom"/>
            <w:shd w:val="clear" w:color="auto" w:fill="62259D"/>
          </w:tcPr>
          <w:p>
            <w:pPr>
              <w:spacing w:after="0"/>
              <w:rPr>
                <w:sz w:val="12"/>
                <w:szCs w:val="12"/>
                <w:color w:val="auto"/>
              </w:rPr>
            </w:pPr>
          </w:p>
        </w:tc>
        <w:tc>
          <w:tcPr>
            <w:tcW w:w="1500" w:type="dxa"/>
            <w:vAlign w:val="bottom"/>
            <w:shd w:val="clear" w:color="auto" w:fill="62259D"/>
          </w:tcPr>
          <w:p>
            <w:pPr>
              <w:spacing w:after="0"/>
              <w:rPr>
                <w:sz w:val="12"/>
                <w:szCs w:val="12"/>
                <w:color w:val="auto"/>
              </w:rPr>
            </w:pPr>
          </w:p>
        </w:tc>
        <w:tc>
          <w:tcPr>
            <w:tcW w:w="80" w:type="dxa"/>
            <w:vAlign w:val="bottom"/>
            <w:shd w:val="clear" w:color="auto" w:fill="62259D"/>
          </w:tcPr>
          <w:p>
            <w:pPr>
              <w:spacing w:after="0"/>
              <w:rPr>
                <w:sz w:val="12"/>
                <w:szCs w:val="12"/>
                <w:color w:val="auto"/>
              </w:rPr>
            </w:pPr>
          </w:p>
        </w:tc>
        <w:tc>
          <w:tcPr>
            <w:tcW w:w="100" w:type="dxa"/>
            <w:vAlign w:val="bottom"/>
            <w:shd w:val="clear" w:color="auto" w:fill="62259D"/>
          </w:tcPr>
          <w:p>
            <w:pPr>
              <w:spacing w:after="0"/>
              <w:rPr>
                <w:sz w:val="12"/>
                <w:szCs w:val="12"/>
                <w:color w:val="auto"/>
              </w:rPr>
            </w:pPr>
          </w:p>
        </w:tc>
        <w:tc>
          <w:tcPr>
            <w:tcW w:w="146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Have Not Vested</w:t>
            </w:r>
          </w:p>
        </w:tc>
        <w:tc>
          <w:tcPr>
            <w:tcW w:w="220" w:type="dxa"/>
            <w:vAlign w:val="bottom"/>
            <w:shd w:val="clear" w:color="auto" w:fill="62259D"/>
          </w:tcPr>
          <w:p>
            <w:pPr>
              <w:spacing w:after="0"/>
              <w:rPr>
                <w:sz w:val="12"/>
                <w:szCs w:val="12"/>
                <w:color w:val="auto"/>
              </w:rPr>
            </w:pPr>
          </w:p>
        </w:tc>
        <w:tc>
          <w:tcPr>
            <w:tcW w:w="1340" w:type="dxa"/>
            <w:vAlign w:val="bottom"/>
            <w:gridSpan w:val="2"/>
            <w:shd w:val="clear" w:color="auto" w:fill="62259D"/>
          </w:tcPr>
          <w:p>
            <w:pPr>
              <w:jc w:val="center"/>
              <w:ind w:left="34"/>
              <w:spacing w:after="0" w:line="148" w:lineRule="exact"/>
              <w:rPr>
                <w:sz w:val="20"/>
                <w:szCs w:val="20"/>
                <w:color w:val="auto"/>
              </w:rPr>
            </w:pPr>
            <w:r>
              <w:rPr>
                <w:rFonts w:ascii="Arial" w:cs="Arial" w:eastAsia="Arial" w:hAnsi="Arial"/>
                <w:sz w:val="13"/>
                <w:szCs w:val="13"/>
                <w:b w:val="1"/>
                <w:bCs w:val="1"/>
                <w:color w:val="FEFEFE"/>
              </w:rPr>
              <w:t>Have Not Vested</w:t>
            </w:r>
            <w:r>
              <w:rPr>
                <w:rFonts w:ascii="Arial" w:cs="Arial" w:eastAsia="Arial" w:hAnsi="Arial"/>
                <w:sz w:val="16"/>
                <w:szCs w:val="16"/>
                <w:b w:val="1"/>
                <w:bCs w:val="1"/>
                <w:color w:val="FEFEFE"/>
                <w:vertAlign w:val="superscript"/>
              </w:rPr>
              <w:t>(1)</w:t>
            </w:r>
          </w:p>
        </w:tc>
        <w:tc>
          <w:tcPr>
            <w:tcW w:w="300" w:type="dxa"/>
            <w:vAlign w:val="bottom"/>
            <w:shd w:val="clear" w:color="auto" w:fill="62259D"/>
          </w:tcPr>
          <w:p>
            <w:pPr>
              <w:spacing w:after="0"/>
              <w:rPr>
                <w:sz w:val="12"/>
                <w:szCs w:val="12"/>
                <w:color w:val="auto"/>
              </w:rPr>
            </w:pPr>
          </w:p>
        </w:tc>
        <w:tc>
          <w:tcPr>
            <w:tcW w:w="152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Have Not Vested</w:t>
            </w:r>
          </w:p>
        </w:tc>
        <w:tc>
          <w:tcPr>
            <w:tcW w:w="220" w:type="dxa"/>
            <w:vAlign w:val="bottom"/>
            <w:shd w:val="clear" w:color="auto" w:fill="62259D"/>
          </w:tcPr>
          <w:p>
            <w:pPr>
              <w:spacing w:after="0"/>
              <w:rPr>
                <w:sz w:val="12"/>
                <w:szCs w:val="12"/>
                <w:color w:val="auto"/>
              </w:rPr>
            </w:pPr>
          </w:p>
        </w:tc>
        <w:tc>
          <w:tcPr>
            <w:tcW w:w="1900" w:type="dxa"/>
            <w:vAlign w:val="bottom"/>
            <w:gridSpan w:val="2"/>
            <w:shd w:val="clear" w:color="auto" w:fill="62259D"/>
          </w:tcPr>
          <w:p>
            <w:pPr>
              <w:jc w:val="center"/>
              <w:spacing w:after="0" w:line="148" w:lineRule="exact"/>
              <w:rPr>
                <w:sz w:val="20"/>
                <w:szCs w:val="20"/>
                <w:color w:val="auto"/>
              </w:rPr>
            </w:pPr>
            <w:r>
              <w:rPr>
                <w:rFonts w:ascii="Arial" w:cs="Arial" w:eastAsia="Arial" w:hAnsi="Arial"/>
                <w:sz w:val="13"/>
                <w:szCs w:val="13"/>
                <w:b w:val="1"/>
                <w:bCs w:val="1"/>
                <w:color w:val="FEFEFE"/>
              </w:rPr>
              <w:t>Not Vested</w:t>
            </w:r>
            <w:r>
              <w:rPr>
                <w:rFonts w:ascii="Arial" w:cs="Arial" w:eastAsia="Arial" w:hAnsi="Arial"/>
                <w:sz w:val="16"/>
                <w:szCs w:val="16"/>
                <w:b w:val="1"/>
                <w:bCs w:val="1"/>
                <w:color w:val="FEFEFE"/>
                <w:vertAlign w:val="superscript"/>
              </w:rPr>
              <w:t>(1)</w:t>
            </w:r>
          </w:p>
        </w:tc>
        <w:tc>
          <w:tcPr>
            <w:tcW w:w="160" w:type="dxa"/>
            <w:vAlign w:val="bottom"/>
            <w:shd w:val="clear" w:color="auto" w:fill="62259D"/>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0" w:type="dxa"/>
            <w:vAlign w:val="bottom"/>
            <w:shd w:val="clear" w:color="auto" w:fill="62259D"/>
          </w:tcPr>
          <w:p>
            <w:pPr>
              <w:spacing w:after="0"/>
              <w:rPr>
                <w:sz w:val="15"/>
                <w:szCs w:val="15"/>
                <w:color w:val="auto"/>
              </w:rPr>
            </w:pPr>
          </w:p>
        </w:tc>
        <w:tc>
          <w:tcPr>
            <w:tcW w:w="1500" w:type="dxa"/>
            <w:vAlign w:val="bottom"/>
            <w:shd w:val="clear" w:color="auto" w:fill="62259D"/>
          </w:tcPr>
          <w:p>
            <w:pPr>
              <w:spacing w:after="0"/>
              <w:rPr>
                <w:sz w:val="20"/>
                <w:szCs w:val="20"/>
                <w:color w:val="auto"/>
              </w:rPr>
            </w:pPr>
            <w:r>
              <w:rPr>
                <w:rFonts w:ascii="Arial" w:cs="Arial" w:eastAsia="Arial" w:hAnsi="Arial"/>
                <w:sz w:val="13"/>
                <w:szCs w:val="13"/>
                <w:b w:val="1"/>
                <w:bCs w:val="1"/>
                <w:color w:val="FEFEFE"/>
              </w:rPr>
              <w:t>​Name</w:t>
            </w:r>
          </w:p>
        </w:tc>
        <w:tc>
          <w:tcPr>
            <w:tcW w:w="180" w:type="dxa"/>
            <w:vAlign w:val="bottom"/>
            <w:gridSpan w:val="2"/>
            <w:shd w:val="clear" w:color="auto" w:fill="62259D"/>
          </w:tcPr>
          <w:p>
            <w:pPr>
              <w:jc w:val="right"/>
              <w:spacing w:after="0"/>
              <w:rPr>
                <w:sz w:val="20"/>
                <w:szCs w:val="20"/>
                <w:color w:val="auto"/>
              </w:rPr>
            </w:pPr>
            <w:r>
              <w:rPr>
                <w:rFonts w:ascii="Arial" w:cs="Arial" w:eastAsia="Arial" w:hAnsi="Arial"/>
                <w:sz w:val="13"/>
                <w:szCs w:val="13"/>
                <w:b w:val="1"/>
                <w:bCs w:val="1"/>
                <w:color w:val="FEFEFE"/>
              </w:rPr>
              <w:t>​ ​</w:t>
            </w:r>
          </w:p>
        </w:tc>
        <w:tc>
          <w:tcPr>
            <w:tcW w:w="540" w:type="dxa"/>
            <w:vAlign w:val="bottom"/>
            <w:shd w:val="clear" w:color="auto" w:fill="62259D"/>
          </w:tcPr>
          <w:p>
            <w:pPr>
              <w:spacing w:after="0"/>
              <w:rPr>
                <w:sz w:val="15"/>
                <w:szCs w:val="15"/>
                <w:color w:val="auto"/>
              </w:rPr>
            </w:pPr>
          </w:p>
        </w:tc>
        <w:tc>
          <w:tcPr>
            <w:tcW w:w="920" w:type="dxa"/>
            <w:vAlign w:val="bottom"/>
            <w:shd w:val="clear" w:color="auto" w:fill="62259D"/>
          </w:tcPr>
          <w:p>
            <w:pPr>
              <w:jc w:val="right"/>
              <w:ind w:right="548"/>
              <w:spacing w:after="0"/>
              <w:rPr>
                <w:sz w:val="20"/>
                <w:szCs w:val="20"/>
                <w:color w:val="auto"/>
              </w:rPr>
            </w:pPr>
            <w:r>
              <w:rPr>
                <w:rFonts w:ascii="Arial" w:cs="Arial" w:eastAsia="Arial" w:hAnsi="Arial"/>
                <w:sz w:val="13"/>
                <w:szCs w:val="13"/>
                <w:b w:val="1"/>
                <w:bCs w:val="1"/>
                <w:color w:val="FEFEFE"/>
              </w:rPr>
              <w:t>(#)</w:t>
            </w:r>
          </w:p>
        </w:tc>
        <w:tc>
          <w:tcPr>
            <w:tcW w:w="220" w:type="dxa"/>
            <w:vAlign w:val="bottom"/>
            <w:shd w:val="clear" w:color="auto" w:fill="62259D"/>
          </w:tcPr>
          <w:p>
            <w:pPr>
              <w:ind w:left="100"/>
              <w:spacing w:after="0"/>
              <w:rPr>
                <w:sz w:val="20"/>
                <w:szCs w:val="20"/>
                <w:color w:val="auto"/>
              </w:rPr>
            </w:pPr>
            <w:r>
              <w:rPr>
                <w:rFonts w:ascii="Arial" w:cs="Arial" w:eastAsia="Arial" w:hAnsi="Arial"/>
                <w:sz w:val="13"/>
                <w:szCs w:val="13"/>
                <w:b w:val="1"/>
                <w:bCs w:val="1"/>
                <w:color w:val="FEFEFE"/>
              </w:rPr>
              <w:t>​ ​</w:t>
            </w:r>
          </w:p>
        </w:tc>
        <w:tc>
          <w:tcPr>
            <w:tcW w:w="520" w:type="dxa"/>
            <w:vAlign w:val="bottom"/>
            <w:shd w:val="clear" w:color="auto" w:fill="62259D"/>
          </w:tcPr>
          <w:p>
            <w:pPr>
              <w:spacing w:after="0"/>
              <w:rPr>
                <w:sz w:val="15"/>
                <w:szCs w:val="15"/>
                <w:color w:val="auto"/>
              </w:rPr>
            </w:pPr>
          </w:p>
        </w:tc>
        <w:tc>
          <w:tcPr>
            <w:tcW w:w="820" w:type="dxa"/>
            <w:vAlign w:val="bottom"/>
            <w:shd w:val="clear" w:color="auto" w:fill="62259D"/>
          </w:tcPr>
          <w:p>
            <w:pPr>
              <w:ind w:left="120"/>
              <w:spacing w:after="0"/>
              <w:rPr>
                <w:sz w:val="20"/>
                <w:szCs w:val="20"/>
                <w:color w:val="auto"/>
              </w:rPr>
            </w:pPr>
            <w:r>
              <w:rPr>
                <w:rFonts w:ascii="Arial" w:cs="Arial" w:eastAsia="Arial" w:hAnsi="Arial"/>
                <w:sz w:val="13"/>
                <w:szCs w:val="13"/>
                <w:b w:val="1"/>
                <w:bCs w:val="1"/>
                <w:color w:val="FEFEFE"/>
              </w:rPr>
              <w:t>($)</w:t>
            </w:r>
          </w:p>
        </w:tc>
        <w:tc>
          <w:tcPr>
            <w:tcW w:w="300" w:type="dxa"/>
            <w:vAlign w:val="bottom"/>
            <w:shd w:val="clear" w:color="auto" w:fill="62259D"/>
          </w:tcPr>
          <w:p>
            <w:pPr>
              <w:ind w:left="180"/>
              <w:spacing w:after="0"/>
              <w:rPr>
                <w:sz w:val="20"/>
                <w:szCs w:val="20"/>
                <w:color w:val="auto"/>
              </w:rPr>
            </w:pPr>
            <w:r>
              <w:rPr>
                <w:rFonts w:ascii="Arial" w:cs="Arial" w:eastAsia="Arial" w:hAnsi="Arial"/>
                <w:sz w:val="13"/>
                <w:szCs w:val="13"/>
                <w:b w:val="1"/>
                <w:bCs w:val="1"/>
                <w:color w:val="FEFEFE"/>
              </w:rPr>
              <w:t>​ ​</w:t>
            </w:r>
          </w:p>
        </w:tc>
        <w:tc>
          <w:tcPr>
            <w:tcW w:w="580" w:type="dxa"/>
            <w:vAlign w:val="bottom"/>
            <w:shd w:val="clear" w:color="auto" w:fill="62259D"/>
          </w:tcPr>
          <w:p>
            <w:pPr>
              <w:spacing w:after="0"/>
              <w:rPr>
                <w:sz w:val="15"/>
                <w:szCs w:val="15"/>
                <w:color w:val="auto"/>
              </w:rPr>
            </w:pPr>
          </w:p>
        </w:tc>
        <w:tc>
          <w:tcPr>
            <w:tcW w:w="940" w:type="dxa"/>
            <w:vAlign w:val="bottom"/>
            <w:shd w:val="clear" w:color="auto" w:fill="62259D"/>
          </w:tcPr>
          <w:p>
            <w:pPr>
              <w:jc w:val="right"/>
              <w:ind w:right="568"/>
              <w:spacing w:after="0"/>
              <w:rPr>
                <w:sz w:val="20"/>
                <w:szCs w:val="20"/>
                <w:color w:val="auto"/>
              </w:rPr>
            </w:pPr>
            <w:r>
              <w:rPr>
                <w:rFonts w:ascii="Arial" w:cs="Arial" w:eastAsia="Arial" w:hAnsi="Arial"/>
                <w:sz w:val="13"/>
                <w:szCs w:val="13"/>
                <w:b w:val="1"/>
                <w:bCs w:val="1"/>
                <w:color w:val="FEFEFE"/>
              </w:rPr>
              <w:t>(#)</w:t>
            </w:r>
          </w:p>
        </w:tc>
        <w:tc>
          <w:tcPr>
            <w:tcW w:w="220" w:type="dxa"/>
            <w:vAlign w:val="bottom"/>
            <w:shd w:val="clear" w:color="auto" w:fill="62259D"/>
          </w:tcPr>
          <w:p>
            <w:pPr>
              <w:ind w:left="100"/>
              <w:spacing w:after="0"/>
              <w:rPr>
                <w:sz w:val="20"/>
                <w:szCs w:val="20"/>
                <w:color w:val="auto"/>
              </w:rPr>
            </w:pPr>
            <w:r>
              <w:rPr>
                <w:rFonts w:ascii="Arial" w:cs="Arial" w:eastAsia="Arial" w:hAnsi="Arial"/>
                <w:sz w:val="13"/>
                <w:szCs w:val="13"/>
                <w:b w:val="1"/>
                <w:bCs w:val="1"/>
                <w:color w:val="FEFEFE"/>
              </w:rPr>
              <w:t>​ ​</w:t>
            </w:r>
          </w:p>
        </w:tc>
        <w:tc>
          <w:tcPr>
            <w:tcW w:w="680" w:type="dxa"/>
            <w:vAlign w:val="bottom"/>
            <w:shd w:val="clear" w:color="auto" w:fill="62259D"/>
          </w:tcPr>
          <w:p>
            <w:pPr>
              <w:spacing w:after="0"/>
              <w:rPr>
                <w:sz w:val="15"/>
                <w:szCs w:val="15"/>
                <w:color w:val="auto"/>
              </w:rPr>
            </w:pPr>
          </w:p>
        </w:tc>
        <w:tc>
          <w:tcPr>
            <w:tcW w:w="1220" w:type="dxa"/>
            <w:vAlign w:val="bottom"/>
            <w:shd w:val="clear" w:color="auto" w:fill="62259D"/>
          </w:tcPr>
          <w:p>
            <w:pPr>
              <w:jc w:val="right"/>
              <w:ind w:right="748"/>
              <w:spacing w:after="0"/>
              <w:rPr>
                <w:sz w:val="20"/>
                <w:szCs w:val="20"/>
                <w:color w:val="auto"/>
              </w:rPr>
            </w:pPr>
            <w:r>
              <w:rPr>
                <w:rFonts w:ascii="Arial" w:cs="Arial" w:eastAsia="Arial" w:hAnsi="Arial"/>
                <w:sz w:val="13"/>
                <w:szCs w:val="13"/>
                <w:b w:val="1"/>
                <w:bCs w:val="1"/>
                <w:color w:val="FEFEFE"/>
              </w:rPr>
              <w:t>($)</w:t>
            </w:r>
          </w:p>
        </w:tc>
        <w:tc>
          <w:tcPr>
            <w:tcW w:w="160" w:type="dxa"/>
            <w:vAlign w:val="bottom"/>
            <w:shd w:val="clear" w:color="auto" w:fill="62259D"/>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20"/>
                <w:szCs w:val="20"/>
                <w:color w:val="auto"/>
              </w:rPr>
            </w:pPr>
            <w:r>
              <w:rPr>
                <w:rFonts w:ascii="Arial" w:cs="Arial" w:eastAsia="Arial" w:hAnsi="Arial"/>
                <w:sz w:val="14"/>
                <w:szCs w:val="14"/>
                <w:color w:val="auto"/>
              </w:rPr>
              <w:t>​</w:t>
            </w:r>
          </w:p>
        </w:tc>
        <w:tc>
          <w:tcPr>
            <w:tcW w:w="1500" w:type="dxa"/>
            <w:vAlign w:val="bottom"/>
          </w:tcPr>
          <w:p>
            <w:pPr>
              <w:ind w:left="20"/>
              <w:spacing w:after="0"/>
              <w:rPr>
                <w:sz w:val="20"/>
                <w:szCs w:val="20"/>
                <w:color w:val="auto"/>
              </w:rPr>
            </w:pPr>
            <w:r>
              <w:rPr>
                <w:rFonts w:ascii="Arial" w:cs="Arial" w:eastAsia="Arial" w:hAnsi="Arial"/>
                <w:sz w:val="14"/>
                <w:szCs w:val="14"/>
                <w:color w:val="auto"/>
              </w:rPr>
              <w:t>Bruce McClelland</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460" w:type="dxa"/>
            <w:vAlign w:val="bottom"/>
            <w:gridSpan w:val="2"/>
          </w:tcPr>
          <w:p>
            <w:pPr>
              <w:ind w:left="420"/>
              <w:spacing w:after="0" w:line="216"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​103,261</w:t>
            </w:r>
            <w:r>
              <w:rPr>
                <w:rFonts w:ascii="Arial" w:cs="Arial" w:eastAsia="Arial" w:hAnsi="Arial"/>
                <w:sz w:val="16"/>
                <w:szCs w:val="16"/>
                <w:color w:val="auto"/>
                <w:vertAlign w:val="superscript"/>
              </w:rPr>
              <w:t>(2)</w:t>
            </w:r>
          </w:p>
        </w:tc>
        <w:tc>
          <w:tcPr>
            <w:tcW w:w="220" w:type="dxa"/>
            <w:vAlign w:val="bottom"/>
          </w:tcPr>
          <w:p>
            <w:pPr>
              <w:spacing w:after="0"/>
              <w:rPr>
                <w:sz w:val="20"/>
                <w:szCs w:val="20"/>
                <w:color w:val="auto"/>
              </w:rPr>
            </w:pPr>
            <w:r>
              <w:rPr>
                <w:rFonts w:ascii="Arial" w:cs="Arial" w:eastAsia="Arial" w:hAnsi="Arial"/>
                <w:sz w:val="14"/>
                <w:szCs w:val="14"/>
                <w:color w:val="auto"/>
              </w:rPr>
              <w:t>​​ ​</w:t>
            </w:r>
          </w:p>
        </w:tc>
        <w:tc>
          <w:tcPr>
            <w:tcW w:w="1340" w:type="dxa"/>
            <w:vAlign w:val="bottom"/>
            <w:gridSpan w:val="2"/>
          </w:tcPr>
          <w:p>
            <w:pPr>
              <w:ind w:left="400"/>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​429,566</w:t>
            </w:r>
          </w:p>
        </w:tc>
        <w:tc>
          <w:tcPr>
            <w:tcW w:w="300" w:type="dxa"/>
            <w:vAlign w:val="bottom"/>
          </w:tcPr>
          <w:p>
            <w:pPr>
              <w:ind w:left="80"/>
              <w:spacing w:after="0"/>
              <w:rPr>
                <w:sz w:val="20"/>
                <w:szCs w:val="20"/>
                <w:color w:val="auto"/>
              </w:rPr>
            </w:pPr>
            <w:r>
              <w:rPr>
                <w:rFonts w:ascii="Arial" w:cs="Arial" w:eastAsia="Arial" w:hAnsi="Arial"/>
                <w:sz w:val="14"/>
                <w:szCs w:val="14"/>
                <w:color w:val="auto"/>
              </w:rPr>
              <w:t>​ ​ ​</w:t>
            </w:r>
          </w:p>
        </w:tc>
        <w:tc>
          <w:tcPr>
            <w:tcW w:w="580" w:type="dxa"/>
            <w:vAlign w:val="bottom"/>
          </w:tcPr>
          <w:p>
            <w:pPr>
              <w:ind w:left="4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 ​</w:t>
            </w:r>
          </w:p>
        </w:tc>
        <w:tc>
          <w:tcPr>
            <w:tcW w:w="680" w:type="dxa"/>
            <w:vAlign w:val="bottom"/>
          </w:tcPr>
          <w:p>
            <w:pPr>
              <w:ind w:left="60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4C4C4C"/>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4C4C4C"/>
              <w:bottom w:val="single" w:sz="8" w:color="4C4C4C"/>
            </w:tcBorders>
            <w:gridSpan w:val="2"/>
          </w:tcPr>
          <w:p>
            <w:pPr>
              <w:ind w:left="4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​237,341</w:t>
            </w:r>
            <w:r>
              <w:rPr>
                <w:rFonts w:ascii="Arial" w:cs="Arial" w:eastAsia="Arial" w:hAnsi="Arial"/>
                <w:sz w:val="14"/>
                <w:szCs w:val="14"/>
                <w:color w:val="auto"/>
                <w:vertAlign w:val="superscript"/>
              </w:rPr>
              <w:t>(2)</w:t>
            </w:r>
          </w:p>
        </w:tc>
        <w:tc>
          <w:tcPr>
            <w:tcW w:w="22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 ​</w:t>
            </w:r>
          </w:p>
        </w:tc>
        <w:tc>
          <w:tcPr>
            <w:tcW w:w="1340" w:type="dxa"/>
            <w:vAlign w:val="bottom"/>
            <w:tcBorders>
              <w:top w:val="single" w:sz="8" w:color="4C4C4C"/>
              <w:bottom w:val="single" w:sz="8" w:color="4C4C4C"/>
            </w:tcBorders>
            <w:gridSpan w:val="2"/>
          </w:tcPr>
          <w:p>
            <w:pPr>
              <w:ind w:left="4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​987,339</w:t>
            </w:r>
          </w:p>
        </w:tc>
        <w:tc>
          <w:tcPr>
            <w:tcW w:w="300" w:type="dxa"/>
            <w:vAlign w:val="bottom"/>
            <w:tcBorders>
              <w:top w:val="single" w:sz="8" w:color="4C4C4C"/>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top w:val="single" w:sz="8" w:color="4C4C4C"/>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4C4C4C"/>
              <w:bottom w:val="single" w:sz="8" w:color="4C4C4C"/>
            </w:tcBorders>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top w:val="single" w:sz="8" w:color="4C4C4C"/>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4C4C4C"/>
              <w:bottom w:val="single" w:sz="8" w:color="4C4C4C"/>
            </w:tcBorders>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4C4C4C"/>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20" w:type="dxa"/>
            <w:vAlign w:val="bottom"/>
            <w:tcBorders>
              <w:bottom w:val="single" w:sz="8" w:color="4C4C4C"/>
            </w:tcBorders>
          </w:tcPr>
          <w:p>
            <w:pPr>
              <w:jc w:val="right"/>
              <w:ind w:right="248"/>
              <w:spacing w:after="0" w:line="183" w:lineRule="exact"/>
              <w:rPr>
                <w:sz w:val="20"/>
                <w:szCs w:val="20"/>
                <w:color w:val="auto"/>
              </w:rPr>
            </w:pPr>
            <w:r>
              <w:rPr>
                <w:rFonts w:ascii="Arial" w:cs="Arial" w:eastAsia="Arial" w:hAnsi="Arial"/>
                <w:sz w:val="14"/>
                <w:szCs w:val="14"/>
                <w:color w:val="auto"/>
              </w:rPr>
              <w:t>42,132</w:t>
            </w:r>
            <w:r>
              <w:rPr>
                <w:rFonts w:ascii="Arial" w:cs="Arial" w:eastAsia="Arial" w:hAnsi="Arial"/>
                <w:sz w:val="17"/>
                <w:szCs w:val="17"/>
                <w:color w:val="auto"/>
                <w:vertAlign w:val="superscript"/>
              </w:rPr>
              <w:t>(3)</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1340" w:type="dxa"/>
            <w:vAlign w:val="bottom"/>
            <w:tcBorders>
              <w:bottom w:val="single" w:sz="8" w:color="4C4C4C"/>
            </w:tcBorders>
            <w:gridSpan w:val="2"/>
          </w:tcPr>
          <w:p>
            <w:pPr>
              <w:ind w:left="4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​175,269</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C4C4C"/>
            </w:tcBorders>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4C4C4C"/>
            </w:tcBorders>
            <w:gridSpan w:val="2"/>
          </w:tcPr>
          <w:p>
            <w:pPr>
              <w:ind w:left="4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​114,637</w:t>
            </w:r>
            <w:r>
              <w:rPr>
                <w:rFonts w:ascii="Arial" w:cs="Arial" w:eastAsia="Arial" w:hAnsi="Arial"/>
                <w:sz w:val="14"/>
                <w:szCs w:val="14"/>
                <w:color w:val="auto"/>
                <w:vertAlign w:val="superscript"/>
              </w:rPr>
              <w:t>(3)</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1340" w:type="dxa"/>
            <w:vAlign w:val="bottom"/>
            <w:tcBorders>
              <w:bottom w:val="single" w:sz="8" w:color="4C4C4C"/>
            </w:tcBorders>
            <w:gridSpan w:val="2"/>
          </w:tcPr>
          <w:p>
            <w:pPr>
              <w:ind w:left="4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​476,890</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C4C4C"/>
            </w:tcBorders>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4C4C4C"/>
            </w:tcBorders>
          </w:tcPr>
          <w:p>
            <w:pPr>
              <w:jc w:val="right"/>
              <w:ind w:right="3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4C4C4C"/>
            </w:tcBorders>
          </w:tcPr>
          <w:p>
            <w:pPr>
              <w:ind w:left="4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40" w:type="dxa"/>
            <w:vAlign w:val="bottom"/>
            <w:tcBorders>
              <w:bottom w:val="single" w:sz="8" w:color="4C4C4C"/>
            </w:tcBorders>
          </w:tcPr>
          <w:p>
            <w:pPr>
              <w:jc w:val="right"/>
              <w:ind w:right="268"/>
              <w:spacing w:after="0" w:line="183" w:lineRule="exact"/>
              <w:rPr>
                <w:sz w:val="20"/>
                <w:szCs w:val="20"/>
                <w:color w:val="auto"/>
              </w:rPr>
            </w:pPr>
            <w:r>
              <w:rPr>
                <w:rFonts w:ascii="Arial" w:cs="Arial" w:eastAsia="Arial" w:hAnsi="Arial"/>
                <w:sz w:val="14"/>
                <w:szCs w:val="14"/>
                <w:color w:val="auto"/>
              </w:rPr>
              <w:t>41,305</w:t>
            </w:r>
            <w:r>
              <w:rPr>
                <w:rFonts w:ascii="Arial" w:cs="Arial" w:eastAsia="Arial" w:hAnsi="Arial"/>
                <w:sz w:val="17"/>
                <w:szCs w:val="17"/>
                <w:color w:val="auto"/>
                <w:vertAlign w:val="superscript"/>
              </w:rPr>
              <w:t>(3)</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1220" w:type="dxa"/>
            <w:vAlign w:val="bottom"/>
            <w:tcBorders>
              <w:bottom w:val="single" w:sz="8" w:color="4C4C4C"/>
            </w:tcBorders>
          </w:tcPr>
          <w:p>
            <w:pPr>
              <w:jc w:val="right"/>
              <w:ind w:right="488"/>
              <w:spacing w:after="0"/>
              <w:rPr>
                <w:sz w:val="20"/>
                <w:szCs w:val="20"/>
                <w:color w:val="auto"/>
              </w:rPr>
            </w:pPr>
            <w:r>
              <w:rPr>
                <w:rFonts w:ascii="Arial" w:cs="Arial" w:eastAsia="Arial" w:hAnsi="Arial"/>
                <w:sz w:val="14"/>
                <w:szCs w:val="14"/>
                <w:color w:val="auto"/>
              </w:rPr>
              <w:t>171,829</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4C4C4C"/>
            </w:tcBorders>
          </w:tcPr>
          <w:p>
            <w:pPr>
              <w:jc w:val="right"/>
              <w:ind w:right="3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4C4C4C"/>
            </w:tcBorders>
          </w:tcPr>
          <w:p>
            <w:pPr>
              <w:ind w:left="4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1520" w:type="dxa"/>
            <w:vAlign w:val="bottom"/>
            <w:tcBorders>
              <w:bottom w:val="single" w:sz="8" w:color="4C4C4C"/>
            </w:tcBorders>
            <w:gridSpan w:val="2"/>
          </w:tcPr>
          <w:p>
            <w:pPr>
              <w:ind w:left="46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​163,766</w:t>
            </w:r>
            <w:r>
              <w:rPr>
                <w:rFonts w:ascii="Arial" w:cs="Arial" w:eastAsia="Arial" w:hAnsi="Arial"/>
                <w:sz w:val="14"/>
                <w:szCs w:val="14"/>
                <w:color w:val="auto"/>
                <w:vertAlign w:val="superscript"/>
              </w:rPr>
              <w:t>(3)</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1220" w:type="dxa"/>
            <w:vAlign w:val="bottom"/>
            <w:tcBorders>
              <w:bottom w:val="single" w:sz="8" w:color="4C4C4C"/>
            </w:tcBorders>
          </w:tcPr>
          <w:p>
            <w:pPr>
              <w:jc w:val="right"/>
              <w:ind w:right="488"/>
              <w:spacing w:after="0"/>
              <w:rPr>
                <w:sz w:val="20"/>
                <w:szCs w:val="20"/>
                <w:color w:val="auto"/>
              </w:rPr>
            </w:pPr>
            <w:r>
              <w:rPr>
                <w:rFonts w:ascii="Arial" w:cs="Arial" w:eastAsia="Arial" w:hAnsi="Arial"/>
                <w:sz w:val="14"/>
                <w:szCs w:val="14"/>
                <w:color w:val="auto"/>
              </w:rPr>
              <w:t>681,267</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4C4C4C"/>
            </w:tcBorders>
          </w:tcPr>
          <w:p>
            <w:pPr>
              <w:jc w:val="right"/>
              <w:ind w:right="3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4C4C4C"/>
            </w:tcBorders>
          </w:tcPr>
          <w:p>
            <w:pPr>
              <w:ind w:left="4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40" w:type="dxa"/>
            <w:vAlign w:val="bottom"/>
            <w:tcBorders>
              <w:bottom w:val="single" w:sz="8" w:color="4C4C4C"/>
            </w:tcBorders>
          </w:tcPr>
          <w:p>
            <w:pPr>
              <w:jc w:val="right"/>
              <w:ind w:right="268"/>
              <w:spacing w:after="0" w:line="183" w:lineRule="exact"/>
              <w:rPr>
                <w:sz w:val="20"/>
                <w:szCs w:val="20"/>
                <w:color w:val="auto"/>
              </w:rPr>
            </w:pPr>
            <w:r>
              <w:rPr>
                <w:rFonts w:ascii="Arial" w:cs="Arial" w:eastAsia="Arial" w:hAnsi="Arial"/>
                <w:sz w:val="14"/>
                <w:szCs w:val="14"/>
                <w:color w:val="auto"/>
              </w:rPr>
              <w:t>82,611</w:t>
            </w:r>
            <w:r>
              <w:rPr>
                <w:rFonts w:ascii="Arial" w:cs="Arial" w:eastAsia="Arial" w:hAnsi="Arial"/>
                <w:sz w:val="17"/>
                <w:szCs w:val="17"/>
                <w:color w:val="auto"/>
                <w:vertAlign w:val="superscript"/>
              </w:rPr>
              <w:t>(4)</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1220" w:type="dxa"/>
            <w:vAlign w:val="bottom"/>
            <w:tcBorders>
              <w:bottom w:val="single" w:sz="8" w:color="4C4C4C"/>
            </w:tcBorders>
          </w:tcPr>
          <w:p>
            <w:pPr>
              <w:jc w:val="right"/>
              <w:ind w:right="488"/>
              <w:spacing w:after="0"/>
              <w:rPr>
                <w:sz w:val="20"/>
                <w:szCs w:val="20"/>
                <w:color w:val="auto"/>
              </w:rPr>
            </w:pPr>
            <w:r>
              <w:rPr>
                <w:rFonts w:ascii="Arial" w:cs="Arial" w:eastAsia="Arial" w:hAnsi="Arial"/>
                <w:sz w:val="14"/>
                <w:szCs w:val="14"/>
                <w:color w:val="auto"/>
              </w:rPr>
              <w:t>343,662</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Borders>
              <w:bottom w:val="single" w:sz="8" w:color="E7417A"/>
            </w:tcBorders>
          </w:tcPr>
          <w:p>
            <w:pPr>
              <w:spacing w:after="0"/>
              <w:rPr>
                <w:sz w:val="15"/>
                <w:szCs w:val="15"/>
                <w:color w:val="auto"/>
              </w:rPr>
            </w:pPr>
          </w:p>
        </w:tc>
        <w:tc>
          <w:tcPr>
            <w:tcW w:w="1500" w:type="dxa"/>
            <w:vAlign w:val="bottom"/>
            <w:tcBorders>
              <w:bottom w:val="single" w:sz="8" w:color="E7417A"/>
            </w:tcBorders>
          </w:tcPr>
          <w:p>
            <w:pPr>
              <w:spacing w:after="0"/>
              <w:rPr>
                <w:sz w:val="15"/>
                <w:szCs w:val="15"/>
                <w:color w:val="auto"/>
              </w:rPr>
            </w:pPr>
          </w:p>
        </w:tc>
        <w:tc>
          <w:tcPr>
            <w:tcW w:w="80" w:type="dxa"/>
            <w:vAlign w:val="bottom"/>
            <w:tcBorders>
              <w:bottom w:val="single" w:sz="8" w:color="E7417A"/>
            </w:tcBorders>
          </w:tcPr>
          <w:p>
            <w:pPr>
              <w:spacing w:after="0"/>
              <w:rPr>
                <w:sz w:val="15"/>
                <w:szCs w:val="15"/>
                <w:color w:val="auto"/>
              </w:rPr>
            </w:pPr>
          </w:p>
        </w:tc>
        <w:tc>
          <w:tcPr>
            <w:tcW w:w="100" w:type="dxa"/>
            <w:vAlign w:val="bottom"/>
            <w:tcBorders>
              <w:bottom w:val="single" w:sz="8" w:color="E7417A"/>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E7417A"/>
            </w:tcBorders>
          </w:tcPr>
          <w:p>
            <w:pPr>
              <w:ind w:left="4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7417A"/>
            </w:tcBorders>
          </w:tcPr>
          <w:p>
            <w:pPr>
              <w:jc w:val="right"/>
              <w:ind w:right="3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E7417A"/>
            </w:tcBorders>
          </w:tcPr>
          <w:p>
            <w:pPr>
              <w:ind w:left="4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7417A"/>
            </w:tcBorders>
          </w:tcPr>
          <w:p>
            <w:pPr>
              <w:ind w:left="5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E7417A"/>
            </w:tcBorders>
          </w:tcPr>
          <w:p>
            <w:pPr>
              <w:ind w:left="80"/>
              <w:spacing w:after="0"/>
              <w:rPr>
                <w:sz w:val="20"/>
                <w:szCs w:val="20"/>
                <w:color w:val="auto"/>
              </w:rPr>
            </w:pPr>
            <w:r>
              <w:rPr>
                <w:rFonts w:ascii="Arial" w:cs="Arial" w:eastAsia="Arial" w:hAnsi="Arial"/>
                <w:sz w:val="14"/>
                <w:szCs w:val="14"/>
                <w:color w:val="auto"/>
              </w:rPr>
              <w:t>​ ​ ​</w:t>
            </w:r>
          </w:p>
        </w:tc>
        <w:tc>
          <w:tcPr>
            <w:tcW w:w="1520" w:type="dxa"/>
            <w:vAlign w:val="bottom"/>
            <w:tcBorders>
              <w:bottom w:val="single" w:sz="8" w:color="E7417A"/>
            </w:tcBorders>
            <w:gridSpan w:val="2"/>
          </w:tcPr>
          <w:p>
            <w:pPr>
              <w:ind w:left="46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​218,354</w:t>
            </w:r>
            <w:r>
              <w:rPr>
                <w:rFonts w:ascii="Arial" w:cs="Arial" w:eastAsia="Arial" w:hAnsi="Arial"/>
                <w:sz w:val="14"/>
                <w:szCs w:val="14"/>
                <w:color w:val="auto"/>
                <w:vertAlign w:val="superscript"/>
              </w:rPr>
              <w:t>(4)</w:t>
            </w:r>
          </w:p>
        </w:tc>
        <w:tc>
          <w:tcPr>
            <w:tcW w:w="22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E7417A"/>
            </w:tcBorders>
          </w:tcPr>
          <w:p>
            <w:pPr>
              <w:ind w:left="6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1220" w:type="dxa"/>
            <w:vAlign w:val="bottom"/>
            <w:tcBorders>
              <w:bottom w:val="single" w:sz="8" w:color="E7417A"/>
            </w:tcBorders>
          </w:tcPr>
          <w:p>
            <w:pPr>
              <w:jc w:val="right"/>
              <w:ind w:right="488"/>
              <w:spacing w:after="0"/>
              <w:rPr>
                <w:sz w:val="20"/>
                <w:szCs w:val="20"/>
                <w:color w:val="auto"/>
              </w:rPr>
            </w:pPr>
            <w:r>
              <w:rPr>
                <w:rFonts w:ascii="Arial" w:cs="Arial" w:eastAsia="Arial" w:hAnsi="Arial"/>
                <w:sz w:val="14"/>
                <w:szCs w:val="14"/>
                <w:color w:val="auto"/>
              </w:rPr>
              <w:t>908,353</w:t>
            </w:r>
          </w:p>
        </w:tc>
        <w:tc>
          <w:tcPr>
            <w:tcW w:w="160" w:type="dxa"/>
            <w:vAlign w:val="bottom"/>
            <w:tcBorders>
              <w:bottom w:val="single" w:sz="8" w:color="E7417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1560" w:type="dxa"/>
            <w:vAlign w:val="bottom"/>
            <w:gridSpan w:val="2"/>
          </w:tcPr>
          <w:p>
            <w:pPr>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John Townsend</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460" w:type="dxa"/>
            <w:vAlign w:val="bottom"/>
            <w:gridSpan w:val="2"/>
          </w:tcPr>
          <w:p>
            <w:pPr>
              <w:ind w:left="420"/>
              <w:spacing w:after="0" w:line="195"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​230,769</w:t>
            </w:r>
            <w:r>
              <w:rPr>
                <w:rFonts w:ascii="Arial" w:cs="Arial" w:eastAsia="Arial" w:hAnsi="Arial"/>
                <w:sz w:val="14"/>
                <w:szCs w:val="14"/>
                <w:color w:val="auto"/>
                <w:vertAlign w:val="superscript"/>
              </w:rPr>
              <w:t>(5)</w:t>
            </w:r>
          </w:p>
        </w:tc>
        <w:tc>
          <w:tcPr>
            <w:tcW w:w="220" w:type="dxa"/>
            <w:vAlign w:val="bottom"/>
          </w:tcPr>
          <w:p>
            <w:pPr>
              <w:spacing w:after="0"/>
              <w:rPr>
                <w:sz w:val="20"/>
                <w:szCs w:val="20"/>
                <w:color w:val="auto"/>
              </w:rPr>
            </w:pPr>
            <w:r>
              <w:rPr>
                <w:rFonts w:ascii="Arial" w:cs="Arial" w:eastAsia="Arial" w:hAnsi="Arial"/>
                <w:sz w:val="14"/>
                <w:szCs w:val="14"/>
                <w:color w:val="auto"/>
              </w:rPr>
              <w:t>​​ ​</w:t>
            </w:r>
          </w:p>
        </w:tc>
        <w:tc>
          <w:tcPr>
            <w:tcW w:w="1340" w:type="dxa"/>
            <w:vAlign w:val="bottom"/>
            <w:gridSpan w:val="2"/>
          </w:tcPr>
          <w:p>
            <w:pPr>
              <w:ind w:left="400"/>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​959,999</w:t>
            </w:r>
          </w:p>
        </w:tc>
        <w:tc>
          <w:tcPr>
            <w:tcW w:w="300" w:type="dxa"/>
            <w:vAlign w:val="bottom"/>
          </w:tcPr>
          <w:p>
            <w:pPr>
              <w:ind w:left="80"/>
              <w:spacing w:after="0"/>
              <w:rPr>
                <w:sz w:val="20"/>
                <w:szCs w:val="20"/>
                <w:color w:val="auto"/>
              </w:rPr>
            </w:pPr>
            <w:r>
              <w:rPr>
                <w:rFonts w:ascii="Arial" w:cs="Arial" w:eastAsia="Arial" w:hAnsi="Arial"/>
                <w:sz w:val="14"/>
                <w:szCs w:val="14"/>
                <w:color w:val="auto"/>
              </w:rPr>
              <w:t>​ ​ ​</w:t>
            </w:r>
          </w:p>
        </w:tc>
        <w:tc>
          <w:tcPr>
            <w:tcW w:w="580" w:type="dxa"/>
            <w:vAlign w:val="bottom"/>
          </w:tcPr>
          <w:p>
            <w:pPr>
              <w:ind w:left="4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 ​</w:t>
            </w:r>
          </w:p>
        </w:tc>
        <w:tc>
          <w:tcPr>
            <w:tcW w:w="680" w:type="dxa"/>
            <w:vAlign w:val="bottom"/>
          </w:tcPr>
          <w:p>
            <w:pPr>
              <w:ind w:left="60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4C4C4C"/>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4C4C4C"/>
              <w:bottom w:val="single" w:sz="8" w:color="4C4C4C"/>
            </w:tcBorders>
          </w:tcPr>
          <w:p>
            <w:pPr>
              <w:ind w:left="4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4C4C4C"/>
              <w:bottom w:val="single" w:sz="8" w:color="4C4C4C"/>
            </w:tcBorders>
          </w:tcPr>
          <w:p>
            <w:pPr>
              <w:jc w:val="right"/>
              <w:ind w:right="30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 ​</w:t>
            </w:r>
          </w:p>
        </w:tc>
        <w:tc>
          <w:tcPr>
            <w:tcW w:w="520" w:type="dxa"/>
            <w:vAlign w:val="bottom"/>
            <w:tcBorders>
              <w:top w:val="single" w:sz="8" w:color="4C4C4C"/>
              <w:bottom w:val="single" w:sz="8" w:color="4C4C4C"/>
            </w:tcBorders>
          </w:tcPr>
          <w:p>
            <w:pPr>
              <w:ind w:left="40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4C4C4C"/>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4C4C4C"/>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1520" w:type="dxa"/>
            <w:vAlign w:val="bottom"/>
            <w:tcBorders>
              <w:top w:val="single" w:sz="8" w:color="4C4C4C"/>
              <w:bottom w:val="single" w:sz="8" w:color="4C4C4C"/>
            </w:tcBorders>
            <w:gridSpan w:val="2"/>
          </w:tcPr>
          <w:p>
            <w:pPr>
              <w:ind w:left="46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​138,461</w:t>
            </w:r>
            <w:r>
              <w:rPr>
                <w:rFonts w:ascii="Arial" w:cs="Arial" w:eastAsia="Arial" w:hAnsi="Arial"/>
                <w:sz w:val="14"/>
                <w:szCs w:val="14"/>
                <w:color w:val="auto"/>
                <w:vertAlign w:val="superscript"/>
              </w:rPr>
              <w:t>(6)</w:t>
            </w:r>
          </w:p>
        </w:tc>
        <w:tc>
          <w:tcPr>
            <w:tcW w:w="22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top w:val="single" w:sz="8" w:color="4C4C4C"/>
              <w:bottom w:val="single" w:sz="8" w:color="4C4C4C"/>
            </w:tcBorders>
          </w:tcPr>
          <w:p>
            <w:pPr>
              <w:ind w:left="6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1220" w:type="dxa"/>
            <w:vAlign w:val="bottom"/>
            <w:tcBorders>
              <w:top w:val="single" w:sz="8" w:color="4C4C4C"/>
              <w:bottom w:val="single" w:sz="8" w:color="4C4C4C"/>
            </w:tcBorders>
          </w:tcPr>
          <w:p>
            <w:pPr>
              <w:jc w:val="right"/>
              <w:ind w:right="488"/>
              <w:spacing w:after="0"/>
              <w:rPr>
                <w:sz w:val="20"/>
                <w:szCs w:val="20"/>
                <w:color w:val="auto"/>
              </w:rPr>
            </w:pPr>
            <w:r>
              <w:rPr>
                <w:rFonts w:ascii="Arial" w:cs="Arial" w:eastAsia="Arial" w:hAnsi="Arial"/>
                <w:sz w:val="14"/>
                <w:szCs w:val="14"/>
                <w:color w:val="auto"/>
              </w:rPr>
              <w:t>575,998</w:t>
            </w:r>
          </w:p>
        </w:tc>
        <w:tc>
          <w:tcPr>
            <w:tcW w:w="160" w:type="dxa"/>
            <w:vAlign w:val="bottom"/>
            <w:tcBorders>
              <w:top w:val="single" w:sz="8" w:color="4C4C4C"/>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4C4C4C"/>
            </w:tcBorders>
          </w:tcPr>
          <w:p>
            <w:pPr>
              <w:jc w:val="right"/>
              <w:ind w:right="3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4C4C4C"/>
            </w:tcBorders>
          </w:tcPr>
          <w:p>
            <w:pPr>
              <w:ind w:left="4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1520" w:type="dxa"/>
            <w:vAlign w:val="bottom"/>
            <w:tcBorders>
              <w:bottom w:val="single" w:sz="8" w:color="4C4C4C"/>
            </w:tcBorders>
            <w:gridSpan w:val="2"/>
          </w:tcPr>
          <w:p>
            <w:pPr>
              <w:ind w:left="46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​314,583</w:t>
            </w:r>
            <w:r>
              <w:rPr>
                <w:rFonts w:ascii="Arial" w:cs="Arial" w:eastAsia="Arial" w:hAnsi="Arial"/>
                <w:sz w:val="14"/>
                <w:szCs w:val="14"/>
                <w:color w:val="auto"/>
                <w:vertAlign w:val="superscript"/>
              </w:rPr>
              <w:t>(7)</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1900" w:type="dxa"/>
            <w:vAlign w:val="bottom"/>
            <w:tcBorders>
              <w:bottom w:val="single" w:sz="8" w:color="4C4C4C"/>
            </w:tcBorders>
            <w:gridSpan w:val="2"/>
          </w:tcPr>
          <w:p>
            <w:pPr>
              <w:ind w:left="6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​1,308,665</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Borders>
              <w:bottom w:val="single" w:sz="8" w:color="E7417A"/>
            </w:tcBorders>
          </w:tcPr>
          <w:p>
            <w:pPr>
              <w:spacing w:after="0"/>
              <w:rPr>
                <w:sz w:val="15"/>
                <w:szCs w:val="15"/>
                <w:color w:val="auto"/>
              </w:rPr>
            </w:pPr>
          </w:p>
        </w:tc>
        <w:tc>
          <w:tcPr>
            <w:tcW w:w="1500" w:type="dxa"/>
            <w:vAlign w:val="bottom"/>
            <w:tcBorders>
              <w:bottom w:val="single" w:sz="8" w:color="E7417A"/>
            </w:tcBorders>
          </w:tcPr>
          <w:p>
            <w:pPr>
              <w:spacing w:after="0"/>
              <w:rPr>
                <w:sz w:val="15"/>
                <w:szCs w:val="15"/>
                <w:color w:val="auto"/>
              </w:rPr>
            </w:pPr>
          </w:p>
        </w:tc>
        <w:tc>
          <w:tcPr>
            <w:tcW w:w="80" w:type="dxa"/>
            <w:vAlign w:val="bottom"/>
            <w:tcBorders>
              <w:bottom w:val="single" w:sz="8" w:color="E7417A"/>
            </w:tcBorders>
          </w:tcPr>
          <w:p>
            <w:pPr>
              <w:spacing w:after="0"/>
              <w:rPr>
                <w:sz w:val="15"/>
                <w:szCs w:val="15"/>
                <w:color w:val="auto"/>
              </w:rPr>
            </w:pPr>
          </w:p>
        </w:tc>
        <w:tc>
          <w:tcPr>
            <w:tcW w:w="100" w:type="dxa"/>
            <w:vAlign w:val="bottom"/>
            <w:tcBorders>
              <w:bottom w:val="single" w:sz="8" w:color="E7417A"/>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E7417A"/>
            </w:tcBorders>
          </w:tcPr>
          <w:p>
            <w:pPr>
              <w:ind w:left="4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7417A"/>
            </w:tcBorders>
          </w:tcPr>
          <w:p>
            <w:pPr>
              <w:jc w:val="right"/>
              <w:ind w:right="3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E7417A"/>
            </w:tcBorders>
          </w:tcPr>
          <w:p>
            <w:pPr>
              <w:ind w:left="4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7417A"/>
            </w:tcBorders>
          </w:tcPr>
          <w:p>
            <w:pPr>
              <w:ind w:left="5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E7417A"/>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E7417A"/>
            </w:tcBorders>
          </w:tcPr>
          <w:p>
            <w:pPr>
              <w:ind w:left="46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40" w:type="dxa"/>
            <w:vAlign w:val="bottom"/>
            <w:tcBorders>
              <w:bottom w:val="single" w:sz="8" w:color="E7417A"/>
            </w:tcBorders>
          </w:tcPr>
          <w:p>
            <w:pPr>
              <w:jc w:val="right"/>
              <w:ind w:right="268"/>
              <w:spacing w:after="0" w:line="183" w:lineRule="exact"/>
              <w:rPr>
                <w:sz w:val="20"/>
                <w:szCs w:val="20"/>
                <w:color w:val="auto"/>
              </w:rPr>
            </w:pPr>
            <w:r>
              <w:rPr>
                <w:rFonts w:ascii="Arial" w:cs="Arial" w:eastAsia="Arial" w:hAnsi="Arial"/>
                <w:sz w:val="14"/>
                <w:szCs w:val="14"/>
                <w:color w:val="auto"/>
              </w:rPr>
              <w:t>92,308</w:t>
            </w:r>
            <w:r>
              <w:rPr>
                <w:rFonts w:ascii="Arial" w:cs="Arial" w:eastAsia="Arial" w:hAnsi="Arial"/>
                <w:sz w:val="17"/>
                <w:szCs w:val="17"/>
                <w:color w:val="auto"/>
                <w:vertAlign w:val="superscript"/>
              </w:rPr>
              <w:t>(8)</w:t>
            </w:r>
          </w:p>
        </w:tc>
        <w:tc>
          <w:tcPr>
            <w:tcW w:w="22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E7417A"/>
            </w:tcBorders>
          </w:tcPr>
          <w:p>
            <w:pPr>
              <w:ind w:left="6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1220" w:type="dxa"/>
            <w:vAlign w:val="bottom"/>
            <w:tcBorders>
              <w:bottom w:val="single" w:sz="8" w:color="E7417A"/>
            </w:tcBorders>
          </w:tcPr>
          <w:p>
            <w:pPr>
              <w:jc w:val="right"/>
              <w:ind w:right="488"/>
              <w:spacing w:after="0"/>
              <w:rPr>
                <w:sz w:val="20"/>
                <w:szCs w:val="20"/>
                <w:color w:val="auto"/>
              </w:rPr>
            </w:pPr>
            <w:r>
              <w:rPr>
                <w:rFonts w:ascii="Arial" w:cs="Arial" w:eastAsia="Arial" w:hAnsi="Arial"/>
                <w:sz w:val="14"/>
                <w:szCs w:val="14"/>
                <w:color w:val="auto"/>
              </w:rPr>
              <w:t>384,001</w:t>
            </w:r>
          </w:p>
        </w:tc>
        <w:tc>
          <w:tcPr>
            <w:tcW w:w="160" w:type="dxa"/>
            <w:vAlign w:val="bottom"/>
            <w:tcBorders>
              <w:bottom w:val="single" w:sz="8" w:color="E7417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1560" w:type="dxa"/>
            <w:vAlign w:val="bottom"/>
            <w:gridSpan w:val="2"/>
          </w:tcPr>
          <w:p>
            <w:pPr>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Sam Bucci</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540" w:type="dxa"/>
            <w:vAlign w:val="bottom"/>
          </w:tcPr>
          <w:p>
            <w:pPr>
              <w:ind w:left="420"/>
              <w:spacing w:after="0" w:line="195"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26,709</w:t>
            </w:r>
            <w:r>
              <w:rPr>
                <w:rFonts w:ascii="Arial" w:cs="Arial" w:eastAsia="Arial" w:hAnsi="Arial"/>
                <w:sz w:val="17"/>
                <w:szCs w:val="17"/>
                <w:color w:val="auto"/>
                <w:vertAlign w:val="superscript"/>
              </w:rPr>
              <w:t>(9)</w:t>
            </w:r>
          </w:p>
        </w:tc>
        <w:tc>
          <w:tcPr>
            <w:tcW w:w="220" w:type="dxa"/>
            <w:vAlign w:val="bottom"/>
          </w:tcPr>
          <w:p>
            <w:pPr>
              <w:spacing w:after="0"/>
              <w:rPr>
                <w:sz w:val="20"/>
                <w:szCs w:val="20"/>
                <w:color w:val="auto"/>
              </w:rPr>
            </w:pPr>
            <w:r>
              <w:rPr>
                <w:rFonts w:ascii="Arial" w:cs="Arial" w:eastAsia="Arial" w:hAnsi="Arial"/>
                <w:sz w:val="14"/>
                <w:szCs w:val="14"/>
                <w:color w:val="auto"/>
              </w:rPr>
              <w:t>​​ ​</w:t>
            </w:r>
          </w:p>
        </w:tc>
        <w:tc>
          <w:tcPr>
            <w:tcW w:w="1340" w:type="dxa"/>
            <w:vAlign w:val="bottom"/>
            <w:gridSpan w:val="2"/>
          </w:tcPr>
          <w:p>
            <w:pPr>
              <w:ind w:left="400"/>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111,109</w:t>
            </w:r>
          </w:p>
        </w:tc>
        <w:tc>
          <w:tcPr>
            <w:tcW w:w="300" w:type="dxa"/>
            <w:vAlign w:val="bottom"/>
          </w:tcPr>
          <w:p>
            <w:pPr>
              <w:ind w:left="80"/>
              <w:spacing w:after="0"/>
              <w:rPr>
                <w:sz w:val="20"/>
                <w:szCs w:val="20"/>
                <w:color w:val="auto"/>
              </w:rPr>
            </w:pPr>
            <w:r>
              <w:rPr>
                <w:rFonts w:ascii="Arial" w:cs="Arial" w:eastAsia="Arial" w:hAnsi="Arial"/>
                <w:sz w:val="14"/>
                <w:szCs w:val="14"/>
                <w:color w:val="auto"/>
              </w:rPr>
              <w:t>​ ​ ​</w:t>
            </w:r>
          </w:p>
        </w:tc>
        <w:tc>
          <w:tcPr>
            <w:tcW w:w="580" w:type="dxa"/>
            <w:vAlign w:val="bottom"/>
          </w:tcPr>
          <w:p>
            <w:pPr>
              <w:ind w:left="4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 ​</w:t>
            </w:r>
          </w:p>
        </w:tc>
        <w:tc>
          <w:tcPr>
            <w:tcW w:w="680" w:type="dxa"/>
            <w:vAlign w:val="bottom"/>
          </w:tcPr>
          <w:p>
            <w:pPr>
              <w:ind w:left="60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4C4C4C"/>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4C4C4C"/>
              <w:bottom w:val="single" w:sz="8" w:color="4C4C4C"/>
            </w:tcBorders>
          </w:tcPr>
          <w:p>
            <w:pPr>
              <w:ind w:left="4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20" w:type="dxa"/>
            <w:vAlign w:val="bottom"/>
            <w:tcBorders>
              <w:top w:val="single" w:sz="8" w:color="4C4C4C"/>
              <w:bottom w:val="single" w:sz="8" w:color="4C4C4C"/>
            </w:tcBorders>
          </w:tcPr>
          <w:p>
            <w:pPr>
              <w:jc w:val="right"/>
              <w:ind w:right="248"/>
              <w:spacing w:after="0" w:line="183" w:lineRule="exact"/>
              <w:rPr>
                <w:sz w:val="20"/>
                <w:szCs w:val="20"/>
                <w:color w:val="auto"/>
              </w:rPr>
            </w:pPr>
            <w:r>
              <w:rPr>
                <w:rFonts w:ascii="Arial" w:cs="Arial" w:eastAsia="Arial" w:hAnsi="Arial"/>
                <w:sz w:val="14"/>
                <w:szCs w:val="14"/>
                <w:color w:val="auto"/>
              </w:rPr>
              <w:t>77,446</w:t>
            </w:r>
            <w:r>
              <w:rPr>
                <w:rFonts w:ascii="Arial" w:cs="Arial" w:eastAsia="Arial" w:hAnsi="Arial"/>
                <w:sz w:val="17"/>
                <w:szCs w:val="17"/>
                <w:color w:val="auto"/>
                <w:vertAlign w:val="superscript"/>
              </w:rPr>
              <w:t>(9)</w:t>
            </w:r>
          </w:p>
        </w:tc>
        <w:tc>
          <w:tcPr>
            <w:tcW w:w="22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 ​</w:t>
            </w:r>
          </w:p>
        </w:tc>
        <w:tc>
          <w:tcPr>
            <w:tcW w:w="1340" w:type="dxa"/>
            <w:vAlign w:val="bottom"/>
            <w:tcBorders>
              <w:top w:val="single" w:sz="8" w:color="4C4C4C"/>
              <w:bottom w:val="single" w:sz="8" w:color="4C4C4C"/>
            </w:tcBorders>
            <w:gridSpan w:val="2"/>
          </w:tcPr>
          <w:p>
            <w:pPr>
              <w:ind w:left="4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​322,175</w:t>
            </w:r>
          </w:p>
        </w:tc>
        <w:tc>
          <w:tcPr>
            <w:tcW w:w="300" w:type="dxa"/>
            <w:vAlign w:val="bottom"/>
            <w:tcBorders>
              <w:top w:val="single" w:sz="8" w:color="4C4C4C"/>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top w:val="single" w:sz="8" w:color="4C4C4C"/>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4C4C4C"/>
              <w:bottom w:val="single" w:sz="8" w:color="4C4C4C"/>
            </w:tcBorders>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top w:val="single" w:sz="8" w:color="4C4C4C"/>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4C4C4C"/>
              <w:bottom w:val="single" w:sz="8" w:color="4C4C4C"/>
            </w:tcBorders>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4C4C4C"/>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20" w:type="dxa"/>
            <w:vAlign w:val="bottom"/>
            <w:tcBorders>
              <w:bottom w:val="single" w:sz="8" w:color="4C4C4C"/>
            </w:tcBorders>
          </w:tcPr>
          <w:p>
            <w:pPr>
              <w:jc w:val="right"/>
              <w:ind w:right="248"/>
              <w:spacing w:after="0" w:line="183" w:lineRule="exact"/>
              <w:rPr>
                <w:sz w:val="20"/>
                <w:szCs w:val="20"/>
                <w:color w:val="auto"/>
              </w:rPr>
            </w:pPr>
            <w:r>
              <w:rPr>
                <w:rFonts w:ascii="Arial" w:cs="Arial" w:eastAsia="Arial" w:hAnsi="Arial"/>
                <w:sz w:val="14"/>
                <w:szCs w:val="14"/>
                <w:color w:val="auto"/>
              </w:rPr>
              <w:t>52,742</w:t>
            </w:r>
            <w:r>
              <w:rPr>
                <w:rFonts w:ascii="Arial" w:cs="Arial" w:eastAsia="Arial" w:hAnsi="Arial"/>
                <w:sz w:val="17"/>
                <w:szCs w:val="17"/>
                <w:color w:val="auto"/>
                <w:vertAlign w:val="superscript"/>
              </w:rPr>
              <w:t>(9)</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1340" w:type="dxa"/>
            <w:vAlign w:val="bottom"/>
            <w:tcBorders>
              <w:bottom w:val="single" w:sz="8" w:color="4C4C4C"/>
            </w:tcBorders>
            <w:gridSpan w:val="2"/>
          </w:tcPr>
          <w:p>
            <w:pPr>
              <w:ind w:left="4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​219,407</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C4C4C"/>
            </w:tcBorders>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20" w:type="dxa"/>
            <w:vAlign w:val="bottom"/>
            <w:tcBorders>
              <w:bottom w:val="single" w:sz="8" w:color="4C4C4C"/>
            </w:tcBorders>
          </w:tcPr>
          <w:p>
            <w:pPr>
              <w:jc w:val="right"/>
              <w:ind w:right="188"/>
              <w:spacing w:after="0" w:line="183" w:lineRule="exact"/>
              <w:rPr>
                <w:sz w:val="20"/>
                <w:szCs w:val="20"/>
                <w:color w:val="auto"/>
              </w:rPr>
            </w:pPr>
            <w:r>
              <w:rPr>
                <w:rFonts w:ascii="Arial" w:cs="Arial" w:eastAsia="Arial" w:hAnsi="Arial"/>
                <w:sz w:val="14"/>
                <w:szCs w:val="14"/>
                <w:color w:val="auto"/>
              </w:rPr>
              <w:t>32,799</w:t>
            </w:r>
            <w:r>
              <w:rPr>
                <w:rFonts w:ascii="Arial" w:cs="Arial" w:eastAsia="Arial" w:hAnsi="Arial"/>
                <w:sz w:val="17"/>
                <w:szCs w:val="17"/>
                <w:color w:val="auto"/>
                <w:vertAlign w:val="superscript"/>
              </w:rPr>
              <w:t>(10)</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1340" w:type="dxa"/>
            <w:vAlign w:val="bottom"/>
            <w:tcBorders>
              <w:bottom w:val="single" w:sz="8" w:color="4C4C4C"/>
            </w:tcBorders>
            <w:gridSpan w:val="2"/>
          </w:tcPr>
          <w:p>
            <w:pPr>
              <w:ind w:left="4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​136,444</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C4C4C"/>
            </w:tcBorders>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20" w:type="dxa"/>
            <w:vAlign w:val="bottom"/>
            <w:tcBorders>
              <w:bottom w:val="single" w:sz="8" w:color="4C4C4C"/>
            </w:tcBorders>
          </w:tcPr>
          <w:p>
            <w:pPr>
              <w:jc w:val="right"/>
              <w:ind w:right="188"/>
              <w:spacing w:after="0" w:line="183" w:lineRule="exact"/>
              <w:rPr>
                <w:sz w:val="20"/>
                <w:szCs w:val="20"/>
                <w:color w:val="auto"/>
              </w:rPr>
            </w:pPr>
            <w:r>
              <w:rPr>
                <w:rFonts w:ascii="Arial" w:cs="Arial" w:eastAsia="Arial" w:hAnsi="Arial"/>
                <w:sz w:val="14"/>
                <w:szCs w:val="14"/>
                <w:color w:val="auto"/>
              </w:rPr>
              <w:t>31,598</w:t>
            </w:r>
            <w:r>
              <w:rPr>
                <w:rFonts w:ascii="Arial" w:cs="Arial" w:eastAsia="Arial" w:hAnsi="Arial"/>
                <w:sz w:val="17"/>
                <w:szCs w:val="17"/>
                <w:color w:val="auto"/>
                <w:vertAlign w:val="superscript"/>
              </w:rPr>
              <w:t>(10)</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1340" w:type="dxa"/>
            <w:vAlign w:val="bottom"/>
            <w:tcBorders>
              <w:bottom w:val="single" w:sz="8" w:color="4C4C4C"/>
            </w:tcBorders>
            <w:gridSpan w:val="2"/>
          </w:tcPr>
          <w:p>
            <w:pPr>
              <w:ind w:left="4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​131,448</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C4C4C"/>
            </w:tcBorders>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20" w:type="dxa"/>
            <w:vAlign w:val="bottom"/>
            <w:tcBorders>
              <w:bottom w:val="single" w:sz="8" w:color="4C4C4C"/>
            </w:tcBorders>
          </w:tcPr>
          <w:p>
            <w:pPr>
              <w:jc w:val="right"/>
              <w:ind w:right="188"/>
              <w:spacing w:after="0" w:line="183" w:lineRule="exact"/>
              <w:rPr>
                <w:sz w:val="20"/>
                <w:szCs w:val="20"/>
                <w:color w:val="auto"/>
              </w:rPr>
            </w:pPr>
            <w:r>
              <w:rPr>
                <w:rFonts w:ascii="Arial" w:cs="Arial" w:eastAsia="Arial" w:hAnsi="Arial"/>
                <w:sz w:val="14"/>
                <w:szCs w:val="14"/>
                <w:color w:val="auto"/>
              </w:rPr>
              <w:t>25,475</w:t>
            </w:r>
            <w:r>
              <w:rPr>
                <w:rFonts w:ascii="Arial" w:cs="Arial" w:eastAsia="Arial" w:hAnsi="Arial"/>
                <w:sz w:val="17"/>
                <w:szCs w:val="17"/>
                <w:color w:val="auto"/>
                <w:vertAlign w:val="superscript"/>
              </w:rPr>
              <w:t>(10)</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1340" w:type="dxa"/>
            <w:vAlign w:val="bottom"/>
            <w:tcBorders>
              <w:bottom w:val="single" w:sz="8" w:color="4C4C4C"/>
            </w:tcBorders>
            <w:gridSpan w:val="2"/>
          </w:tcPr>
          <w:p>
            <w:pPr>
              <w:ind w:left="4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​102,232</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C4C4C"/>
            </w:tcBorders>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20" w:type="dxa"/>
            <w:vAlign w:val="bottom"/>
            <w:tcBorders>
              <w:bottom w:val="single" w:sz="8" w:color="4C4C4C"/>
            </w:tcBorders>
          </w:tcPr>
          <w:p>
            <w:pPr>
              <w:jc w:val="right"/>
              <w:ind w:right="208"/>
              <w:spacing w:after="0" w:line="183" w:lineRule="exact"/>
              <w:rPr>
                <w:sz w:val="20"/>
                <w:szCs w:val="20"/>
                <w:color w:val="auto"/>
              </w:rPr>
            </w:pPr>
            <w:r>
              <w:rPr>
                <w:rFonts w:ascii="Arial" w:cs="Arial" w:eastAsia="Arial" w:hAnsi="Arial"/>
                <w:sz w:val="14"/>
                <w:szCs w:val="14"/>
                <w:color w:val="auto"/>
                <w:w w:val="98"/>
              </w:rPr>
              <w:t>64,308</w:t>
            </w:r>
            <w:r>
              <w:rPr>
                <w:rFonts w:ascii="Arial" w:cs="Arial" w:eastAsia="Arial" w:hAnsi="Arial"/>
                <w:sz w:val="17"/>
                <w:szCs w:val="17"/>
                <w:color w:val="auto"/>
                <w:w w:val="98"/>
                <w:vertAlign w:val="superscript"/>
              </w:rPr>
              <w:t>(11)</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1340" w:type="dxa"/>
            <w:vAlign w:val="bottom"/>
            <w:tcBorders>
              <w:bottom w:val="single" w:sz="8" w:color="4C4C4C"/>
            </w:tcBorders>
            <w:gridSpan w:val="2"/>
          </w:tcPr>
          <w:p>
            <w:pPr>
              <w:ind w:left="4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​267,521</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C4C4C"/>
            </w:tcBorders>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4C4C4C"/>
            </w:tcBorders>
          </w:tcPr>
          <w:p>
            <w:pPr>
              <w:jc w:val="right"/>
              <w:ind w:right="3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4C4C4C"/>
            </w:tcBorders>
          </w:tcPr>
          <w:p>
            <w:pPr>
              <w:ind w:left="4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40" w:type="dxa"/>
            <w:vAlign w:val="bottom"/>
            <w:tcBorders>
              <w:bottom w:val="single" w:sz="8" w:color="4C4C4C"/>
            </w:tcBorders>
          </w:tcPr>
          <w:p>
            <w:pPr>
              <w:jc w:val="right"/>
              <w:ind w:right="208"/>
              <w:spacing w:after="0" w:line="183" w:lineRule="exact"/>
              <w:rPr>
                <w:sz w:val="20"/>
                <w:szCs w:val="20"/>
                <w:color w:val="auto"/>
              </w:rPr>
            </w:pPr>
            <w:r>
              <w:rPr>
                <w:rFonts w:ascii="Arial" w:cs="Arial" w:eastAsia="Arial" w:hAnsi="Arial"/>
                <w:sz w:val="14"/>
                <w:szCs w:val="14"/>
                <w:color w:val="auto"/>
              </w:rPr>
              <w:t>30,979</w:t>
            </w:r>
            <w:r>
              <w:rPr>
                <w:rFonts w:ascii="Arial" w:cs="Arial" w:eastAsia="Arial" w:hAnsi="Arial"/>
                <w:sz w:val="17"/>
                <w:szCs w:val="17"/>
                <w:color w:val="auto"/>
                <w:vertAlign w:val="superscript"/>
              </w:rPr>
              <w:t>(10)</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1220" w:type="dxa"/>
            <w:vAlign w:val="bottom"/>
            <w:tcBorders>
              <w:bottom w:val="single" w:sz="8" w:color="4C4C4C"/>
            </w:tcBorders>
          </w:tcPr>
          <w:p>
            <w:pPr>
              <w:jc w:val="right"/>
              <w:ind w:right="488"/>
              <w:spacing w:after="0"/>
              <w:rPr>
                <w:sz w:val="20"/>
                <w:szCs w:val="20"/>
                <w:color w:val="auto"/>
              </w:rPr>
            </w:pPr>
            <w:r>
              <w:rPr>
                <w:rFonts w:ascii="Arial" w:cs="Arial" w:eastAsia="Arial" w:hAnsi="Arial"/>
                <w:sz w:val="14"/>
                <w:szCs w:val="14"/>
                <w:color w:val="auto"/>
              </w:rPr>
              <w:t>128,873</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4C4C4C"/>
            </w:tcBorders>
          </w:tcPr>
          <w:p>
            <w:pPr>
              <w:jc w:val="right"/>
              <w:ind w:right="3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4C4C4C"/>
            </w:tcBorders>
          </w:tcPr>
          <w:p>
            <w:pPr>
              <w:ind w:left="4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40" w:type="dxa"/>
            <w:vAlign w:val="bottom"/>
            <w:tcBorders>
              <w:bottom w:val="single" w:sz="8" w:color="4C4C4C"/>
            </w:tcBorders>
          </w:tcPr>
          <w:p>
            <w:pPr>
              <w:jc w:val="right"/>
              <w:ind w:right="208"/>
              <w:spacing w:after="0" w:line="183" w:lineRule="exact"/>
              <w:rPr>
                <w:sz w:val="20"/>
                <w:szCs w:val="20"/>
                <w:color w:val="auto"/>
              </w:rPr>
            </w:pPr>
            <w:r>
              <w:rPr>
                <w:rFonts w:ascii="Arial" w:cs="Arial" w:eastAsia="Arial" w:hAnsi="Arial"/>
                <w:sz w:val="14"/>
                <w:szCs w:val="14"/>
                <w:color w:val="auto"/>
              </w:rPr>
              <w:t>36,393</w:t>
            </w:r>
            <w:r>
              <w:rPr>
                <w:rFonts w:ascii="Arial" w:cs="Arial" w:eastAsia="Arial" w:hAnsi="Arial"/>
                <w:sz w:val="17"/>
                <w:szCs w:val="17"/>
                <w:color w:val="auto"/>
                <w:vertAlign w:val="superscript"/>
              </w:rPr>
              <w:t>(10)</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1220" w:type="dxa"/>
            <w:vAlign w:val="bottom"/>
            <w:tcBorders>
              <w:bottom w:val="single" w:sz="8" w:color="4C4C4C"/>
            </w:tcBorders>
          </w:tcPr>
          <w:p>
            <w:pPr>
              <w:jc w:val="right"/>
              <w:ind w:right="488"/>
              <w:spacing w:after="0"/>
              <w:rPr>
                <w:sz w:val="20"/>
                <w:szCs w:val="20"/>
                <w:color w:val="auto"/>
              </w:rPr>
            </w:pPr>
            <w:r>
              <w:rPr>
                <w:rFonts w:ascii="Arial" w:cs="Arial" w:eastAsia="Arial" w:hAnsi="Arial"/>
                <w:sz w:val="14"/>
                <w:szCs w:val="14"/>
                <w:color w:val="auto"/>
              </w:rPr>
              <w:t>151,395</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4C4C4C"/>
            </w:tcBorders>
          </w:tcPr>
          <w:p>
            <w:pPr>
              <w:jc w:val="right"/>
              <w:ind w:right="3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4C4C4C"/>
            </w:tcBorders>
          </w:tcPr>
          <w:p>
            <w:pPr>
              <w:ind w:left="4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940" w:type="dxa"/>
            <w:vAlign w:val="bottom"/>
            <w:tcBorders>
              <w:bottom w:val="single" w:sz="8" w:color="4C4C4C"/>
            </w:tcBorders>
          </w:tcPr>
          <w:p>
            <w:pPr>
              <w:jc w:val="right"/>
              <w:ind w:right="228"/>
              <w:spacing w:after="0" w:line="183" w:lineRule="exact"/>
              <w:rPr>
                <w:sz w:val="20"/>
                <w:szCs w:val="20"/>
                <w:color w:val="auto"/>
              </w:rPr>
            </w:pPr>
            <w:r>
              <w:rPr>
                <w:rFonts w:ascii="Arial" w:cs="Arial" w:eastAsia="Arial" w:hAnsi="Arial"/>
                <w:sz w:val="14"/>
                <w:szCs w:val="14"/>
                <w:color w:val="auto"/>
                <w:w w:val="98"/>
              </w:rPr>
              <w:t>61,958</w:t>
            </w:r>
            <w:r>
              <w:rPr>
                <w:rFonts w:ascii="Arial" w:cs="Arial" w:eastAsia="Arial" w:hAnsi="Arial"/>
                <w:sz w:val="17"/>
                <w:szCs w:val="17"/>
                <w:color w:val="auto"/>
                <w:w w:val="98"/>
                <w:vertAlign w:val="superscript"/>
              </w:rPr>
              <w:t>(11)</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1220" w:type="dxa"/>
            <w:vAlign w:val="bottom"/>
            <w:tcBorders>
              <w:bottom w:val="single" w:sz="8" w:color="4C4C4C"/>
            </w:tcBorders>
          </w:tcPr>
          <w:p>
            <w:pPr>
              <w:jc w:val="right"/>
              <w:ind w:right="488"/>
              <w:spacing w:after="0"/>
              <w:rPr>
                <w:sz w:val="20"/>
                <w:szCs w:val="20"/>
                <w:color w:val="auto"/>
              </w:rPr>
            </w:pPr>
            <w:r>
              <w:rPr>
                <w:rFonts w:ascii="Arial" w:cs="Arial" w:eastAsia="Arial" w:hAnsi="Arial"/>
                <w:sz w:val="14"/>
                <w:szCs w:val="14"/>
                <w:color w:val="auto"/>
              </w:rPr>
              <w:t>257,745</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Borders>
              <w:bottom w:val="single" w:sz="8" w:color="E7417A"/>
            </w:tcBorders>
          </w:tcPr>
          <w:p>
            <w:pPr>
              <w:spacing w:after="0"/>
              <w:rPr>
                <w:sz w:val="15"/>
                <w:szCs w:val="15"/>
                <w:color w:val="auto"/>
              </w:rPr>
            </w:pPr>
          </w:p>
        </w:tc>
        <w:tc>
          <w:tcPr>
            <w:tcW w:w="1500" w:type="dxa"/>
            <w:vAlign w:val="bottom"/>
            <w:tcBorders>
              <w:bottom w:val="single" w:sz="8" w:color="E7417A"/>
            </w:tcBorders>
          </w:tcPr>
          <w:p>
            <w:pPr>
              <w:spacing w:after="0"/>
              <w:rPr>
                <w:sz w:val="15"/>
                <w:szCs w:val="15"/>
                <w:color w:val="auto"/>
              </w:rPr>
            </w:pPr>
          </w:p>
        </w:tc>
        <w:tc>
          <w:tcPr>
            <w:tcW w:w="80" w:type="dxa"/>
            <w:vAlign w:val="bottom"/>
            <w:tcBorders>
              <w:bottom w:val="single" w:sz="8" w:color="E7417A"/>
            </w:tcBorders>
          </w:tcPr>
          <w:p>
            <w:pPr>
              <w:spacing w:after="0"/>
              <w:rPr>
                <w:sz w:val="15"/>
                <w:szCs w:val="15"/>
                <w:color w:val="auto"/>
              </w:rPr>
            </w:pPr>
          </w:p>
        </w:tc>
        <w:tc>
          <w:tcPr>
            <w:tcW w:w="100" w:type="dxa"/>
            <w:vAlign w:val="bottom"/>
            <w:tcBorders>
              <w:bottom w:val="single" w:sz="8" w:color="E7417A"/>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E7417A"/>
            </w:tcBorders>
          </w:tcPr>
          <w:p>
            <w:pPr>
              <w:ind w:left="4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7417A"/>
            </w:tcBorders>
          </w:tcPr>
          <w:p>
            <w:pPr>
              <w:jc w:val="right"/>
              <w:ind w:right="3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E7417A"/>
            </w:tcBorders>
          </w:tcPr>
          <w:p>
            <w:pPr>
              <w:ind w:left="4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7417A"/>
            </w:tcBorders>
          </w:tcPr>
          <w:p>
            <w:pPr>
              <w:ind w:left="5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E7417A"/>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E7417A"/>
            </w:tcBorders>
          </w:tcPr>
          <w:p>
            <w:pPr>
              <w:ind w:left="46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940" w:type="dxa"/>
            <w:vAlign w:val="bottom"/>
            <w:tcBorders>
              <w:bottom w:val="single" w:sz="8" w:color="E7417A"/>
            </w:tcBorders>
          </w:tcPr>
          <w:p>
            <w:pPr>
              <w:jc w:val="right"/>
              <w:ind w:right="228"/>
              <w:spacing w:after="0" w:line="183" w:lineRule="exact"/>
              <w:rPr>
                <w:sz w:val="20"/>
                <w:szCs w:val="20"/>
                <w:color w:val="auto"/>
              </w:rPr>
            </w:pPr>
            <w:r>
              <w:rPr>
                <w:rFonts w:ascii="Arial" w:cs="Arial" w:eastAsia="Arial" w:hAnsi="Arial"/>
                <w:sz w:val="14"/>
                <w:szCs w:val="14"/>
                <w:color w:val="auto"/>
                <w:w w:val="98"/>
              </w:rPr>
              <w:t>48,523</w:t>
            </w:r>
            <w:r>
              <w:rPr>
                <w:rFonts w:ascii="Arial" w:cs="Arial" w:eastAsia="Arial" w:hAnsi="Arial"/>
                <w:sz w:val="17"/>
                <w:szCs w:val="17"/>
                <w:color w:val="auto"/>
                <w:w w:val="98"/>
                <w:vertAlign w:val="superscript"/>
              </w:rPr>
              <w:t>(11)</w:t>
            </w:r>
          </w:p>
        </w:tc>
        <w:tc>
          <w:tcPr>
            <w:tcW w:w="22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E7417A"/>
            </w:tcBorders>
          </w:tcPr>
          <w:p>
            <w:pPr>
              <w:ind w:left="6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1220" w:type="dxa"/>
            <w:vAlign w:val="bottom"/>
            <w:tcBorders>
              <w:bottom w:val="single" w:sz="8" w:color="E7417A"/>
            </w:tcBorders>
          </w:tcPr>
          <w:p>
            <w:pPr>
              <w:jc w:val="right"/>
              <w:ind w:right="488"/>
              <w:spacing w:after="0"/>
              <w:rPr>
                <w:sz w:val="20"/>
                <w:szCs w:val="20"/>
                <w:color w:val="auto"/>
              </w:rPr>
            </w:pPr>
            <w:r>
              <w:rPr>
                <w:rFonts w:ascii="Arial" w:cs="Arial" w:eastAsia="Arial" w:hAnsi="Arial"/>
                <w:sz w:val="14"/>
                <w:szCs w:val="14"/>
                <w:color w:val="auto"/>
              </w:rPr>
              <w:t>201,856</w:t>
            </w:r>
          </w:p>
        </w:tc>
        <w:tc>
          <w:tcPr>
            <w:tcW w:w="160" w:type="dxa"/>
            <w:vAlign w:val="bottom"/>
            <w:tcBorders>
              <w:bottom w:val="single" w:sz="8" w:color="E7417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1560" w:type="dxa"/>
            <w:vAlign w:val="bottom"/>
            <w:gridSpan w:val="2"/>
          </w:tcPr>
          <w:p>
            <w:pPr>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Patrick Macken</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540" w:type="dxa"/>
            <w:vAlign w:val="bottom"/>
          </w:tcPr>
          <w:p>
            <w:pPr>
              <w:ind w:left="420"/>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21,367</w:t>
            </w:r>
            <w:r>
              <w:rPr>
                <w:rFonts w:ascii="Arial" w:cs="Arial" w:eastAsia="Arial" w:hAnsi="Arial"/>
                <w:sz w:val="17"/>
                <w:szCs w:val="17"/>
                <w:color w:val="auto"/>
                <w:vertAlign w:val="superscript"/>
              </w:rPr>
              <w:t>(12)</w:t>
            </w:r>
          </w:p>
        </w:tc>
        <w:tc>
          <w:tcPr>
            <w:tcW w:w="220" w:type="dxa"/>
            <w:vAlign w:val="bottom"/>
          </w:tcPr>
          <w:p>
            <w:pPr>
              <w:spacing w:after="0"/>
              <w:rPr>
                <w:sz w:val="20"/>
                <w:szCs w:val="20"/>
                <w:color w:val="auto"/>
              </w:rPr>
            </w:pPr>
            <w:r>
              <w:rPr>
                <w:rFonts w:ascii="Arial" w:cs="Arial" w:eastAsia="Arial" w:hAnsi="Arial"/>
                <w:sz w:val="14"/>
                <w:szCs w:val="14"/>
                <w:color w:val="auto"/>
              </w:rPr>
              <w:t>​​ ​</w:t>
            </w:r>
          </w:p>
        </w:tc>
        <w:tc>
          <w:tcPr>
            <w:tcW w:w="520" w:type="dxa"/>
            <w:vAlign w:val="bottom"/>
          </w:tcPr>
          <w:p>
            <w:pPr>
              <w:ind w:left="400"/>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w:t>
            </w:r>
          </w:p>
        </w:tc>
        <w:tc>
          <w:tcPr>
            <w:tcW w:w="820" w:type="dxa"/>
            <w:vAlign w:val="bottom"/>
          </w:tcPr>
          <w:p>
            <w:pPr>
              <w:ind w:left="60"/>
              <w:spacing w:after="0"/>
              <w:rPr>
                <w:sz w:val="20"/>
                <w:szCs w:val="20"/>
                <w:color w:val="auto"/>
              </w:rPr>
            </w:pPr>
            <w:r>
              <w:rPr>
                <w:rFonts w:ascii="Arial" w:cs="Arial" w:eastAsia="Arial" w:hAnsi="Arial"/>
                <w:sz w:val="14"/>
                <w:szCs w:val="14"/>
                <w:color w:val="auto"/>
              </w:rPr>
              <w:t>88,887</w:t>
            </w:r>
          </w:p>
        </w:tc>
        <w:tc>
          <w:tcPr>
            <w:tcW w:w="300" w:type="dxa"/>
            <w:vAlign w:val="bottom"/>
          </w:tcPr>
          <w:p>
            <w:pPr>
              <w:ind w:left="80"/>
              <w:spacing w:after="0"/>
              <w:rPr>
                <w:sz w:val="20"/>
                <w:szCs w:val="20"/>
                <w:color w:val="auto"/>
              </w:rPr>
            </w:pPr>
            <w:r>
              <w:rPr>
                <w:rFonts w:ascii="Arial" w:cs="Arial" w:eastAsia="Arial" w:hAnsi="Arial"/>
                <w:sz w:val="14"/>
                <w:szCs w:val="14"/>
                <w:color w:val="auto"/>
              </w:rPr>
              <w:t>​ ​ ​</w:t>
            </w:r>
          </w:p>
        </w:tc>
        <w:tc>
          <w:tcPr>
            <w:tcW w:w="580" w:type="dxa"/>
            <w:vAlign w:val="bottom"/>
          </w:tcPr>
          <w:p>
            <w:pPr>
              <w:ind w:left="4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 ​</w:t>
            </w:r>
          </w:p>
        </w:tc>
        <w:tc>
          <w:tcPr>
            <w:tcW w:w="680" w:type="dxa"/>
            <w:vAlign w:val="bottom"/>
          </w:tcPr>
          <w:p>
            <w:pPr>
              <w:ind w:left="60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4C4C4C"/>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4C4C4C"/>
              <w:bottom w:val="single" w:sz="8" w:color="4C4C4C"/>
            </w:tcBorders>
          </w:tcPr>
          <w:p>
            <w:pPr>
              <w:ind w:left="4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20" w:type="dxa"/>
            <w:vAlign w:val="bottom"/>
            <w:tcBorders>
              <w:top w:val="single" w:sz="8" w:color="4C4C4C"/>
              <w:bottom w:val="single" w:sz="8" w:color="4C4C4C"/>
            </w:tcBorders>
          </w:tcPr>
          <w:p>
            <w:pPr>
              <w:jc w:val="right"/>
              <w:ind w:right="188"/>
              <w:spacing w:after="0" w:line="183" w:lineRule="exact"/>
              <w:rPr>
                <w:sz w:val="20"/>
                <w:szCs w:val="20"/>
                <w:color w:val="auto"/>
              </w:rPr>
            </w:pPr>
            <w:r>
              <w:rPr>
                <w:rFonts w:ascii="Arial" w:cs="Arial" w:eastAsia="Arial" w:hAnsi="Arial"/>
                <w:sz w:val="14"/>
                <w:szCs w:val="14"/>
                <w:color w:val="auto"/>
              </w:rPr>
              <w:t>61,957</w:t>
            </w:r>
            <w:r>
              <w:rPr>
                <w:rFonts w:ascii="Arial" w:cs="Arial" w:eastAsia="Arial" w:hAnsi="Arial"/>
                <w:sz w:val="17"/>
                <w:szCs w:val="17"/>
                <w:color w:val="auto"/>
                <w:vertAlign w:val="superscript"/>
              </w:rPr>
              <w:t>(12)</w:t>
            </w:r>
          </w:p>
        </w:tc>
        <w:tc>
          <w:tcPr>
            <w:tcW w:w="22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 ​</w:t>
            </w:r>
          </w:p>
        </w:tc>
        <w:tc>
          <w:tcPr>
            <w:tcW w:w="1340" w:type="dxa"/>
            <w:vAlign w:val="bottom"/>
            <w:tcBorders>
              <w:top w:val="single" w:sz="8" w:color="4C4C4C"/>
              <w:bottom w:val="single" w:sz="8" w:color="4C4C4C"/>
            </w:tcBorders>
            <w:gridSpan w:val="2"/>
          </w:tcPr>
          <w:p>
            <w:pPr>
              <w:ind w:left="4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​257,741</w:t>
            </w:r>
          </w:p>
        </w:tc>
        <w:tc>
          <w:tcPr>
            <w:tcW w:w="300" w:type="dxa"/>
            <w:vAlign w:val="bottom"/>
            <w:tcBorders>
              <w:top w:val="single" w:sz="8" w:color="4C4C4C"/>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top w:val="single" w:sz="8" w:color="4C4C4C"/>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4C4C4C"/>
              <w:bottom w:val="single" w:sz="8" w:color="4C4C4C"/>
            </w:tcBorders>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top w:val="single" w:sz="8" w:color="4C4C4C"/>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4C4C4C"/>
              <w:bottom w:val="single" w:sz="8" w:color="4C4C4C"/>
            </w:tcBorders>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4C4C4C"/>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20" w:type="dxa"/>
            <w:vAlign w:val="bottom"/>
            <w:tcBorders>
              <w:bottom w:val="single" w:sz="8" w:color="4C4C4C"/>
            </w:tcBorders>
          </w:tcPr>
          <w:p>
            <w:pPr>
              <w:jc w:val="right"/>
              <w:ind w:right="188"/>
              <w:spacing w:after="0" w:line="183" w:lineRule="exact"/>
              <w:rPr>
                <w:sz w:val="20"/>
                <w:szCs w:val="20"/>
                <w:color w:val="auto"/>
              </w:rPr>
            </w:pPr>
            <w:r>
              <w:rPr>
                <w:rFonts w:ascii="Arial" w:cs="Arial" w:eastAsia="Arial" w:hAnsi="Arial"/>
                <w:sz w:val="14"/>
                <w:szCs w:val="14"/>
                <w:color w:val="auto"/>
              </w:rPr>
              <w:t>44,831</w:t>
            </w:r>
            <w:r>
              <w:rPr>
                <w:rFonts w:ascii="Arial" w:cs="Arial" w:eastAsia="Arial" w:hAnsi="Arial"/>
                <w:sz w:val="17"/>
                <w:szCs w:val="17"/>
                <w:color w:val="auto"/>
                <w:vertAlign w:val="superscript"/>
              </w:rPr>
              <w:t>(12)</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1340" w:type="dxa"/>
            <w:vAlign w:val="bottom"/>
            <w:tcBorders>
              <w:bottom w:val="single" w:sz="8" w:color="4C4C4C"/>
            </w:tcBorders>
            <w:gridSpan w:val="2"/>
          </w:tcPr>
          <w:p>
            <w:pPr>
              <w:ind w:left="4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​186,497</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C4C4C"/>
            </w:tcBorders>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20" w:type="dxa"/>
            <w:vAlign w:val="bottom"/>
            <w:tcBorders>
              <w:bottom w:val="single" w:sz="8" w:color="4C4C4C"/>
            </w:tcBorders>
          </w:tcPr>
          <w:p>
            <w:pPr>
              <w:jc w:val="right"/>
              <w:ind w:right="188"/>
              <w:spacing w:after="0" w:line="183" w:lineRule="exact"/>
              <w:rPr>
                <w:sz w:val="20"/>
                <w:szCs w:val="20"/>
                <w:color w:val="auto"/>
              </w:rPr>
            </w:pPr>
            <w:r>
              <w:rPr>
                <w:rFonts w:ascii="Arial" w:cs="Arial" w:eastAsia="Arial" w:hAnsi="Arial"/>
                <w:sz w:val="14"/>
                <w:szCs w:val="14"/>
                <w:color w:val="auto"/>
              </w:rPr>
              <w:t>26,238</w:t>
            </w:r>
            <w:r>
              <w:rPr>
                <w:rFonts w:ascii="Arial" w:cs="Arial" w:eastAsia="Arial" w:hAnsi="Arial"/>
                <w:sz w:val="17"/>
                <w:szCs w:val="17"/>
                <w:color w:val="auto"/>
                <w:vertAlign w:val="superscript"/>
              </w:rPr>
              <w:t>(13)</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1340" w:type="dxa"/>
            <w:vAlign w:val="bottom"/>
            <w:tcBorders>
              <w:bottom w:val="single" w:sz="8" w:color="4C4C4C"/>
            </w:tcBorders>
            <w:gridSpan w:val="2"/>
          </w:tcPr>
          <w:p>
            <w:pPr>
              <w:ind w:left="4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​109,150</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C4C4C"/>
            </w:tcBorders>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20" w:type="dxa"/>
            <w:vAlign w:val="bottom"/>
            <w:tcBorders>
              <w:bottom w:val="single" w:sz="8" w:color="4C4C4C"/>
            </w:tcBorders>
          </w:tcPr>
          <w:p>
            <w:pPr>
              <w:jc w:val="right"/>
              <w:ind w:right="188"/>
              <w:spacing w:after="0" w:line="183" w:lineRule="exact"/>
              <w:rPr>
                <w:sz w:val="20"/>
                <w:szCs w:val="20"/>
                <w:color w:val="auto"/>
              </w:rPr>
            </w:pPr>
            <w:r>
              <w:rPr>
                <w:rFonts w:ascii="Arial" w:cs="Arial" w:eastAsia="Arial" w:hAnsi="Arial"/>
                <w:sz w:val="14"/>
                <w:szCs w:val="14"/>
                <w:color w:val="auto"/>
              </w:rPr>
              <w:t>25,278</w:t>
            </w:r>
            <w:r>
              <w:rPr>
                <w:rFonts w:ascii="Arial" w:cs="Arial" w:eastAsia="Arial" w:hAnsi="Arial"/>
                <w:sz w:val="17"/>
                <w:szCs w:val="17"/>
                <w:color w:val="auto"/>
                <w:vertAlign w:val="superscript"/>
              </w:rPr>
              <w:t>(13)</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1340" w:type="dxa"/>
            <w:vAlign w:val="bottom"/>
            <w:tcBorders>
              <w:bottom w:val="single" w:sz="8" w:color="4C4C4C"/>
            </w:tcBorders>
            <w:gridSpan w:val="2"/>
          </w:tcPr>
          <w:p>
            <w:pPr>
              <w:ind w:left="4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​105,156</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C4C4C"/>
            </w:tcBorders>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20" w:type="dxa"/>
            <w:vAlign w:val="bottom"/>
            <w:tcBorders>
              <w:bottom w:val="single" w:sz="8" w:color="4C4C4C"/>
            </w:tcBorders>
          </w:tcPr>
          <w:p>
            <w:pPr>
              <w:jc w:val="right"/>
              <w:ind w:right="188"/>
              <w:spacing w:after="0" w:line="183" w:lineRule="exact"/>
              <w:rPr>
                <w:sz w:val="20"/>
                <w:szCs w:val="20"/>
                <w:color w:val="auto"/>
              </w:rPr>
            </w:pPr>
            <w:r>
              <w:rPr>
                <w:rFonts w:ascii="Arial" w:cs="Arial" w:eastAsia="Arial" w:hAnsi="Arial"/>
                <w:sz w:val="14"/>
                <w:szCs w:val="14"/>
                <w:color w:val="auto"/>
              </w:rPr>
              <w:t>21,653</w:t>
            </w:r>
            <w:r>
              <w:rPr>
                <w:rFonts w:ascii="Arial" w:cs="Arial" w:eastAsia="Arial" w:hAnsi="Arial"/>
                <w:sz w:val="17"/>
                <w:szCs w:val="17"/>
                <w:color w:val="auto"/>
                <w:vertAlign w:val="superscript"/>
              </w:rPr>
              <w:t>(13)</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4C4C4C"/>
            </w:tcBorders>
          </w:tcPr>
          <w:p>
            <w:pPr>
              <w:ind w:left="4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820" w:type="dxa"/>
            <w:vAlign w:val="bottom"/>
            <w:tcBorders>
              <w:bottom w:val="single" w:sz="8" w:color="4C4C4C"/>
            </w:tcBorders>
          </w:tcPr>
          <w:p>
            <w:pPr>
              <w:ind w:left="60"/>
              <w:spacing w:after="0"/>
              <w:rPr>
                <w:sz w:val="20"/>
                <w:szCs w:val="20"/>
                <w:color w:val="auto"/>
              </w:rPr>
            </w:pPr>
            <w:r>
              <w:rPr>
                <w:rFonts w:ascii="Arial" w:cs="Arial" w:eastAsia="Arial" w:hAnsi="Arial"/>
                <w:sz w:val="14"/>
                <w:szCs w:val="14"/>
                <w:color w:val="auto"/>
              </w:rPr>
              <w:t>90,076</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C4C4C"/>
            </w:tcBorders>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20" w:type="dxa"/>
            <w:vAlign w:val="bottom"/>
            <w:tcBorders>
              <w:bottom w:val="single" w:sz="8" w:color="4C4C4C"/>
            </w:tcBorders>
          </w:tcPr>
          <w:p>
            <w:pPr>
              <w:jc w:val="right"/>
              <w:ind w:right="188"/>
              <w:spacing w:after="0" w:line="183" w:lineRule="exact"/>
              <w:rPr>
                <w:sz w:val="20"/>
                <w:szCs w:val="20"/>
                <w:color w:val="auto"/>
              </w:rPr>
            </w:pPr>
            <w:r>
              <w:rPr>
                <w:rFonts w:ascii="Arial" w:cs="Arial" w:eastAsia="Arial" w:hAnsi="Arial"/>
                <w:sz w:val="14"/>
                <w:szCs w:val="14"/>
                <w:color w:val="auto"/>
              </w:rPr>
              <w:t>51,446</w:t>
            </w:r>
            <w:r>
              <w:rPr>
                <w:rFonts w:ascii="Arial" w:cs="Arial" w:eastAsia="Arial" w:hAnsi="Arial"/>
                <w:sz w:val="17"/>
                <w:szCs w:val="17"/>
                <w:color w:val="auto"/>
                <w:vertAlign w:val="superscript"/>
              </w:rPr>
              <w:t>(14)</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1340" w:type="dxa"/>
            <w:vAlign w:val="bottom"/>
            <w:tcBorders>
              <w:bottom w:val="single" w:sz="8" w:color="4C4C4C"/>
            </w:tcBorders>
            <w:gridSpan w:val="2"/>
          </w:tcPr>
          <w:p>
            <w:pPr>
              <w:ind w:left="4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​214,015</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C4C4C"/>
            </w:tcBorders>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4C4C4C"/>
            </w:tcBorders>
          </w:tcPr>
          <w:p>
            <w:pPr>
              <w:jc w:val="right"/>
              <w:ind w:right="3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4C4C4C"/>
            </w:tcBorders>
          </w:tcPr>
          <w:p>
            <w:pPr>
              <w:ind w:left="4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40" w:type="dxa"/>
            <w:vAlign w:val="bottom"/>
            <w:tcBorders>
              <w:bottom w:val="single" w:sz="8" w:color="4C4C4C"/>
            </w:tcBorders>
          </w:tcPr>
          <w:p>
            <w:pPr>
              <w:jc w:val="right"/>
              <w:ind w:right="208"/>
              <w:spacing w:after="0" w:line="183" w:lineRule="exact"/>
              <w:rPr>
                <w:sz w:val="20"/>
                <w:szCs w:val="20"/>
                <w:color w:val="auto"/>
              </w:rPr>
            </w:pPr>
            <w:r>
              <w:rPr>
                <w:rFonts w:ascii="Arial" w:cs="Arial" w:eastAsia="Arial" w:hAnsi="Arial"/>
                <w:sz w:val="14"/>
                <w:szCs w:val="14"/>
                <w:color w:val="auto"/>
              </w:rPr>
              <w:t>24,783</w:t>
            </w:r>
            <w:r>
              <w:rPr>
                <w:rFonts w:ascii="Arial" w:cs="Arial" w:eastAsia="Arial" w:hAnsi="Arial"/>
                <w:sz w:val="17"/>
                <w:szCs w:val="17"/>
                <w:color w:val="auto"/>
                <w:vertAlign w:val="superscript"/>
              </w:rPr>
              <w:t>(13)</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1220" w:type="dxa"/>
            <w:vAlign w:val="bottom"/>
            <w:tcBorders>
              <w:bottom w:val="single" w:sz="8" w:color="4C4C4C"/>
            </w:tcBorders>
          </w:tcPr>
          <w:p>
            <w:pPr>
              <w:jc w:val="right"/>
              <w:ind w:right="488"/>
              <w:spacing w:after="0"/>
              <w:rPr>
                <w:sz w:val="20"/>
                <w:szCs w:val="20"/>
                <w:color w:val="auto"/>
              </w:rPr>
            </w:pPr>
            <w:r>
              <w:rPr>
                <w:rFonts w:ascii="Arial" w:cs="Arial" w:eastAsia="Arial" w:hAnsi="Arial"/>
                <w:sz w:val="14"/>
                <w:szCs w:val="14"/>
                <w:color w:val="auto"/>
              </w:rPr>
              <w:t>103,097</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4C4C4C"/>
            </w:tcBorders>
          </w:tcPr>
          <w:p>
            <w:pPr>
              <w:jc w:val="right"/>
              <w:ind w:right="3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4C4C4C"/>
            </w:tcBorders>
          </w:tcPr>
          <w:p>
            <w:pPr>
              <w:ind w:left="4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940" w:type="dxa"/>
            <w:vAlign w:val="bottom"/>
            <w:tcBorders>
              <w:bottom w:val="single" w:sz="8" w:color="4C4C4C"/>
            </w:tcBorders>
          </w:tcPr>
          <w:p>
            <w:pPr>
              <w:jc w:val="right"/>
              <w:ind w:right="208"/>
              <w:spacing w:after="0" w:line="183" w:lineRule="exact"/>
              <w:rPr>
                <w:sz w:val="20"/>
                <w:szCs w:val="20"/>
                <w:color w:val="auto"/>
              </w:rPr>
            </w:pPr>
            <w:r>
              <w:rPr>
                <w:rFonts w:ascii="Arial" w:cs="Arial" w:eastAsia="Arial" w:hAnsi="Arial"/>
                <w:sz w:val="14"/>
                <w:szCs w:val="14"/>
                <w:color w:val="auto"/>
              </w:rPr>
              <w:t>30,934</w:t>
            </w:r>
            <w:r>
              <w:rPr>
                <w:rFonts w:ascii="Arial" w:cs="Arial" w:eastAsia="Arial" w:hAnsi="Arial"/>
                <w:sz w:val="17"/>
                <w:szCs w:val="17"/>
                <w:color w:val="auto"/>
                <w:vertAlign w:val="superscript"/>
              </w:rPr>
              <w:t>(13)</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1220" w:type="dxa"/>
            <w:vAlign w:val="bottom"/>
            <w:tcBorders>
              <w:bottom w:val="single" w:sz="8" w:color="4C4C4C"/>
            </w:tcBorders>
          </w:tcPr>
          <w:p>
            <w:pPr>
              <w:jc w:val="right"/>
              <w:ind w:right="488"/>
              <w:spacing w:after="0"/>
              <w:rPr>
                <w:sz w:val="20"/>
                <w:szCs w:val="20"/>
                <w:color w:val="auto"/>
              </w:rPr>
            </w:pPr>
            <w:r>
              <w:rPr>
                <w:rFonts w:ascii="Arial" w:cs="Arial" w:eastAsia="Arial" w:hAnsi="Arial"/>
                <w:sz w:val="14"/>
                <w:szCs w:val="14"/>
                <w:color w:val="auto"/>
              </w:rPr>
              <w:t>128,685</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4C4C4C"/>
            </w:tcBorders>
          </w:tcPr>
          <w:p>
            <w:pPr>
              <w:jc w:val="right"/>
              <w:ind w:right="3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4C4C4C"/>
            </w:tcBorders>
          </w:tcPr>
          <w:p>
            <w:pPr>
              <w:ind w:left="4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940" w:type="dxa"/>
            <w:vAlign w:val="bottom"/>
            <w:tcBorders>
              <w:bottom w:val="single" w:sz="8" w:color="4C4C4C"/>
            </w:tcBorders>
          </w:tcPr>
          <w:p>
            <w:pPr>
              <w:jc w:val="right"/>
              <w:ind w:right="208"/>
              <w:spacing w:after="0" w:line="183" w:lineRule="exact"/>
              <w:rPr>
                <w:sz w:val="20"/>
                <w:szCs w:val="20"/>
                <w:color w:val="auto"/>
              </w:rPr>
            </w:pPr>
            <w:r>
              <w:rPr>
                <w:rFonts w:ascii="Arial" w:cs="Arial" w:eastAsia="Arial" w:hAnsi="Arial"/>
                <w:sz w:val="14"/>
                <w:szCs w:val="14"/>
                <w:color w:val="auto"/>
              </w:rPr>
              <w:t>49,567</w:t>
            </w:r>
            <w:r>
              <w:rPr>
                <w:rFonts w:ascii="Arial" w:cs="Arial" w:eastAsia="Arial" w:hAnsi="Arial"/>
                <w:sz w:val="17"/>
                <w:szCs w:val="17"/>
                <w:color w:val="auto"/>
                <w:vertAlign w:val="superscript"/>
              </w:rPr>
              <w:t>(14)</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1220" w:type="dxa"/>
            <w:vAlign w:val="bottom"/>
            <w:tcBorders>
              <w:bottom w:val="single" w:sz="8" w:color="4C4C4C"/>
            </w:tcBorders>
          </w:tcPr>
          <w:p>
            <w:pPr>
              <w:jc w:val="right"/>
              <w:ind w:right="488"/>
              <w:spacing w:after="0"/>
              <w:rPr>
                <w:sz w:val="20"/>
                <w:szCs w:val="20"/>
                <w:color w:val="auto"/>
              </w:rPr>
            </w:pPr>
            <w:r>
              <w:rPr>
                <w:rFonts w:ascii="Arial" w:cs="Arial" w:eastAsia="Arial" w:hAnsi="Arial"/>
                <w:sz w:val="14"/>
                <w:szCs w:val="14"/>
                <w:color w:val="auto"/>
              </w:rPr>
              <w:t>206,199</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Borders>
              <w:bottom w:val="single" w:sz="8" w:color="E7417A"/>
            </w:tcBorders>
          </w:tcPr>
          <w:p>
            <w:pPr>
              <w:spacing w:after="0"/>
              <w:rPr>
                <w:sz w:val="15"/>
                <w:szCs w:val="15"/>
                <w:color w:val="auto"/>
              </w:rPr>
            </w:pPr>
          </w:p>
        </w:tc>
        <w:tc>
          <w:tcPr>
            <w:tcW w:w="1500" w:type="dxa"/>
            <w:vAlign w:val="bottom"/>
            <w:tcBorders>
              <w:bottom w:val="single" w:sz="8" w:color="E7417A"/>
            </w:tcBorders>
          </w:tcPr>
          <w:p>
            <w:pPr>
              <w:spacing w:after="0"/>
              <w:rPr>
                <w:sz w:val="15"/>
                <w:szCs w:val="15"/>
                <w:color w:val="auto"/>
              </w:rPr>
            </w:pPr>
          </w:p>
        </w:tc>
        <w:tc>
          <w:tcPr>
            <w:tcW w:w="80" w:type="dxa"/>
            <w:vAlign w:val="bottom"/>
            <w:tcBorders>
              <w:bottom w:val="single" w:sz="8" w:color="E7417A"/>
            </w:tcBorders>
          </w:tcPr>
          <w:p>
            <w:pPr>
              <w:spacing w:after="0"/>
              <w:rPr>
                <w:sz w:val="15"/>
                <w:szCs w:val="15"/>
                <w:color w:val="auto"/>
              </w:rPr>
            </w:pPr>
          </w:p>
        </w:tc>
        <w:tc>
          <w:tcPr>
            <w:tcW w:w="100" w:type="dxa"/>
            <w:vAlign w:val="bottom"/>
            <w:tcBorders>
              <w:bottom w:val="single" w:sz="8" w:color="E7417A"/>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E7417A"/>
            </w:tcBorders>
          </w:tcPr>
          <w:p>
            <w:pPr>
              <w:ind w:left="4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7417A"/>
            </w:tcBorders>
          </w:tcPr>
          <w:p>
            <w:pPr>
              <w:jc w:val="right"/>
              <w:ind w:right="3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E7417A"/>
            </w:tcBorders>
          </w:tcPr>
          <w:p>
            <w:pPr>
              <w:ind w:left="4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7417A"/>
            </w:tcBorders>
          </w:tcPr>
          <w:p>
            <w:pPr>
              <w:ind w:left="5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E7417A"/>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E7417A"/>
            </w:tcBorders>
          </w:tcPr>
          <w:p>
            <w:pPr>
              <w:ind w:left="46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940" w:type="dxa"/>
            <w:vAlign w:val="bottom"/>
            <w:tcBorders>
              <w:bottom w:val="single" w:sz="8" w:color="E7417A"/>
            </w:tcBorders>
          </w:tcPr>
          <w:p>
            <w:pPr>
              <w:jc w:val="right"/>
              <w:ind w:right="208"/>
              <w:spacing w:after="0" w:line="183" w:lineRule="exact"/>
              <w:rPr>
                <w:sz w:val="20"/>
                <w:szCs w:val="20"/>
                <w:color w:val="auto"/>
              </w:rPr>
            </w:pPr>
            <w:r>
              <w:rPr>
                <w:rFonts w:ascii="Arial" w:cs="Arial" w:eastAsia="Arial" w:hAnsi="Arial"/>
                <w:sz w:val="14"/>
                <w:szCs w:val="14"/>
                <w:color w:val="auto"/>
              </w:rPr>
              <w:t>41,244</w:t>
            </w:r>
            <w:r>
              <w:rPr>
                <w:rFonts w:ascii="Arial" w:cs="Arial" w:eastAsia="Arial" w:hAnsi="Arial"/>
                <w:sz w:val="17"/>
                <w:szCs w:val="17"/>
                <w:color w:val="auto"/>
                <w:vertAlign w:val="superscript"/>
              </w:rPr>
              <w:t>(14)</w:t>
            </w:r>
          </w:p>
        </w:tc>
        <w:tc>
          <w:tcPr>
            <w:tcW w:w="22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E7417A"/>
            </w:tcBorders>
          </w:tcPr>
          <w:p>
            <w:pPr>
              <w:ind w:left="6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1220" w:type="dxa"/>
            <w:vAlign w:val="bottom"/>
            <w:tcBorders>
              <w:bottom w:val="single" w:sz="8" w:color="E7417A"/>
            </w:tcBorders>
          </w:tcPr>
          <w:p>
            <w:pPr>
              <w:jc w:val="right"/>
              <w:ind w:right="488"/>
              <w:spacing w:after="0"/>
              <w:rPr>
                <w:sz w:val="20"/>
                <w:szCs w:val="20"/>
                <w:color w:val="auto"/>
              </w:rPr>
            </w:pPr>
            <w:r>
              <w:rPr>
                <w:rFonts w:ascii="Arial" w:cs="Arial" w:eastAsia="Arial" w:hAnsi="Arial"/>
                <w:sz w:val="14"/>
                <w:szCs w:val="14"/>
                <w:color w:val="auto"/>
              </w:rPr>
              <w:t>171,575</w:t>
            </w:r>
          </w:p>
        </w:tc>
        <w:tc>
          <w:tcPr>
            <w:tcW w:w="160" w:type="dxa"/>
            <w:vAlign w:val="bottom"/>
            <w:tcBorders>
              <w:bottom w:val="single" w:sz="8" w:color="E7417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1560" w:type="dxa"/>
            <w:vAlign w:val="bottom"/>
            <w:gridSpan w:val="2"/>
          </w:tcPr>
          <w:p>
            <w:pPr>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Dan Redington</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540" w:type="dxa"/>
            <w:vAlign w:val="bottom"/>
          </w:tcPr>
          <w:p>
            <w:pPr>
              <w:ind w:left="420"/>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41,666</w:t>
            </w:r>
            <w:r>
              <w:rPr>
                <w:rFonts w:ascii="Arial" w:cs="Arial" w:eastAsia="Arial" w:hAnsi="Arial"/>
                <w:sz w:val="17"/>
                <w:szCs w:val="17"/>
                <w:color w:val="auto"/>
                <w:vertAlign w:val="superscript"/>
              </w:rPr>
              <w:t>(15)</w:t>
            </w:r>
          </w:p>
        </w:tc>
        <w:tc>
          <w:tcPr>
            <w:tcW w:w="220" w:type="dxa"/>
            <w:vAlign w:val="bottom"/>
          </w:tcPr>
          <w:p>
            <w:pPr>
              <w:spacing w:after="0"/>
              <w:rPr>
                <w:sz w:val="20"/>
                <w:szCs w:val="20"/>
                <w:color w:val="auto"/>
              </w:rPr>
            </w:pPr>
            <w:r>
              <w:rPr>
                <w:rFonts w:ascii="Arial" w:cs="Arial" w:eastAsia="Arial" w:hAnsi="Arial"/>
                <w:sz w:val="14"/>
                <w:szCs w:val="14"/>
                <w:color w:val="auto"/>
              </w:rPr>
              <w:t>​​ ​</w:t>
            </w:r>
          </w:p>
        </w:tc>
        <w:tc>
          <w:tcPr>
            <w:tcW w:w="1340" w:type="dxa"/>
            <w:vAlign w:val="bottom"/>
            <w:gridSpan w:val="2"/>
          </w:tcPr>
          <w:p>
            <w:pPr>
              <w:ind w:left="400"/>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​173,331</w:t>
            </w:r>
          </w:p>
        </w:tc>
        <w:tc>
          <w:tcPr>
            <w:tcW w:w="300" w:type="dxa"/>
            <w:vAlign w:val="bottom"/>
          </w:tcPr>
          <w:p>
            <w:pPr>
              <w:ind w:left="80"/>
              <w:spacing w:after="0"/>
              <w:rPr>
                <w:sz w:val="20"/>
                <w:szCs w:val="20"/>
                <w:color w:val="auto"/>
              </w:rPr>
            </w:pPr>
            <w:r>
              <w:rPr>
                <w:rFonts w:ascii="Arial" w:cs="Arial" w:eastAsia="Arial" w:hAnsi="Arial"/>
                <w:sz w:val="14"/>
                <w:szCs w:val="14"/>
                <w:color w:val="auto"/>
              </w:rPr>
              <w:t>​ ​ ​</w:t>
            </w:r>
          </w:p>
        </w:tc>
        <w:tc>
          <w:tcPr>
            <w:tcW w:w="580" w:type="dxa"/>
            <w:vAlign w:val="bottom"/>
          </w:tcPr>
          <w:p>
            <w:pPr>
              <w:ind w:left="4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 ​</w:t>
            </w:r>
          </w:p>
        </w:tc>
        <w:tc>
          <w:tcPr>
            <w:tcW w:w="680" w:type="dxa"/>
            <w:vAlign w:val="bottom"/>
          </w:tcPr>
          <w:p>
            <w:pPr>
              <w:ind w:left="60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4C4C4C"/>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4C4C4C"/>
              <w:bottom w:val="single" w:sz="8" w:color="4C4C4C"/>
            </w:tcBorders>
          </w:tcPr>
          <w:p>
            <w:pPr>
              <w:ind w:left="4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20" w:type="dxa"/>
            <w:vAlign w:val="bottom"/>
            <w:tcBorders>
              <w:top w:val="single" w:sz="8" w:color="4C4C4C"/>
              <w:bottom w:val="single" w:sz="8" w:color="4C4C4C"/>
            </w:tcBorders>
          </w:tcPr>
          <w:p>
            <w:pPr>
              <w:jc w:val="right"/>
              <w:ind w:right="188"/>
              <w:spacing w:after="0" w:line="183" w:lineRule="exact"/>
              <w:rPr>
                <w:sz w:val="20"/>
                <w:szCs w:val="20"/>
                <w:color w:val="auto"/>
              </w:rPr>
            </w:pPr>
            <w:r>
              <w:rPr>
                <w:rFonts w:ascii="Arial" w:cs="Arial" w:eastAsia="Arial" w:hAnsi="Arial"/>
                <w:sz w:val="14"/>
                <w:szCs w:val="14"/>
                <w:color w:val="auto"/>
              </w:rPr>
              <w:t>54,212</w:t>
            </w:r>
            <w:r>
              <w:rPr>
                <w:rFonts w:ascii="Arial" w:cs="Arial" w:eastAsia="Arial" w:hAnsi="Arial"/>
                <w:sz w:val="17"/>
                <w:szCs w:val="17"/>
                <w:color w:val="auto"/>
                <w:vertAlign w:val="superscript"/>
              </w:rPr>
              <w:t>(15)</w:t>
            </w:r>
          </w:p>
        </w:tc>
        <w:tc>
          <w:tcPr>
            <w:tcW w:w="22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 ​</w:t>
            </w:r>
          </w:p>
        </w:tc>
        <w:tc>
          <w:tcPr>
            <w:tcW w:w="1340" w:type="dxa"/>
            <w:vAlign w:val="bottom"/>
            <w:tcBorders>
              <w:top w:val="single" w:sz="8" w:color="4C4C4C"/>
              <w:bottom w:val="single" w:sz="8" w:color="4C4C4C"/>
            </w:tcBorders>
            <w:gridSpan w:val="2"/>
          </w:tcPr>
          <w:p>
            <w:pPr>
              <w:ind w:left="4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​225,522</w:t>
            </w:r>
          </w:p>
        </w:tc>
        <w:tc>
          <w:tcPr>
            <w:tcW w:w="300" w:type="dxa"/>
            <w:vAlign w:val="bottom"/>
            <w:tcBorders>
              <w:top w:val="single" w:sz="8" w:color="4C4C4C"/>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top w:val="single" w:sz="8" w:color="4C4C4C"/>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4C4C4C"/>
              <w:bottom w:val="single" w:sz="8" w:color="4C4C4C"/>
            </w:tcBorders>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top w:val="single" w:sz="8" w:color="4C4C4C"/>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4C4C4C"/>
              <w:bottom w:val="single" w:sz="8" w:color="4C4C4C"/>
            </w:tcBorders>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4C4C4C"/>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20" w:type="dxa"/>
            <w:vAlign w:val="bottom"/>
            <w:tcBorders>
              <w:bottom w:val="single" w:sz="8" w:color="4C4C4C"/>
            </w:tcBorders>
          </w:tcPr>
          <w:p>
            <w:pPr>
              <w:jc w:val="right"/>
              <w:ind w:right="188"/>
              <w:spacing w:after="0" w:line="183" w:lineRule="exact"/>
              <w:rPr>
                <w:sz w:val="20"/>
                <w:szCs w:val="20"/>
                <w:color w:val="auto"/>
              </w:rPr>
            </w:pPr>
            <w:r>
              <w:rPr>
                <w:rFonts w:ascii="Arial" w:cs="Arial" w:eastAsia="Arial" w:hAnsi="Arial"/>
                <w:sz w:val="14"/>
                <w:szCs w:val="14"/>
                <w:color w:val="auto"/>
              </w:rPr>
              <w:t>42,194</w:t>
            </w:r>
            <w:r>
              <w:rPr>
                <w:rFonts w:ascii="Arial" w:cs="Arial" w:eastAsia="Arial" w:hAnsi="Arial"/>
                <w:sz w:val="17"/>
                <w:szCs w:val="17"/>
                <w:color w:val="auto"/>
                <w:vertAlign w:val="superscript"/>
              </w:rPr>
              <w:t>(15)</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1340" w:type="dxa"/>
            <w:vAlign w:val="bottom"/>
            <w:tcBorders>
              <w:bottom w:val="single" w:sz="8" w:color="4C4C4C"/>
            </w:tcBorders>
            <w:gridSpan w:val="2"/>
          </w:tcPr>
          <w:p>
            <w:pPr>
              <w:ind w:left="4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​175,527</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C4C4C"/>
            </w:tcBorders>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20" w:type="dxa"/>
            <w:vAlign w:val="bottom"/>
            <w:tcBorders>
              <w:bottom w:val="single" w:sz="8" w:color="4C4C4C"/>
            </w:tcBorders>
          </w:tcPr>
          <w:p>
            <w:pPr>
              <w:jc w:val="right"/>
              <w:ind w:right="188"/>
              <w:spacing w:after="0" w:line="183" w:lineRule="exact"/>
              <w:rPr>
                <w:sz w:val="20"/>
                <w:szCs w:val="20"/>
                <w:color w:val="auto"/>
              </w:rPr>
            </w:pPr>
            <w:r>
              <w:rPr>
                <w:rFonts w:ascii="Arial" w:cs="Arial" w:eastAsia="Arial" w:hAnsi="Arial"/>
                <w:sz w:val="14"/>
                <w:szCs w:val="14"/>
                <w:color w:val="auto"/>
              </w:rPr>
              <w:t>22,119</w:t>
            </w:r>
            <w:r>
              <w:rPr>
                <w:rFonts w:ascii="Arial" w:cs="Arial" w:eastAsia="Arial" w:hAnsi="Arial"/>
                <w:sz w:val="17"/>
                <w:szCs w:val="17"/>
                <w:color w:val="auto"/>
                <w:vertAlign w:val="superscript"/>
              </w:rPr>
              <w:t>(16)</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4C4C4C"/>
            </w:tcBorders>
          </w:tcPr>
          <w:p>
            <w:pPr>
              <w:ind w:left="4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820" w:type="dxa"/>
            <w:vAlign w:val="bottom"/>
            <w:tcBorders>
              <w:bottom w:val="single" w:sz="8" w:color="4C4C4C"/>
            </w:tcBorders>
          </w:tcPr>
          <w:p>
            <w:pPr>
              <w:ind w:left="60"/>
              <w:spacing w:after="0"/>
              <w:rPr>
                <w:sz w:val="20"/>
                <w:szCs w:val="20"/>
                <w:color w:val="auto"/>
              </w:rPr>
            </w:pPr>
            <w:r>
              <w:rPr>
                <w:rFonts w:ascii="Arial" w:cs="Arial" w:eastAsia="Arial" w:hAnsi="Arial"/>
                <w:sz w:val="14"/>
                <w:szCs w:val="14"/>
                <w:color w:val="auto"/>
              </w:rPr>
              <w:t>92,015</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C4C4C"/>
            </w:tcBorders>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20" w:type="dxa"/>
            <w:vAlign w:val="bottom"/>
            <w:tcBorders>
              <w:bottom w:val="single" w:sz="8" w:color="4C4C4C"/>
            </w:tcBorders>
          </w:tcPr>
          <w:p>
            <w:pPr>
              <w:jc w:val="right"/>
              <w:ind w:right="188"/>
              <w:spacing w:after="0" w:line="183" w:lineRule="exact"/>
              <w:rPr>
                <w:sz w:val="20"/>
                <w:szCs w:val="20"/>
                <w:color w:val="auto"/>
              </w:rPr>
            </w:pPr>
            <w:r>
              <w:rPr>
                <w:rFonts w:ascii="Arial" w:cs="Arial" w:eastAsia="Arial" w:hAnsi="Arial"/>
                <w:sz w:val="14"/>
                <w:szCs w:val="14"/>
                <w:color w:val="auto"/>
              </w:rPr>
              <w:t>20,380</w:t>
            </w:r>
            <w:r>
              <w:rPr>
                <w:rFonts w:ascii="Arial" w:cs="Arial" w:eastAsia="Arial" w:hAnsi="Arial"/>
                <w:sz w:val="17"/>
                <w:szCs w:val="17"/>
                <w:color w:val="auto"/>
                <w:vertAlign w:val="superscript"/>
              </w:rPr>
              <w:t>(16)</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4C4C4C"/>
            </w:tcBorders>
          </w:tcPr>
          <w:p>
            <w:pPr>
              <w:ind w:left="4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820" w:type="dxa"/>
            <w:vAlign w:val="bottom"/>
            <w:tcBorders>
              <w:bottom w:val="single" w:sz="8" w:color="4C4C4C"/>
            </w:tcBorders>
          </w:tcPr>
          <w:p>
            <w:pPr>
              <w:ind w:left="60"/>
              <w:spacing w:after="0"/>
              <w:rPr>
                <w:sz w:val="20"/>
                <w:szCs w:val="20"/>
                <w:color w:val="auto"/>
              </w:rPr>
            </w:pPr>
            <w:r>
              <w:rPr>
                <w:rFonts w:ascii="Arial" w:cs="Arial" w:eastAsia="Arial" w:hAnsi="Arial"/>
                <w:sz w:val="14"/>
                <w:szCs w:val="14"/>
                <w:color w:val="auto"/>
              </w:rPr>
              <w:t>84,781</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C4C4C"/>
            </w:tcBorders>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4C4C4C"/>
            </w:tcBorders>
          </w:tcPr>
          <w:p>
            <w:pPr>
              <w:jc w:val="right"/>
              <w:ind w:right="3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4C4C4C"/>
            </w:tcBorders>
          </w:tcPr>
          <w:p>
            <w:pPr>
              <w:ind w:left="4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40" w:type="dxa"/>
            <w:vAlign w:val="bottom"/>
            <w:tcBorders>
              <w:bottom w:val="single" w:sz="8" w:color="4C4C4C"/>
            </w:tcBorders>
          </w:tcPr>
          <w:p>
            <w:pPr>
              <w:jc w:val="right"/>
              <w:ind w:right="208"/>
              <w:spacing w:after="0" w:line="183" w:lineRule="exact"/>
              <w:rPr>
                <w:sz w:val="20"/>
                <w:szCs w:val="20"/>
                <w:color w:val="auto"/>
              </w:rPr>
            </w:pPr>
            <w:r>
              <w:rPr>
                <w:rFonts w:ascii="Arial" w:cs="Arial" w:eastAsia="Arial" w:hAnsi="Arial"/>
                <w:sz w:val="14"/>
                <w:szCs w:val="14"/>
                <w:color w:val="auto"/>
              </w:rPr>
              <w:t>21,685</w:t>
            </w:r>
            <w:r>
              <w:rPr>
                <w:rFonts w:ascii="Arial" w:cs="Arial" w:eastAsia="Arial" w:hAnsi="Arial"/>
                <w:sz w:val="17"/>
                <w:szCs w:val="17"/>
                <w:color w:val="auto"/>
                <w:vertAlign w:val="superscript"/>
              </w:rPr>
              <w:t>(16)</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1220" w:type="dxa"/>
            <w:vAlign w:val="bottom"/>
            <w:tcBorders>
              <w:bottom w:val="single" w:sz="8" w:color="4C4C4C"/>
            </w:tcBorders>
          </w:tcPr>
          <w:p>
            <w:pPr>
              <w:jc w:val="right"/>
              <w:ind w:right="488"/>
              <w:spacing w:after="0"/>
              <w:rPr>
                <w:sz w:val="20"/>
                <w:szCs w:val="20"/>
                <w:color w:val="auto"/>
              </w:rPr>
            </w:pPr>
            <w:r>
              <w:rPr>
                <w:rFonts w:ascii="Arial" w:cs="Arial" w:eastAsia="Arial" w:hAnsi="Arial"/>
                <w:sz w:val="14"/>
                <w:szCs w:val="14"/>
                <w:color w:val="auto"/>
              </w:rPr>
              <w:t>90,210</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4C4C4C"/>
            </w:tcBorders>
          </w:tcPr>
          <w:p>
            <w:pPr>
              <w:jc w:val="right"/>
              <w:ind w:right="3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4C4C4C"/>
            </w:tcBorders>
          </w:tcPr>
          <w:p>
            <w:pPr>
              <w:ind w:left="4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40" w:type="dxa"/>
            <w:vAlign w:val="bottom"/>
            <w:tcBorders>
              <w:bottom w:val="single" w:sz="8" w:color="4C4C4C"/>
            </w:tcBorders>
          </w:tcPr>
          <w:p>
            <w:pPr>
              <w:jc w:val="right"/>
              <w:ind w:right="208"/>
              <w:spacing w:after="0" w:line="183" w:lineRule="exact"/>
              <w:rPr>
                <w:sz w:val="20"/>
                <w:szCs w:val="20"/>
                <w:color w:val="auto"/>
              </w:rPr>
            </w:pPr>
            <w:r>
              <w:rPr>
                <w:rFonts w:ascii="Arial" w:cs="Arial" w:eastAsia="Arial" w:hAnsi="Arial"/>
                <w:sz w:val="14"/>
                <w:szCs w:val="14"/>
                <w:color w:val="auto"/>
              </w:rPr>
              <w:t>29,114</w:t>
            </w:r>
            <w:r>
              <w:rPr>
                <w:rFonts w:ascii="Arial" w:cs="Arial" w:eastAsia="Arial" w:hAnsi="Arial"/>
                <w:sz w:val="17"/>
                <w:szCs w:val="17"/>
                <w:color w:val="auto"/>
                <w:vertAlign w:val="superscript"/>
              </w:rPr>
              <w:t>(16)</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1220" w:type="dxa"/>
            <w:vAlign w:val="bottom"/>
            <w:tcBorders>
              <w:bottom w:val="single" w:sz="8" w:color="4C4C4C"/>
            </w:tcBorders>
          </w:tcPr>
          <w:p>
            <w:pPr>
              <w:jc w:val="right"/>
              <w:ind w:right="488"/>
              <w:spacing w:after="0"/>
              <w:rPr>
                <w:sz w:val="20"/>
                <w:szCs w:val="20"/>
                <w:color w:val="auto"/>
              </w:rPr>
            </w:pPr>
            <w:r>
              <w:rPr>
                <w:rFonts w:ascii="Arial" w:cs="Arial" w:eastAsia="Arial" w:hAnsi="Arial"/>
                <w:sz w:val="14"/>
                <w:szCs w:val="14"/>
                <w:color w:val="auto"/>
              </w:rPr>
              <w:t>121,114</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C4C4C"/>
            </w:tcBorders>
          </w:tcPr>
          <w:p>
            <w:pPr>
              <w:ind w:left="4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4C4C4C"/>
            </w:tcBorders>
          </w:tcPr>
          <w:p>
            <w:pPr>
              <w:jc w:val="right"/>
              <w:ind w:right="3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4C4C4C"/>
            </w:tcBorders>
          </w:tcPr>
          <w:p>
            <w:pPr>
              <w:ind w:left="4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4C4C4C"/>
            </w:tcBorders>
          </w:tcPr>
          <w:p>
            <w:pPr>
              <w:ind w:left="46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40" w:type="dxa"/>
            <w:vAlign w:val="bottom"/>
            <w:tcBorders>
              <w:bottom w:val="single" w:sz="8" w:color="4C4C4C"/>
            </w:tcBorders>
          </w:tcPr>
          <w:p>
            <w:pPr>
              <w:jc w:val="right"/>
              <w:ind w:right="208"/>
              <w:spacing w:after="0" w:line="183" w:lineRule="exact"/>
              <w:rPr>
                <w:sz w:val="20"/>
                <w:szCs w:val="20"/>
                <w:color w:val="auto"/>
              </w:rPr>
            </w:pPr>
            <w:r>
              <w:rPr>
                <w:rFonts w:ascii="Arial" w:cs="Arial" w:eastAsia="Arial" w:hAnsi="Arial"/>
                <w:sz w:val="14"/>
                <w:szCs w:val="14"/>
                <w:color w:val="auto"/>
              </w:rPr>
              <w:t>43,371</w:t>
            </w:r>
            <w:r>
              <w:rPr>
                <w:rFonts w:ascii="Arial" w:cs="Arial" w:eastAsia="Arial" w:hAnsi="Arial"/>
                <w:sz w:val="17"/>
                <w:szCs w:val="17"/>
                <w:color w:val="auto"/>
                <w:vertAlign w:val="superscript"/>
              </w:rPr>
              <w:t>(17)</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C4C4C"/>
            </w:tcBorders>
          </w:tcPr>
          <w:p>
            <w:pPr>
              <w:ind w:left="6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1220" w:type="dxa"/>
            <w:vAlign w:val="bottom"/>
            <w:tcBorders>
              <w:bottom w:val="single" w:sz="8" w:color="4C4C4C"/>
            </w:tcBorders>
          </w:tcPr>
          <w:p>
            <w:pPr>
              <w:jc w:val="right"/>
              <w:ind w:right="488"/>
              <w:spacing w:after="0"/>
              <w:rPr>
                <w:sz w:val="20"/>
                <w:szCs w:val="20"/>
                <w:color w:val="auto"/>
              </w:rPr>
            </w:pPr>
            <w:r>
              <w:rPr>
                <w:rFonts w:ascii="Arial" w:cs="Arial" w:eastAsia="Arial" w:hAnsi="Arial"/>
                <w:sz w:val="14"/>
                <w:szCs w:val="14"/>
                <w:color w:val="auto"/>
              </w:rPr>
              <w:t>180,423</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0" w:type="dxa"/>
            <w:vAlign w:val="bottom"/>
            <w:tcBorders>
              <w:bottom w:val="single" w:sz="8" w:color="E7417A"/>
            </w:tcBorders>
          </w:tcPr>
          <w:p>
            <w:pPr>
              <w:spacing w:after="0"/>
              <w:rPr>
                <w:sz w:val="15"/>
                <w:szCs w:val="15"/>
                <w:color w:val="auto"/>
              </w:rPr>
            </w:pPr>
          </w:p>
        </w:tc>
        <w:tc>
          <w:tcPr>
            <w:tcW w:w="1500" w:type="dxa"/>
            <w:vAlign w:val="bottom"/>
            <w:tcBorders>
              <w:bottom w:val="single" w:sz="8" w:color="E7417A"/>
            </w:tcBorders>
          </w:tcPr>
          <w:p>
            <w:pPr>
              <w:spacing w:after="0"/>
              <w:rPr>
                <w:sz w:val="15"/>
                <w:szCs w:val="15"/>
                <w:color w:val="auto"/>
              </w:rPr>
            </w:pPr>
          </w:p>
        </w:tc>
        <w:tc>
          <w:tcPr>
            <w:tcW w:w="80" w:type="dxa"/>
            <w:vAlign w:val="bottom"/>
            <w:tcBorders>
              <w:bottom w:val="single" w:sz="8" w:color="E7417A"/>
            </w:tcBorders>
          </w:tcPr>
          <w:p>
            <w:pPr>
              <w:spacing w:after="0"/>
              <w:rPr>
                <w:sz w:val="15"/>
                <w:szCs w:val="15"/>
                <w:color w:val="auto"/>
              </w:rPr>
            </w:pPr>
          </w:p>
        </w:tc>
        <w:tc>
          <w:tcPr>
            <w:tcW w:w="100" w:type="dxa"/>
            <w:vAlign w:val="bottom"/>
            <w:tcBorders>
              <w:bottom w:val="single" w:sz="8" w:color="E7417A"/>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E7417A"/>
            </w:tcBorders>
          </w:tcPr>
          <w:p>
            <w:pPr>
              <w:ind w:left="4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7417A"/>
            </w:tcBorders>
          </w:tcPr>
          <w:p>
            <w:pPr>
              <w:jc w:val="right"/>
              <w:ind w:right="3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E7417A"/>
            </w:tcBorders>
          </w:tcPr>
          <w:p>
            <w:pPr>
              <w:ind w:left="4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7417A"/>
            </w:tcBorders>
          </w:tcPr>
          <w:p>
            <w:pPr>
              <w:ind w:left="5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E7417A"/>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bottom w:val="single" w:sz="8" w:color="E7417A"/>
            </w:tcBorders>
          </w:tcPr>
          <w:p>
            <w:pPr>
              <w:ind w:left="46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40" w:type="dxa"/>
            <w:vAlign w:val="bottom"/>
            <w:tcBorders>
              <w:bottom w:val="single" w:sz="8" w:color="E7417A"/>
            </w:tcBorders>
          </w:tcPr>
          <w:p>
            <w:pPr>
              <w:jc w:val="right"/>
              <w:ind w:right="208"/>
              <w:spacing w:after="0" w:line="183" w:lineRule="exact"/>
              <w:rPr>
                <w:sz w:val="20"/>
                <w:szCs w:val="20"/>
                <w:color w:val="auto"/>
              </w:rPr>
            </w:pPr>
            <w:r>
              <w:rPr>
                <w:rFonts w:ascii="Arial" w:cs="Arial" w:eastAsia="Arial" w:hAnsi="Arial"/>
                <w:sz w:val="14"/>
                <w:szCs w:val="14"/>
                <w:color w:val="auto"/>
              </w:rPr>
              <w:t>38,818</w:t>
            </w:r>
            <w:r>
              <w:rPr>
                <w:rFonts w:ascii="Arial" w:cs="Arial" w:eastAsia="Arial" w:hAnsi="Arial"/>
                <w:sz w:val="17"/>
                <w:szCs w:val="17"/>
                <w:color w:val="auto"/>
                <w:vertAlign w:val="superscript"/>
              </w:rPr>
              <w:t>(17)</w:t>
            </w:r>
          </w:p>
        </w:tc>
        <w:tc>
          <w:tcPr>
            <w:tcW w:w="22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E7417A"/>
            </w:tcBorders>
          </w:tcPr>
          <w:p>
            <w:pPr>
              <w:ind w:left="6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1220" w:type="dxa"/>
            <w:vAlign w:val="bottom"/>
            <w:tcBorders>
              <w:bottom w:val="single" w:sz="8" w:color="E7417A"/>
            </w:tcBorders>
          </w:tcPr>
          <w:p>
            <w:pPr>
              <w:jc w:val="right"/>
              <w:ind w:right="488"/>
              <w:spacing w:after="0"/>
              <w:rPr>
                <w:sz w:val="20"/>
                <w:szCs w:val="20"/>
                <w:color w:val="auto"/>
              </w:rPr>
            </w:pPr>
            <w:r>
              <w:rPr>
                <w:rFonts w:ascii="Arial" w:cs="Arial" w:eastAsia="Arial" w:hAnsi="Arial"/>
                <w:sz w:val="14"/>
                <w:szCs w:val="14"/>
                <w:color w:val="auto"/>
              </w:rPr>
              <w:t>161,483</w:t>
            </w:r>
          </w:p>
        </w:tc>
        <w:tc>
          <w:tcPr>
            <w:tcW w:w="160" w:type="dxa"/>
            <w:vAlign w:val="bottom"/>
            <w:tcBorders>
              <w:bottom w:val="single" w:sz="8" w:color="E7417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1560" w:type="dxa"/>
            <w:vAlign w:val="bottom"/>
            <w:gridSpan w:val="2"/>
          </w:tcPr>
          <w:p>
            <w:pPr>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Miguel Lopez</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540" w:type="dxa"/>
            <w:vAlign w:val="bottom"/>
          </w:tcPr>
          <w:p>
            <w:pPr>
              <w:ind w:left="420"/>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18,120</w:t>
            </w:r>
            <w:r>
              <w:rPr>
                <w:rFonts w:ascii="Arial" w:cs="Arial" w:eastAsia="Arial" w:hAnsi="Arial"/>
                <w:sz w:val="17"/>
                <w:szCs w:val="17"/>
                <w:color w:val="auto"/>
                <w:vertAlign w:val="superscript"/>
              </w:rPr>
              <w:t>(18)</w:t>
            </w:r>
          </w:p>
        </w:tc>
        <w:tc>
          <w:tcPr>
            <w:tcW w:w="220" w:type="dxa"/>
            <w:vAlign w:val="bottom"/>
          </w:tcPr>
          <w:p>
            <w:pPr>
              <w:spacing w:after="0"/>
              <w:rPr>
                <w:sz w:val="20"/>
                <w:szCs w:val="20"/>
                <w:color w:val="auto"/>
              </w:rPr>
            </w:pPr>
            <w:r>
              <w:rPr>
                <w:rFonts w:ascii="Arial" w:cs="Arial" w:eastAsia="Arial" w:hAnsi="Arial"/>
                <w:sz w:val="14"/>
                <w:szCs w:val="14"/>
                <w:color w:val="auto"/>
              </w:rPr>
              <w:t>​​ ​</w:t>
            </w:r>
          </w:p>
        </w:tc>
        <w:tc>
          <w:tcPr>
            <w:tcW w:w="1340" w:type="dxa"/>
            <w:vAlign w:val="bottom"/>
            <w:gridSpan w:val="2"/>
          </w:tcPr>
          <w:p>
            <w:pPr>
              <w:ind w:left="400"/>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​116,413</w:t>
            </w:r>
          </w:p>
        </w:tc>
        <w:tc>
          <w:tcPr>
            <w:tcW w:w="300" w:type="dxa"/>
            <w:vAlign w:val="bottom"/>
          </w:tcPr>
          <w:p>
            <w:pPr>
              <w:ind w:left="80"/>
              <w:spacing w:after="0"/>
              <w:rPr>
                <w:sz w:val="20"/>
                <w:szCs w:val="20"/>
                <w:color w:val="auto"/>
              </w:rPr>
            </w:pPr>
            <w:r>
              <w:rPr>
                <w:rFonts w:ascii="Arial" w:cs="Arial" w:eastAsia="Arial" w:hAnsi="Arial"/>
                <w:sz w:val="14"/>
                <w:szCs w:val="14"/>
                <w:color w:val="auto"/>
              </w:rPr>
              <w:t>​ ​ ​</w:t>
            </w:r>
          </w:p>
        </w:tc>
        <w:tc>
          <w:tcPr>
            <w:tcW w:w="580" w:type="dxa"/>
            <w:vAlign w:val="bottom"/>
          </w:tcPr>
          <w:p>
            <w:pPr>
              <w:ind w:left="4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 ​</w:t>
            </w:r>
          </w:p>
        </w:tc>
        <w:tc>
          <w:tcPr>
            <w:tcW w:w="680" w:type="dxa"/>
            <w:vAlign w:val="bottom"/>
          </w:tcPr>
          <w:p>
            <w:pPr>
              <w:ind w:left="60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36"/>
        </w:trPr>
        <w:tc>
          <w:tcPr>
            <w:tcW w:w="60" w:type="dxa"/>
            <w:vAlign w:val="bottom"/>
            <w:tcBorders>
              <w:bottom w:val="single" w:sz="8" w:color="62259D"/>
            </w:tcBorders>
          </w:tcPr>
          <w:p>
            <w:pPr>
              <w:spacing w:after="0"/>
              <w:rPr>
                <w:sz w:val="20"/>
                <w:szCs w:val="20"/>
                <w:color w:val="auto"/>
              </w:rPr>
            </w:pPr>
          </w:p>
        </w:tc>
        <w:tc>
          <w:tcPr>
            <w:tcW w:w="1500" w:type="dxa"/>
            <w:vAlign w:val="bottom"/>
            <w:tcBorders>
              <w:bottom w:val="single" w:sz="8" w:color="62259D"/>
            </w:tcBorders>
          </w:tcPr>
          <w:p>
            <w:pPr>
              <w:spacing w:after="0"/>
              <w:rPr>
                <w:sz w:val="20"/>
                <w:szCs w:val="20"/>
                <w:color w:val="auto"/>
              </w:rPr>
            </w:pPr>
          </w:p>
        </w:tc>
        <w:tc>
          <w:tcPr>
            <w:tcW w:w="80" w:type="dxa"/>
            <w:vAlign w:val="bottom"/>
            <w:tcBorders>
              <w:bottom w:val="single" w:sz="8" w:color="62259D"/>
            </w:tcBorders>
          </w:tcPr>
          <w:p>
            <w:pPr>
              <w:spacing w:after="0"/>
              <w:rPr>
                <w:sz w:val="20"/>
                <w:szCs w:val="20"/>
                <w:color w:val="auto"/>
              </w:rPr>
            </w:pPr>
          </w:p>
        </w:tc>
        <w:tc>
          <w:tcPr>
            <w:tcW w:w="100" w:type="dxa"/>
            <w:vAlign w:val="bottom"/>
            <w:tcBorders>
              <w:top w:val="single" w:sz="8" w:color="4C4C4C"/>
              <w:bottom w:val="single" w:sz="8" w:color="62259D"/>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4C4C4C"/>
              <w:bottom w:val="single" w:sz="8" w:color="62259D"/>
            </w:tcBorders>
          </w:tcPr>
          <w:p>
            <w:pPr>
              <w:ind w:left="4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4C4C4C"/>
              <w:bottom w:val="single" w:sz="8" w:color="62259D"/>
            </w:tcBorders>
          </w:tcPr>
          <w:p>
            <w:pPr>
              <w:jc w:val="right"/>
              <w:ind w:right="30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4C4C4C"/>
              <w:bottom w:val="single" w:sz="8" w:color="62259D"/>
            </w:tcBorders>
          </w:tcPr>
          <w:p>
            <w:pPr>
              <w:spacing w:after="0"/>
              <w:rPr>
                <w:sz w:val="20"/>
                <w:szCs w:val="20"/>
                <w:color w:val="auto"/>
              </w:rPr>
            </w:pPr>
            <w:r>
              <w:rPr>
                <w:rFonts w:ascii="Arial" w:cs="Arial" w:eastAsia="Arial" w:hAnsi="Arial"/>
                <w:sz w:val="14"/>
                <w:szCs w:val="14"/>
                <w:color w:val="auto"/>
              </w:rPr>
              <w:t>​​ ​</w:t>
            </w:r>
          </w:p>
        </w:tc>
        <w:tc>
          <w:tcPr>
            <w:tcW w:w="520" w:type="dxa"/>
            <w:vAlign w:val="bottom"/>
            <w:tcBorders>
              <w:top w:val="single" w:sz="8" w:color="4C4C4C"/>
              <w:bottom w:val="single" w:sz="8" w:color="62259D"/>
            </w:tcBorders>
          </w:tcPr>
          <w:p>
            <w:pPr>
              <w:ind w:left="40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4C4C4C"/>
              <w:bottom w:val="single" w:sz="8" w:color="62259D"/>
            </w:tcBorders>
          </w:tcPr>
          <w:p>
            <w:pPr>
              <w:ind w:left="50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4C4C4C"/>
              <w:bottom w:val="single" w:sz="8" w:color="62259D"/>
            </w:tcBorders>
          </w:tcPr>
          <w:p>
            <w:pPr>
              <w:ind w:left="80"/>
              <w:spacing w:after="0"/>
              <w:rPr>
                <w:sz w:val="20"/>
                <w:szCs w:val="20"/>
                <w:color w:val="auto"/>
              </w:rPr>
            </w:pPr>
            <w:r>
              <w:rPr>
                <w:rFonts w:ascii="Arial" w:cs="Arial" w:eastAsia="Arial" w:hAnsi="Arial"/>
                <w:sz w:val="14"/>
                <w:szCs w:val="14"/>
                <w:color w:val="auto"/>
              </w:rPr>
              <w:t>​ ​ ​</w:t>
            </w:r>
          </w:p>
        </w:tc>
        <w:tc>
          <w:tcPr>
            <w:tcW w:w="580" w:type="dxa"/>
            <w:vAlign w:val="bottom"/>
            <w:tcBorders>
              <w:top w:val="single" w:sz="8" w:color="4C4C4C"/>
              <w:bottom w:val="single" w:sz="8" w:color="62259D"/>
            </w:tcBorders>
          </w:tcPr>
          <w:p>
            <w:pPr>
              <w:ind w:left="46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bscript"/>
              </w:rPr>
              <w:t>​</w:t>
            </w:r>
          </w:p>
        </w:tc>
        <w:tc>
          <w:tcPr>
            <w:tcW w:w="940" w:type="dxa"/>
            <w:vAlign w:val="bottom"/>
            <w:tcBorders>
              <w:top w:val="single" w:sz="8" w:color="4C4C4C"/>
              <w:bottom w:val="single" w:sz="8" w:color="62259D"/>
            </w:tcBorders>
          </w:tcPr>
          <w:p>
            <w:pPr>
              <w:jc w:val="right"/>
              <w:ind w:right="208"/>
              <w:spacing w:after="0"/>
              <w:rPr>
                <w:sz w:val="20"/>
                <w:szCs w:val="20"/>
                <w:color w:val="auto"/>
              </w:rPr>
            </w:pPr>
            <w:r>
              <w:rPr>
                <w:rFonts w:ascii="Arial" w:cs="Arial" w:eastAsia="Arial" w:hAnsi="Arial"/>
                <w:sz w:val="14"/>
                <w:szCs w:val="14"/>
                <w:color w:val="auto"/>
              </w:rPr>
              <w:t>37,910</w:t>
            </w:r>
            <w:r>
              <w:rPr>
                <w:rFonts w:ascii="Arial" w:cs="Arial" w:eastAsia="Arial" w:hAnsi="Arial"/>
                <w:sz w:val="17"/>
                <w:szCs w:val="17"/>
                <w:color w:val="auto"/>
                <w:vertAlign w:val="superscript"/>
              </w:rPr>
              <w:t>(19)</w:t>
            </w:r>
          </w:p>
        </w:tc>
        <w:tc>
          <w:tcPr>
            <w:tcW w:w="220" w:type="dxa"/>
            <w:vAlign w:val="bottom"/>
            <w:tcBorders>
              <w:top w:val="single" w:sz="8" w:color="4C4C4C"/>
              <w:bottom w:val="single" w:sz="8" w:color="62259D"/>
            </w:tcBorders>
          </w:tcPr>
          <w:p>
            <w:pPr>
              <w:spacing w:after="0"/>
              <w:rPr>
                <w:sz w:val="20"/>
                <w:szCs w:val="20"/>
                <w:color w:val="auto"/>
              </w:rPr>
            </w:pPr>
            <w:r>
              <w:rPr>
                <w:rFonts w:ascii="Arial" w:cs="Arial" w:eastAsia="Arial" w:hAnsi="Arial"/>
                <w:sz w:val="14"/>
                <w:szCs w:val="14"/>
                <w:color w:val="auto"/>
              </w:rPr>
              <w:t>​​ ​</w:t>
            </w:r>
          </w:p>
        </w:tc>
        <w:tc>
          <w:tcPr>
            <w:tcW w:w="680" w:type="dxa"/>
            <w:vAlign w:val="bottom"/>
            <w:tcBorders>
              <w:top w:val="single" w:sz="8" w:color="4C4C4C"/>
              <w:bottom w:val="single" w:sz="8" w:color="62259D"/>
            </w:tcBorders>
          </w:tcPr>
          <w:p>
            <w:pPr>
              <w:ind w:left="60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bscript"/>
              </w:rPr>
              <w:t>​</w:t>
            </w:r>
          </w:p>
        </w:tc>
        <w:tc>
          <w:tcPr>
            <w:tcW w:w="1220" w:type="dxa"/>
            <w:vAlign w:val="bottom"/>
            <w:tcBorders>
              <w:top w:val="single" w:sz="8" w:color="4C4C4C"/>
              <w:bottom w:val="single" w:sz="8" w:color="62259D"/>
            </w:tcBorders>
          </w:tcPr>
          <w:p>
            <w:pPr>
              <w:jc w:val="right"/>
              <w:ind w:right="488"/>
              <w:spacing w:after="0"/>
              <w:rPr>
                <w:sz w:val="20"/>
                <w:szCs w:val="20"/>
                <w:color w:val="auto"/>
              </w:rPr>
            </w:pPr>
            <w:r>
              <w:rPr>
                <w:rFonts w:ascii="Arial" w:cs="Arial" w:eastAsia="Arial" w:hAnsi="Arial"/>
                <w:sz w:val="14"/>
                <w:szCs w:val="14"/>
                <w:color w:val="auto"/>
              </w:rPr>
              <w:t>157,510</w:t>
            </w:r>
          </w:p>
        </w:tc>
        <w:tc>
          <w:tcPr>
            <w:tcW w:w="160" w:type="dxa"/>
            <w:vAlign w:val="bottom"/>
            <w:tcBorders>
              <w:top w:val="single" w:sz="8" w:color="4C4C4C"/>
              <w:bottom w:val="single" w:sz="8" w:color="62259D"/>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46"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63" w:lineRule="exact"/>
        <w:rPr>
          <w:sz w:val="20"/>
          <w:szCs w:val="20"/>
          <w:color w:val="auto"/>
        </w:rPr>
      </w:pPr>
    </w:p>
    <w:p>
      <w:pPr>
        <w:ind w:left="1400" w:right="99" w:hanging="368"/>
        <w:spacing w:after="0" w:line="305" w:lineRule="auto"/>
        <w:tabs>
          <w:tab w:leader="none" w:pos="14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In accordance with SEC rules, the market value of unvested restricted stock units was determined by multiplying the number of such shares by $4.16, the closing market price of our common stock on December 31, 2024.</w:t>
      </w:r>
    </w:p>
    <w:p>
      <w:pPr>
        <w:spacing w:after="0" w:line="9" w:lineRule="exact"/>
        <w:rPr>
          <w:rFonts w:ascii="Arial" w:cs="Arial" w:eastAsia="Arial" w:hAnsi="Arial"/>
          <w:sz w:val="14"/>
          <w:szCs w:val="14"/>
          <w:color w:val="auto"/>
        </w:rPr>
      </w:pPr>
    </w:p>
    <w:p>
      <w:pPr>
        <w:ind w:left="1400" w:right="459" w:hanging="368"/>
        <w:spacing w:after="0" w:line="285" w:lineRule="auto"/>
        <w:tabs>
          <w:tab w:leader="none" w:pos="14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Of Mr. McClelland’s 103,261 unvested RSUs, 34,420 will vest on April 17, 2025, 34,421 will vest on October 17, 2025 and 34,420 will vest on April 17, 2026. All of Mr. McClelland’s 237,341 unvested RSUs will vest on May 16, 2025.</w:t>
      </w:r>
    </w:p>
    <w:p>
      <w:pPr>
        <w:spacing w:after="0" w:line="22" w:lineRule="exact"/>
        <w:rPr>
          <w:rFonts w:ascii="Arial" w:cs="Arial" w:eastAsia="Arial" w:hAnsi="Arial"/>
          <w:sz w:val="14"/>
          <w:szCs w:val="14"/>
          <w:color w:val="auto"/>
        </w:rPr>
      </w:pPr>
    </w:p>
    <w:p>
      <w:pPr>
        <w:ind w:left="1400" w:right="119" w:hanging="368"/>
        <w:spacing w:after="0" w:line="261" w:lineRule="auto"/>
        <w:tabs>
          <w:tab w:leader="none" w:pos="14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42,132 unvested stock units represent the number of shares underlying Mr. McClelland’s unvested 2023 Annual PSUs based on 2023 and 2024 performance and the 41,305 unearned stock units represent shares underlying 2023 Annual PSUs that will vest upon achievement of target performance goals in a future performance period; any shares earned under the 2023 Annual PSUs will vest on April 17, 2026. The 114,637 unvested stock units represent the number of shares underlying</w:t>
      </w:r>
    </w:p>
    <w:p>
      <w:pPr>
        <w:spacing w:after="0" w:line="2" w:lineRule="exact"/>
        <w:rPr>
          <w:rFonts w:ascii="Arial" w:cs="Arial" w:eastAsia="Arial" w:hAnsi="Arial"/>
          <w:sz w:val="14"/>
          <w:szCs w:val="14"/>
          <w:color w:val="auto"/>
        </w:rPr>
      </w:pPr>
    </w:p>
    <w:p>
      <w:pPr>
        <w:ind w:left="1400" w:right="319"/>
        <w:spacing w:after="0" w:line="262" w:lineRule="auto"/>
        <w:rPr>
          <w:rFonts w:ascii="Arial" w:cs="Arial" w:eastAsia="Arial" w:hAnsi="Arial"/>
          <w:sz w:val="14"/>
          <w:szCs w:val="14"/>
          <w:color w:val="auto"/>
        </w:rPr>
      </w:pPr>
      <w:r>
        <w:rPr>
          <w:rFonts w:ascii="Arial" w:cs="Arial" w:eastAsia="Arial" w:hAnsi="Arial"/>
          <w:sz w:val="14"/>
          <w:szCs w:val="14"/>
          <w:color w:val="auto"/>
        </w:rPr>
        <w:t>Mr. McClelland’s unvested 2024 Annual PSUs based on 2024 performance and the 163,766 unearned stock units represent shares underlying 2024 Annual PSUs that will vest upon achievement of target performance goals in a future performance period; any shares earned under the 2024 Annual PSUs will vest on May 15, 2026.</w:t>
      </w:r>
    </w:p>
    <w:p>
      <w:pPr>
        <w:spacing w:after="0" w:line="39" w:lineRule="exact"/>
        <w:rPr>
          <w:rFonts w:ascii="Arial" w:cs="Arial" w:eastAsia="Arial" w:hAnsi="Arial"/>
          <w:sz w:val="14"/>
          <w:szCs w:val="14"/>
          <w:color w:val="auto"/>
        </w:rPr>
      </w:pPr>
    </w:p>
    <w:p>
      <w:pPr>
        <w:ind w:left="1400" w:right="199" w:hanging="368"/>
        <w:spacing w:after="0" w:line="267" w:lineRule="auto"/>
        <w:tabs>
          <w:tab w:leader="none" w:pos="14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82,611 unvested stock units represent the shares underlying Mr. McClelland’s unvested 2023 Annual PSUs based on relative TSR, which have a three-year performance period, and that will vest upon achievement of target performance; shares earned, if any, will vest on April 17, 2026. The 218,354 unvested stock units represent the shares underlying Mr. McClelland’s unvested 2024 Annual PSUs based on relative TSR, which have a three-year performance period, and that will vest upon achievement of target performance; shares earned, if any, will vest on May 15, 2027.</w:t>
      </w:r>
    </w:p>
    <w:p>
      <w:pPr>
        <w:spacing w:after="0" w:line="35" w:lineRule="exact"/>
        <w:rPr>
          <w:rFonts w:ascii="Arial" w:cs="Arial" w:eastAsia="Arial" w:hAnsi="Arial"/>
          <w:sz w:val="14"/>
          <w:szCs w:val="14"/>
          <w:color w:val="auto"/>
        </w:rPr>
      </w:pPr>
    </w:p>
    <w:p>
      <w:pPr>
        <w:ind w:left="1400" w:right="319" w:hanging="368"/>
        <w:spacing w:after="0" w:line="285" w:lineRule="auto"/>
        <w:tabs>
          <w:tab w:leader="none" w:pos="14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Of Mr. Townsend’s 230,769 unvested RSUs, 128,205 will vest on October 15, 2025 and 25,641 will vest on each of April 15, 2026, October 15, 2026, April 15, 2027 and October 15, 2027.</w:t>
      </w:r>
    </w:p>
    <w:p>
      <w:pPr>
        <w:spacing w:after="0" w:line="22" w:lineRule="exact"/>
        <w:rPr>
          <w:rFonts w:ascii="Arial" w:cs="Arial" w:eastAsia="Arial" w:hAnsi="Arial"/>
          <w:sz w:val="14"/>
          <w:szCs w:val="14"/>
          <w:color w:val="auto"/>
        </w:rPr>
      </w:pPr>
    </w:p>
    <w:p>
      <w:pPr>
        <w:ind w:left="1400" w:right="319" w:hanging="368"/>
        <w:spacing w:after="0" w:line="297" w:lineRule="auto"/>
        <w:tabs>
          <w:tab w:leader="none" w:pos="14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138,461 unearned stock units represent shares underlying 2024 Annual PSUs that will vest upon achievement of target performance goals in future performance periods; any shares earned under the 2024 Annual PSUs will vest on March 15, 2028.</w:t>
      </w:r>
    </w:p>
    <w:p>
      <w:pPr>
        <w:spacing w:after="0" w:line="195" w:lineRule="exact"/>
        <w:rPr>
          <w:rFonts w:ascii="Arial" w:cs="Arial" w:eastAsia="Arial" w:hAnsi="Arial"/>
          <w:sz w:val="14"/>
          <w:szCs w:val="14"/>
          <w:color w:val="auto"/>
        </w:rPr>
      </w:pPr>
    </w:p>
    <w:p>
      <w:pPr>
        <w:jc w:val="both"/>
        <w:ind w:left="1400" w:right="179" w:hanging="368"/>
        <w:spacing w:after="0" w:line="285" w:lineRule="auto"/>
        <w:tabs>
          <w:tab w:leader="none" w:pos="14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314,583 unvested stock units represent the shares underlying the Townsend Sign-On PSUs which have vesting based on both the achievement of stock price targets and the passage of time; shares earned, if any, will vest before October 15, 2028.</w:t>
      </w:r>
    </w:p>
    <w:p>
      <w:pPr>
        <w:spacing w:after="0" w:line="22" w:lineRule="exact"/>
        <w:rPr>
          <w:rFonts w:ascii="Arial" w:cs="Arial" w:eastAsia="Arial" w:hAnsi="Arial"/>
          <w:sz w:val="14"/>
          <w:szCs w:val="14"/>
          <w:color w:val="auto"/>
        </w:rPr>
      </w:pPr>
    </w:p>
    <w:p>
      <w:pPr>
        <w:ind w:left="1400" w:right="199" w:hanging="368"/>
        <w:spacing w:after="0" w:line="283" w:lineRule="auto"/>
        <w:tabs>
          <w:tab w:leader="none" w:pos="14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92,308 unvested stock units represent the shares underlying Mr. Townsend’s unvested 2024 Annual PSUs based on relative TSR, which have a performance period running from October 15, 2024 through December 31, 2027, and that will vest upon achievement of target performance; shares earned, if any, will vest on March 15, 2028.</w:t>
      </w:r>
    </w:p>
    <w:p>
      <w:pPr>
        <w:spacing w:after="0" w:line="24" w:lineRule="exact"/>
        <w:rPr>
          <w:rFonts w:ascii="Arial" w:cs="Arial" w:eastAsia="Arial" w:hAnsi="Arial"/>
          <w:sz w:val="14"/>
          <w:szCs w:val="14"/>
          <w:color w:val="auto"/>
        </w:rPr>
      </w:pPr>
    </w:p>
    <w:p>
      <w:pPr>
        <w:ind w:left="1400" w:right="99" w:hanging="368"/>
        <w:spacing w:after="0" w:line="273" w:lineRule="auto"/>
        <w:tabs>
          <w:tab w:leader="none" w:pos="14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26,709 unvested RSUs will vest on April 18, 2025. Of Mr. Bucci’s 77,446 unvested RSUs, 25,815 will vest on April 17, 2025, 25,816 will vest on October 17, 2025 and 25,815 will vest on April 17, 2026. All of Mr. Bucci’s 52,742 unvested RSUs will vest on May 16, 2025.</w:t>
      </w:r>
    </w:p>
    <w:p>
      <w:pPr>
        <w:spacing w:after="0" w:line="31" w:lineRule="exact"/>
        <w:rPr>
          <w:rFonts w:ascii="Arial" w:cs="Arial" w:eastAsia="Arial" w:hAnsi="Arial"/>
          <w:sz w:val="14"/>
          <w:szCs w:val="14"/>
          <w:color w:val="auto"/>
        </w:rPr>
      </w:pPr>
    </w:p>
    <w:p>
      <w:pPr>
        <w:ind w:left="1400" w:right="119" w:hanging="368"/>
        <w:spacing w:after="0" w:line="259" w:lineRule="auto"/>
        <w:tabs>
          <w:tab w:leader="none" w:pos="14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32,799 unvested stock units represent the number of shares underlying Mr. Bucci’s unvested 2022 Annual PSUs based on actual 2022, 2023 and 2024 performance; these shares vested on March 15, 2025. The 31,598 unvested stock units represent the number of shares underlying Mr. Bucci’s unvested 2023 Annual PSUs based on actual 2023 and 2024 performance and the 30,979 unearned stock units represent shares underlying 2023 Annual PSUs that will vest upon achievement of target performance goals in a future performance period; any shares earned under the 2023 Annual PSUs will vest on April 17, 2026. The 24,575 unvested stock units represent the number of shares underlying Mr. Bucci’s unvested 2024 Annual PSUs based on 2024 performance and the 36,393 unearned stock units represent shares underlying 2024 Annual PSUs that will vest upon achievement of target performance goals in a future performance period; any shares earned under the 2024 Annual PSUs will vest on May 15, 2026.</w:t>
      </w:r>
    </w:p>
    <w:p>
      <w:pPr>
        <w:spacing w:after="0" w:line="216" w:lineRule="exact"/>
        <w:rPr>
          <w:rFonts w:ascii="Arial" w:cs="Arial" w:eastAsia="Arial" w:hAnsi="Arial"/>
          <w:sz w:val="14"/>
          <w:szCs w:val="14"/>
          <w:color w:val="auto"/>
        </w:rPr>
      </w:pPr>
    </w:p>
    <w:p>
      <w:pPr>
        <w:ind w:left="1400" w:right="259" w:hanging="368"/>
        <w:spacing w:after="0" w:line="262" w:lineRule="auto"/>
        <w:tabs>
          <w:tab w:leader="none" w:pos="14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64,308 unvested stock units represent the shares underlying Mr. Bucci’s unvested 2022 Annual PSUs based on relative TSR for the three-year period ended December 31, 2024; these shares vested on March 15, 2025. The 61,958 unvested stock units represent the shares underlying Mr. Bucci’s unvested 2023 Annual PSUs based on relative TSR, which have a three-year performance period, and that will vest upon achievement of target performance; shares earned, if any, will vest on April 17, 2026. The 48,523 unvested stock units represent the shares underlying Mr. Bucci’s unvested 2024 Annual PSUs based on relative TSR, which have a three-year performance period, and that will vest upon achievement of target performance; shares earned, if any, will vest on May 15, 2027.</w:t>
      </w:r>
    </w:p>
    <w:p>
      <w:pPr>
        <w:spacing w:after="0" w:line="38" w:lineRule="exact"/>
        <w:rPr>
          <w:rFonts w:ascii="Arial" w:cs="Arial" w:eastAsia="Arial" w:hAnsi="Arial"/>
          <w:sz w:val="14"/>
          <w:szCs w:val="14"/>
          <w:color w:val="auto"/>
        </w:rPr>
      </w:pPr>
    </w:p>
    <w:p>
      <w:pPr>
        <w:ind w:left="1400" w:right="279" w:hanging="368"/>
        <w:spacing w:after="0" w:line="273" w:lineRule="auto"/>
        <w:tabs>
          <w:tab w:leader="none" w:pos="14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21,367 unvested RSUs will vest on April 18, 2025. Of Mr. Macken’s 61,957 unvested RSUs, 20,653 will vest on April 17, 2025, and 20,652 will vest on each of October 17, 2025 and April 17, 2026. All of Mr. Macken’s 44,831 unvested RSUs will vest on May 16, 2025.</w:t>
      </w:r>
    </w:p>
    <w:p>
      <w:pPr>
        <w:spacing w:after="0" w:line="31" w:lineRule="exact"/>
        <w:rPr>
          <w:rFonts w:ascii="Arial" w:cs="Arial" w:eastAsia="Arial" w:hAnsi="Arial"/>
          <w:sz w:val="14"/>
          <w:szCs w:val="14"/>
          <w:color w:val="auto"/>
        </w:rPr>
      </w:pPr>
    </w:p>
    <w:p>
      <w:pPr>
        <w:ind w:left="1400" w:right="159" w:hanging="368"/>
        <w:spacing w:after="0" w:line="262" w:lineRule="auto"/>
        <w:tabs>
          <w:tab w:leader="none" w:pos="14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26,238 unvested stock units represent the number of shares underlying Mr. Macken’s unvested 2022 Annual PSUs based on actual 2022, 2023 and 2024 performance; these shares vested on March 15, 2025. The 25,278 unvested stock units represent the number of shares underlying Mr. Macken’s unvested 2023 Annual PSUs based on actual 2023 and 2024 performance and the 24,783 unearned stock units represent shares underlying 2023 Annual PSUs that will vest upon achievement of target performance goals in a future performance period; any shares earned under the 2023 Annual PSUs will vest on April 17, 2026. The 21,653 unvested stock units represent the number of shares underlying Mr. Macken’s unvested 2024 Annual PSUs based on 2024 performance and the 30,934 unearned stock units represent shares underlying 2024 Annual PSUs that will vest upon achievement of target performance goals in a future performance period; any shares earned under the 2024 Annual PSUs will vest on May 15, 2026.</w:t>
      </w:r>
    </w:p>
    <w:p>
      <w:pPr>
        <w:spacing w:after="0" w:line="213" w:lineRule="exact"/>
        <w:rPr>
          <w:rFonts w:ascii="Arial" w:cs="Arial" w:eastAsia="Arial" w:hAnsi="Arial"/>
          <w:sz w:val="14"/>
          <w:szCs w:val="14"/>
          <w:color w:val="auto"/>
        </w:rPr>
      </w:pPr>
    </w:p>
    <w:p>
      <w:pPr>
        <w:ind w:left="1400" w:right="139" w:hanging="368"/>
        <w:spacing w:after="0" w:line="262" w:lineRule="auto"/>
        <w:tabs>
          <w:tab w:leader="none" w:pos="14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51,446 unvested stock units represent the shares underlying Mr. Macken’s unvested 2022 Annual PSUs based on relative TSR for the three-year period ended December 31, 2024; these shares vested on March 15, 2025. The 49,567 unvested stock units represent the shares underlying Mr. Macken’s unvested 2023 Annual PSUs based on relative TSR, which have a three-year performance period, and that will vest upon achievement of target performance; shares earned, if any, will vest on April 17, 2026. The 41,244 unvested stock units represent the shares underlying Mr. Macken’s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56</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63" w:lineRule="exact"/>
        <w:rPr>
          <w:sz w:val="20"/>
          <w:szCs w:val="20"/>
          <w:color w:val="auto"/>
        </w:rPr>
      </w:pPr>
    </w:p>
    <w:p>
      <w:pPr>
        <w:ind w:left="1400" w:right="479"/>
        <w:spacing w:after="0" w:line="305" w:lineRule="auto"/>
        <w:rPr>
          <w:sz w:val="20"/>
          <w:szCs w:val="20"/>
          <w:color w:val="auto"/>
        </w:rPr>
      </w:pPr>
      <w:r>
        <w:rPr>
          <w:rFonts w:ascii="Arial" w:cs="Arial" w:eastAsia="Arial" w:hAnsi="Arial"/>
          <w:sz w:val="14"/>
          <w:szCs w:val="14"/>
          <w:color w:val="auto"/>
        </w:rPr>
        <w:t>unvested 2024 Annual PSUs based on relative TSR, which have a three-year performance period, and that will vest upon achievement of target performance; shares earned, if any, will vest on May 15, 2027.</w:t>
      </w:r>
    </w:p>
    <w:p>
      <w:pPr>
        <w:spacing w:after="0" w:line="9" w:lineRule="exact"/>
        <w:rPr>
          <w:sz w:val="20"/>
          <w:szCs w:val="20"/>
          <w:color w:val="auto"/>
        </w:rPr>
      </w:pPr>
    </w:p>
    <w:p>
      <w:pPr>
        <w:ind w:left="1400" w:right="379" w:hanging="368"/>
        <w:spacing w:after="0" w:line="273" w:lineRule="auto"/>
        <w:tabs>
          <w:tab w:leader="none" w:pos="140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Of Mr. Redington’s 41,666 unvested RSUs, 20,833 will vest on June 15, 2025 and the remaining 20,833 will vest on December 15, 2025. Of Mr. Redington’s 54,212 unvested RSUs, 18,071 will vest on April 17, 2025, 18,071 will vest on October 17, 2025 and 18,070 will vest on April 17, 2026. All of Mr. Redington’s 42,194 unvested RSUs will vest on May 16, 2025.</w:t>
      </w:r>
    </w:p>
    <w:p>
      <w:pPr>
        <w:spacing w:after="0" w:line="206" w:lineRule="exact"/>
        <w:rPr>
          <w:rFonts w:ascii="Arial" w:cs="Arial" w:eastAsia="Arial" w:hAnsi="Arial"/>
          <w:sz w:val="14"/>
          <w:szCs w:val="14"/>
          <w:color w:val="auto"/>
        </w:rPr>
      </w:pPr>
    </w:p>
    <w:p>
      <w:pPr>
        <w:ind w:left="1400" w:right="139" w:hanging="368"/>
        <w:spacing w:after="0" w:line="262" w:lineRule="auto"/>
        <w:tabs>
          <w:tab w:leader="none" w:pos="140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22,119 unvested stock units represent the number of shares underlying Mr. Redington’s unvested 2023 Annual PSUs based on actual 2023 and 2024 performance and the 21,685 unearned stock units represent shares underlying 2023 Annual PSUs that will vest upon achievement of target performance goals in a future performance period; any shares earned under the 2023 Annual PSUs will vest on April 17, 2026. The 20,380 unvested stock units represent the number of shares underlying Mr. Redington’s unvested 2024 Annual PSUs based on 2024 performance and the 29,114 unearned stock units represent shares underlying 2024 Annual PSUs that will vest upon achievement of target performance goals in a future performance period; any shares earned under the 2024 Annual PSUs will vest on May 15, 2026.</w:t>
      </w:r>
    </w:p>
    <w:p>
      <w:pPr>
        <w:spacing w:after="0" w:line="38" w:lineRule="exact"/>
        <w:rPr>
          <w:rFonts w:ascii="Arial" w:cs="Arial" w:eastAsia="Arial" w:hAnsi="Arial"/>
          <w:sz w:val="14"/>
          <w:szCs w:val="14"/>
          <w:color w:val="auto"/>
        </w:rPr>
      </w:pPr>
    </w:p>
    <w:p>
      <w:pPr>
        <w:ind w:left="1400" w:right="199" w:hanging="368"/>
        <w:spacing w:after="0" w:line="262" w:lineRule="auto"/>
        <w:tabs>
          <w:tab w:leader="none" w:pos="140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43,371 unvested stock units represent the shares underlying Mr. Redington’s unvested 2023 Annual PSUs based on relative TSR, which have a three-year performance period, and that will vest upon achievement of target performance; shares earned, if any, will vest on April 17, 2026. The 38,818 unvested stock units represent the shares underlying Mr. Redington’s unvested 2024 Annual PSUs based on relative TSR, which have a three-year performance period, and that will vest upon achievement of target performance; shares earned, if any, will vest on May 15, 2027.</w:t>
      </w:r>
    </w:p>
    <w:p>
      <w:pPr>
        <w:spacing w:after="0" w:line="39" w:lineRule="exact"/>
        <w:rPr>
          <w:rFonts w:ascii="Arial" w:cs="Arial" w:eastAsia="Arial" w:hAnsi="Arial"/>
          <w:sz w:val="14"/>
          <w:szCs w:val="14"/>
          <w:color w:val="auto"/>
        </w:rPr>
      </w:pPr>
    </w:p>
    <w:p>
      <w:pPr>
        <w:ind w:left="1400" w:right="439" w:hanging="368"/>
        <w:spacing w:after="0" w:line="284" w:lineRule="auto"/>
        <w:tabs>
          <w:tab w:leader="none" w:pos="140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27,984 unvested stock units represent the pro rated number of shares underlying Mr. Lopez’s unvested 2023 Annual PSUs based on actual 2023 and 2024 performance; any shares earned under the 2023 Annual PSUs will vest on April 17, 2026.</w:t>
      </w:r>
    </w:p>
    <w:p>
      <w:pPr>
        <w:spacing w:after="0" w:line="199" w:lineRule="exact"/>
        <w:rPr>
          <w:rFonts w:ascii="Arial" w:cs="Arial" w:eastAsia="Arial" w:hAnsi="Arial"/>
          <w:sz w:val="14"/>
          <w:szCs w:val="14"/>
          <w:color w:val="auto"/>
        </w:rPr>
      </w:pPr>
    </w:p>
    <w:p>
      <w:pPr>
        <w:jc w:val="both"/>
        <w:ind w:left="1400" w:right="139" w:hanging="368"/>
        <w:spacing w:after="0" w:line="283" w:lineRule="auto"/>
        <w:tabs>
          <w:tab w:leader="none" w:pos="140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37,863 unvested stock units represent the pro rated shares underlying Mr. Lopez’s unvested 2023 Annual PSUs based on relative TSR, which have a three-year performance period, and that will vest upon achievement of target performance; shares earned, if any, will vest on April 17, 2026.</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2024 Stock Vested</w:t>
      </w:r>
    </w:p>
    <w:p>
      <w:pPr>
        <w:spacing w:after="0" w:line="152" w:lineRule="exact"/>
        <w:rPr>
          <w:sz w:val="20"/>
          <w:szCs w:val="20"/>
          <w:color w:val="auto"/>
        </w:rPr>
      </w:pPr>
    </w:p>
    <w:p>
      <w:pPr>
        <w:jc w:val="both"/>
        <w:ind w:left="920" w:right="319"/>
        <w:spacing w:after="0" w:line="261" w:lineRule="auto"/>
        <w:rPr>
          <w:sz w:val="20"/>
          <w:szCs w:val="20"/>
          <w:color w:val="auto"/>
        </w:rPr>
      </w:pPr>
      <w:r>
        <w:rPr>
          <w:rFonts w:ascii="Arial" w:cs="Arial" w:eastAsia="Arial" w:hAnsi="Arial"/>
          <w:sz w:val="18"/>
          <w:szCs w:val="18"/>
          <w:color w:val="auto"/>
        </w:rPr>
        <w:t>The following table summarizes for the NEOs in 2024 the number of shares acquired upon the vesting of stock awards and the value realized, before payout of any applicable withholding tax. NEOs that did not have any stock awards vest in 2024 are excluded from the table.</w:t>
      </w:r>
    </w:p>
    <w:p>
      <w:pPr>
        <w:spacing w:after="0" w:line="140" w:lineRule="exact"/>
        <w:rPr>
          <w:sz w:val="20"/>
          <w:szCs w:val="20"/>
          <w:color w:val="auto"/>
        </w:rPr>
      </w:pPr>
    </w:p>
    <w:tbl>
      <w:tblPr>
        <w:tblLayout w:type="fixed"/>
        <w:tblInd w:w="1640" w:type="dxa"/>
        <w:tblCellMar>
          <w:top w:w="0" w:type="dxa"/>
          <w:left w:w="0" w:type="dxa"/>
          <w:bottom w:w="0" w:type="dxa"/>
          <w:right w:w="0" w:type="dxa"/>
        </w:tblCellMar>
      </w:tblPr>
      <w:tr>
        <w:trPr>
          <w:trHeight w:val="250"/>
        </w:trPr>
        <w:tc>
          <w:tcPr>
            <w:tcW w:w="2000" w:type="dxa"/>
            <w:vAlign w:val="bottom"/>
            <w:shd w:val="clear" w:color="auto" w:fill="62259D"/>
          </w:tcPr>
          <w:p>
            <w:pPr>
              <w:spacing w:after="0"/>
              <w:rPr>
                <w:sz w:val="21"/>
                <w:szCs w:val="21"/>
                <w:color w:val="auto"/>
              </w:rPr>
            </w:pPr>
          </w:p>
        </w:tc>
        <w:tc>
          <w:tcPr>
            <w:tcW w:w="760" w:type="dxa"/>
            <w:vAlign w:val="bottom"/>
            <w:shd w:val="clear" w:color="auto" w:fill="62259D"/>
          </w:tcPr>
          <w:p>
            <w:pPr>
              <w:jc w:val="right"/>
              <w:spacing w:after="0"/>
              <w:rPr>
                <w:sz w:val="20"/>
                <w:szCs w:val="20"/>
                <w:color w:val="auto"/>
              </w:rPr>
            </w:pPr>
            <w:r>
              <w:rPr>
                <w:rFonts w:ascii="Arial" w:cs="Arial" w:eastAsia="Arial" w:hAnsi="Arial"/>
                <w:sz w:val="15"/>
                <w:szCs w:val="15"/>
                <w:b w:val="1"/>
                <w:bCs w:val="1"/>
                <w:color w:val="FEFEFE"/>
              </w:rPr>
              <w:t>​</w:t>
            </w:r>
          </w:p>
        </w:tc>
        <w:tc>
          <w:tcPr>
            <w:tcW w:w="900" w:type="dxa"/>
            <w:vAlign w:val="bottom"/>
            <w:shd w:val="clear" w:color="auto" w:fill="62259D"/>
          </w:tcPr>
          <w:p>
            <w:pPr>
              <w:spacing w:after="0"/>
              <w:rPr>
                <w:sz w:val="21"/>
                <w:szCs w:val="21"/>
                <w:color w:val="auto"/>
              </w:rPr>
            </w:pPr>
          </w:p>
        </w:tc>
        <w:tc>
          <w:tcPr>
            <w:tcW w:w="760" w:type="dxa"/>
            <w:vAlign w:val="bottom"/>
            <w:shd w:val="clear" w:color="auto" w:fill="62259D"/>
          </w:tcPr>
          <w:p>
            <w:pPr>
              <w:spacing w:after="0"/>
              <w:rPr>
                <w:sz w:val="21"/>
                <w:szCs w:val="21"/>
                <w:color w:val="auto"/>
              </w:rPr>
            </w:pPr>
          </w:p>
        </w:tc>
        <w:tc>
          <w:tcPr>
            <w:tcW w:w="1280" w:type="dxa"/>
            <w:vAlign w:val="bottom"/>
            <w:shd w:val="clear" w:color="auto" w:fill="62259D"/>
          </w:tcPr>
          <w:p>
            <w:pPr>
              <w:ind w:left="60"/>
              <w:spacing w:after="0"/>
              <w:rPr>
                <w:sz w:val="20"/>
                <w:szCs w:val="20"/>
                <w:color w:val="auto"/>
              </w:rPr>
            </w:pPr>
            <w:r>
              <w:rPr>
                <w:rFonts w:ascii="Arial" w:cs="Arial" w:eastAsia="Arial" w:hAnsi="Arial"/>
                <w:sz w:val="15"/>
                <w:szCs w:val="15"/>
                <w:b w:val="1"/>
                <w:bCs w:val="1"/>
                <w:color w:val="FEFEFE"/>
              </w:rPr>
              <w:t>Stock Awards</w:t>
            </w:r>
          </w:p>
        </w:tc>
        <w:tc>
          <w:tcPr>
            <w:tcW w:w="240" w:type="dxa"/>
            <w:vAlign w:val="bottom"/>
            <w:shd w:val="clear" w:color="auto" w:fill="62259D"/>
          </w:tcPr>
          <w:p>
            <w:pPr>
              <w:spacing w:after="0"/>
              <w:rPr>
                <w:sz w:val="21"/>
                <w:szCs w:val="21"/>
                <w:color w:val="auto"/>
              </w:rPr>
            </w:pPr>
          </w:p>
        </w:tc>
        <w:tc>
          <w:tcPr>
            <w:tcW w:w="1140" w:type="dxa"/>
            <w:vAlign w:val="bottom"/>
            <w:shd w:val="clear" w:color="auto" w:fill="62259D"/>
          </w:tcPr>
          <w:p>
            <w:pPr>
              <w:spacing w:after="0"/>
              <w:rPr>
                <w:sz w:val="21"/>
                <w:szCs w:val="21"/>
                <w:color w:val="auto"/>
              </w:rPr>
            </w:pPr>
          </w:p>
        </w:tc>
        <w:tc>
          <w:tcPr>
            <w:tcW w:w="320" w:type="dxa"/>
            <w:vAlign w:val="bottom"/>
            <w:shd w:val="clear" w:color="auto" w:fill="62259D"/>
          </w:tcPr>
          <w:p>
            <w:pPr>
              <w:jc w:val="right"/>
              <w:spacing w:after="0"/>
              <w:rPr>
                <w:sz w:val="20"/>
                <w:szCs w:val="20"/>
                <w:color w:val="auto"/>
              </w:rPr>
            </w:pPr>
            <w:r>
              <w:rPr>
                <w:rFonts w:ascii="Arial" w:cs="Arial" w:eastAsia="Arial" w:hAnsi="Arial"/>
                <w:sz w:val="15"/>
                <w:szCs w:val="15"/>
                <w:b w:val="1"/>
                <w:bCs w:val="1"/>
                <w:color w:val="FEFEFE"/>
              </w:rPr>
              <w:t>​</w:t>
            </w:r>
          </w:p>
        </w:tc>
      </w:tr>
      <w:tr>
        <w:trPr>
          <w:trHeight w:val="191"/>
        </w:trPr>
        <w:tc>
          <w:tcPr>
            <w:tcW w:w="2000" w:type="dxa"/>
            <w:vAlign w:val="bottom"/>
            <w:shd w:val="clear" w:color="auto" w:fill="62259D"/>
          </w:tcPr>
          <w:p>
            <w:pPr>
              <w:spacing w:after="0"/>
              <w:rPr>
                <w:sz w:val="16"/>
                <w:szCs w:val="16"/>
                <w:color w:val="auto"/>
              </w:rPr>
            </w:pPr>
          </w:p>
        </w:tc>
        <w:tc>
          <w:tcPr>
            <w:tcW w:w="760" w:type="dxa"/>
            <w:vAlign w:val="bottom"/>
            <w:shd w:val="clear" w:color="auto" w:fill="62259D"/>
          </w:tcPr>
          <w:p>
            <w:pPr>
              <w:spacing w:after="0"/>
              <w:rPr>
                <w:sz w:val="16"/>
                <w:szCs w:val="16"/>
                <w:color w:val="auto"/>
              </w:rPr>
            </w:pPr>
          </w:p>
        </w:tc>
        <w:tc>
          <w:tcPr>
            <w:tcW w:w="1660" w:type="dxa"/>
            <w:vAlign w:val="bottom"/>
            <w:gridSpan w:val="2"/>
            <w:shd w:val="clear" w:color="auto" w:fill="62259D"/>
          </w:tcPr>
          <w:p>
            <w:pPr>
              <w:jc w:val="center"/>
              <w:ind w:left="384"/>
              <w:spacing w:after="0"/>
              <w:rPr>
                <w:sz w:val="20"/>
                <w:szCs w:val="20"/>
                <w:color w:val="auto"/>
              </w:rPr>
            </w:pPr>
            <w:r>
              <w:rPr>
                <w:rFonts w:ascii="Arial" w:cs="Arial" w:eastAsia="Arial" w:hAnsi="Arial"/>
                <w:sz w:val="15"/>
                <w:szCs w:val="15"/>
                <w:b w:val="1"/>
                <w:bCs w:val="1"/>
                <w:color w:val="FEFEFE"/>
              </w:rPr>
              <w:t>No. of Shares</w:t>
            </w:r>
          </w:p>
        </w:tc>
        <w:tc>
          <w:tcPr>
            <w:tcW w:w="2660" w:type="dxa"/>
            <w:vAlign w:val="bottom"/>
            <w:gridSpan w:val="3"/>
            <w:shd w:val="clear" w:color="auto" w:fill="62259D"/>
          </w:tcPr>
          <w:p>
            <w:pPr>
              <w:jc w:val="right"/>
              <w:ind w:right="100"/>
              <w:spacing w:after="0"/>
              <w:rPr>
                <w:sz w:val="20"/>
                <w:szCs w:val="20"/>
                <w:color w:val="auto"/>
              </w:rPr>
            </w:pPr>
            <w:r>
              <w:rPr>
                <w:rFonts w:ascii="Arial" w:cs="Arial" w:eastAsia="Arial" w:hAnsi="Arial"/>
                <w:sz w:val="15"/>
                <w:szCs w:val="15"/>
                <w:b w:val="1"/>
                <w:bCs w:val="1"/>
                <w:color w:val="FEFEFE"/>
              </w:rPr>
              <w:t>Value Realized on</w:t>
            </w:r>
          </w:p>
        </w:tc>
        <w:tc>
          <w:tcPr>
            <w:tcW w:w="320" w:type="dxa"/>
            <w:vAlign w:val="bottom"/>
            <w:shd w:val="clear" w:color="auto" w:fill="62259D"/>
          </w:tcPr>
          <w:p>
            <w:pPr>
              <w:spacing w:after="0"/>
              <w:rPr>
                <w:sz w:val="16"/>
                <w:szCs w:val="16"/>
                <w:color w:val="auto"/>
              </w:rPr>
            </w:pPr>
          </w:p>
        </w:tc>
      </w:tr>
      <w:tr>
        <w:trPr>
          <w:trHeight w:val="188"/>
        </w:trPr>
        <w:tc>
          <w:tcPr>
            <w:tcW w:w="2000" w:type="dxa"/>
            <w:vAlign w:val="bottom"/>
            <w:shd w:val="clear" w:color="auto" w:fill="62259D"/>
          </w:tcPr>
          <w:p>
            <w:pPr>
              <w:spacing w:after="0"/>
              <w:rPr>
                <w:sz w:val="16"/>
                <w:szCs w:val="16"/>
                <w:color w:val="auto"/>
              </w:rPr>
            </w:pPr>
          </w:p>
        </w:tc>
        <w:tc>
          <w:tcPr>
            <w:tcW w:w="760" w:type="dxa"/>
            <w:vAlign w:val="bottom"/>
            <w:shd w:val="clear" w:color="auto" w:fill="62259D"/>
          </w:tcPr>
          <w:p>
            <w:pPr>
              <w:spacing w:after="0"/>
              <w:rPr>
                <w:sz w:val="16"/>
                <w:szCs w:val="16"/>
                <w:color w:val="auto"/>
              </w:rPr>
            </w:pPr>
          </w:p>
        </w:tc>
        <w:tc>
          <w:tcPr>
            <w:tcW w:w="2940" w:type="dxa"/>
            <w:vAlign w:val="bottom"/>
            <w:gridSpan w:val="3"/>
            <w:shd w:val="clear" w:color="auto" w:fill="62259D"/>
          </w:tcPr>
          <w:p>
            <w:pPr>
              <w:jc w:val="center"/>
              <w:ind w:right="741"/>
              <w:spacing w:after="0" w:line="188" w:lineRule="exact"/>
              <w:rPr>
                <w:sz w:val="20"/>
                <w:szCs w:val="20"/>
                <w:color w:val="auto"/>
              </w:rPr>
            </w:pPr>
            <w:r>
              <w:rPr>
                <w:rFonts w:ascii="Arial" w:cs="Arial" w:eastAsia="Arial" w:hAnsi="Arial"/>
                <w:sz w:val="15"/>
                <w:szCs w:val="15"/>
                <w:b w:val="1"/>
                <w:bCs w:val="1"/>
                <w:color w:val="FEFEFE"/>
              </w:rPr>
              <w:t>Acquired on Vesting</w:t>
            </w:r>
            <w:r>
              <w:rPr>
                <w:rFonts w:ascii="Arial" w:cs="Arial" w:eastAsia="Arial" w:hAnsi="Arial"/>
                <w:sz w:val="19"/>
                <w:szCs w:val="19"/>
                <w:b w:val="1"/>
                <w:bCs w:val="1"/>
                <w:color w:val="FEFEFE"/>
                <w:vertAlign w:val="superscript"/>
              </w:rPr>
              <w:t>(1)</w:t>
            </w:r>
          </w:p>
        </w:tc>
        <w:tc>
          <w:tcPr>
            <w:tcW w:w="1380" w:type="dxa"/>
            <w:vAlign w:val="bottom"/>
            <w:gridSpan w:val="2"/>
            <w:shd w:val="clear" w:color="auto" w:fill="62259D"/>
          </w:tcPr>
          <w:p>
            <w:pPr>
              <w:ind w:left="120"/>
              <w:spacing w:after="0" w:line="188" w:lineRule="exact"/>
              <w:rPr>
                <w:sz w:val="20"/>
                <w:szCs w:val="20"/>
                <w:color w:val="auto"/>
              </w:rPr>
            </w:pPr>
            <w:r>
              <w:rPr>
                <w:rFonts w:ascii="Arial" w:cs="Arial" w:eastAsia="Arial" w:hAnsi="Arial"/>
                <w:sz w:val="15"/>
                <w:szCs w:val="15"/>
                <w:b w:val="1"/>
                <w:bCs w:val="1"/>
                <w:color w:val="FEFEFE"/>
              </w:rPr>
              <w:t>Vesting</w:t>
            </w:r>
            <w:r>
              <w:rPr>
                <w:rFonts w:ascii="Arial" w:cs="Arial" w:eastAsia="Arial" w:hAnsi="Arial"/>
                <w:sz w:val="19"/>
                <w:szCs w:val="19"/>
                <w:b w:val="1"/>
                <w:bCs w:val="1"/>
                <w:color w:val="FEFEFE"/>
                <w:vertAlign w:val="superscript"/>
              </w:rPr>
              <w:t>(2)</w:t>
            </w:r>
          </w:p>
        </w:tc>
        <w:tc>
          <w:tcPr>
            <w:tcW w:w="320" w:type="dxa"/>
            <w:vAlign w:val="bottom"/>
            <w:shd w:val="clear" w:color="auto" w:fill="62259D"/>
          </w:tcPr>
          <w:p>
            <w:pPr>
              <w:spacing w:after="0"/>
              <w:rPr>
                <w:sz w:val="16"/>
                <w:szCs w:val="16"/>
                <w:color w:val="auto"/>
              </w:rPr>
            </w:pPr>
          </w:p>
        </w:tc>
      </w:tr>
      <w:tr>
        <w:trPr>
          <w:trHeight w:val="249"/>
        </w:trPr>
        <w:tc>
          <w:tcPr>
            <w:tcW w:w="2000" w:type="dxa"/>
            <w:vAlign w:val="bottom"/>
            <w:shd w:val="clear" w:color="auto" w:fill="62259D"/>
          </w:tcPr>
          <w:p>
            <w:pPr>
              <w:spacing w:after="0" w:line="249" w:lineRule="exact"/>
              <w:rPr>
                <w:sz w:val="20"/>
                <w:szCs w:val="20"/>
                <w:color w:val="auto"/>
              </w:rPr>
            </w:pPr>
            <w:r>
              <w:rPr>
                <w:rFonts w:ascii="Arial" w:cs="Arial" w:eastAsia="Arial" w:hAnsi="Arial"/>
                <w:sz w:val="28"/>
                <w:szCs w:val="28"/>
                <w:b w:val="1"/>
                <w:bCs w:val="1"/>
                <w:color w:val="FEFEFE"/>
                <w:vertAlign w:val="subscript"/>
              </w:rPr>
              <w:t>​</w:t>
            </w:r>
            <w:r>
              <w:rPr>
                <w:rFonts w:ascii="Arial" w:cs="Arial" w:eastAsia="Arial" w:hAnsi="Arial"/>
                <w:sz w:val="15"/>
                <w:szCs w:val="15"/>
                <w:b w:val="1"/>
                <w:bCs w:val="1"/>
                <w:color w:val="FEFEFE"/>
              </w:rPr>
              <w:t xml:space="preserve"> Name</w:t>
            </w:r>
          </w:p>
        </w:tc>
        <w:tc>
          <w:tcPr>
            <w:tcW w:w="760" w:type="dxa"/>
            <w:vAlign w:val="bottom"/>
            <w:shd w:val="clear" w:color="auto" w:fill="62259D"/>
          </w:tcPr>
          <w:p>
            <w:pPr>
              <w:jc w:val="right"/>
              <w:spacing w:after="0"/>
              <w:rPr>
                <w:sz w:val="20"/>
                <w:szCs w:val="20"/>
                <w:color w:val="auto"/>
              </w:rPr>
            </w:pPr>
            <w:r>
              <w:rPr>
                <w:rFonts w:ascii="Arial" w:cs="Arial" w:eastAsia="Arial" w:hAnsi="Arial"/>
                <w:sz w:val="15"/>
                <w:szCs w:val="15"/>
                <w:b w:val="1"/>
                <w:bCs w:val="1"/>
                <w:color w:val="FEFEFE"/>
              </w:rPr>
              <w:t>​  ​</w:t>
            </w:r>
          </w:p>
        </w:tc>
        <w:tc>
          <w:tcPr>
            <w:tcW w:w="900" w:type="dxa"/>
            <w:vAlign w:val="bottom"/>
            <w:shd w:val="clear" w:color="auto" w:fill="62259D"/>
          </w:tcPr>
          <w:p>
            <w:pPr>
              <w:spacing w:after="0"/>
              <w:rPr>
                <w:sz w:val="21"/>
                <w:szCs w:val="21"/>
                <w:color w:val="auto"/>
              </w:rPr>
            </w:pPr>
          </w:p>
        </w:tc>
        <w:tc>
          <w:tcPr>
            <w:tcW w:w="760" w:type="dxa"/>
            <w:vAlign w:val="bottom"/>
            <w:shd w:val="clear" w:color="auto" w:fill="62259D"/>
          </w:tcPr>
          <w:p>
            <w:pPr>
              <w:jc w:val="right"/>
              <w:ind w:right="401"/>
              <w:spacing w:after="0"/>
              <w:rPr>
                <w:sz w:val="20"/>
                <w:szCs w:val="20"/>
                <w:color w:val="auto"/>
              </w:rPr>
            </w:pPr>
            <w:r>
              <w:rPr>
                <w:rFonts w:ascii="Arial" w:cs="Arial" w:eastAsia="Arial" w:hAnsi="Arial"/>
                <w:sz w:val="15"/>
                <w:szCs w:val="15"/>
                <w:b w:val="1"/>
                <w:bCs w:val="1"/>
                <w:color w:val="FEFEFE"/>
              </w:rPr>
              <w:t>(#)</w:t>
            </w:r>
          </w:p>
        </w:tc>
        <w:tc>
          <w:tcPr>
            <w:tcW w:w="1280" w:type="dxa"/>
            <w:vAlign w:val="bottom"/>
            <w:shd w:val="clear" w:color="auto" w:fill="62259D"/>
          </w:tcPr>
          <w:p>
            <w:pPr>
              <w:ind w:left="560"/>
              <w:spacing w:after="0"/>
              <w:rPr>
                <w:sz w:val="20"/>
                <w:szCs w:val="20"/>
                <w:color w:val="auto"/>
              </w:rPr>
            </w:pPr>
            <w:r>
              <w:rPr>
                <w:rFonts w:ascii="Arial" w:cs="Arial" w:eastAsia="Arial" w:hAnsi="Arial"/>
                <w:sz w:val="15"/>
                <w:szCs w:val="15"/>
                <w:b w:val="1"/>
                <w:bCs w:val="1"/>
                <w:color w:val="FEFEFE"/>
              </w:rPr>
              <w:t>​ ​</w:t>
            </w:r>
          </w:p>
        </w:tc>
        <w:tc>
          <w:tcPr>
            <w:tcW w:w="240" w:type="dxa"/>
            <w:vAlign w:val="bottom"/>
            <w:shd w:val="clear" w:color="auto" w:fill="62259D"/>
          </w:tcPr>
          <w:p>
            <w:pPr>
              <w:spacing w:after="0"/>
              <w:rPr>
                <w:sz w:val="21"/>
                <w:szCs w:val="21"/>
                <w:color w:val="auto"/>
              </w:rPr>
            </w:pPr>
          </w:p>
        </w:tc>
        <w:tc>
          <w:tcPr>
            <w:tcW w:w="1140" w:type="dxa"/>
            <w:vAlign w:val="bottom"/>
            <w:shd w:val="clear" w:color="auto" w:fill="62259D"/>
          </w:tcPr>
          <w:p>
            <w:pPr>
              <w:jc w:val="right"/>
              <w:ind w:right="680"/>
              <w:spacing w:after="0"/>
              <w:rPr>
                <w:sz w:val="20"/>
                <w:szCs w:val="20"/>
                <w:color w:val="auto"/>
              </w:rPr>
            </w:pPr>
            <w:r>
              <w:rPr>
                <w:rFonts w:ascii="Arial" w:cs="Arial" w:eastAsia="Arial" w:hAnsi="Arial"/>
                <w:sz w:val="15"/>
                <w:szCs w:val="15"/>
                <w:b w:val="1"/>
                <w:bCs w:val="1"/>
                <w:color w:val="FEFEFE"/>
              </w:rPr>
              <w:t>($)</w:t>
            </w:r>
          </w:p>
        </w:tc>
        <w:tc>
          <w:tcPr>
            <w:tcW w:w="320" w:type="dxa"/>
            <w:vAlign w:val="bottom"/>
            <w:shd w:val="clear" w:color="auto" w:fill="62259D"/>
          </w:tcPr>
          <w:p>
            <w:pPr>
              <w:jc w:val="right"/>
              <w:spacing w:after="0"/>
              <w:rPr>
                <w:sz w:val="20"/>
                <w:szCs w:val="20"/>
                <w:color w:val="auto"/>
              </w:rPr>
            </w:pPr>
            <w:r>
              <w:rPr>
                <w:rFonts w:ascii="Arial" w:cs="Arial" w:eastAsia="Arial" w:hAnsi="Arial"/>
                <w:sz w:val="15"/>
                <w:szCs w:val="15"/>
                <w:b w:val="1"/>
                <w:bCs w:val="1"/>
                <w:color w:val="FEFEFE"/>
              </w:rPr>
              <w:t>​</w:t>
            </w:r>
          </w:p>
        </w:tc>
      </w:tr>
      <w:tr>
        <w:trPr>
          <w:trHeight w:val="257"/>
        </w:trPr>
        <w:tc>
          <w:tcPr>
            <w:tcW w:w="2000" w:type="dxa"/>
            <w:vAlign w:val="bottom"/>
            <w:tcBorders>
              <w:bottom w:val="single" w:sz="8" w:color="E7417A"/>
            </w:tcBorders>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Bruce McClelland</w:t>
            </w:r>
          </w:p>
        </w:tc>
        <w:tc>
          <w:tcPr>
            <w:tcW w:w="76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 ​</w:t>
            </w:r>
          </w:p>
        </w:tc>
        <w:tc>
          <w:tcPr>
            <w:tcW w:w="1660" w:type="dxa"/>
            <w:vAlign w:val="bottom"/>
            <w:tcBorders>
              <w:bottom w:val="single" w:sz="8" w:color="E7417A"/>
            </w:tcBorders>
            <w:gridSpan w:val="2"/>
          </w:tcPr>
          <w:p>
            <w:pPr>
              <w:jc w:val="right"/>
              <w:ind w:right="201"/>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214,790</w:t>
            </w:r>
          </w:p>
        </w:tc>
        <w:tc>
          <w:tcPr>
            <w:tcW w:w="1280" w:type="dxa"/>
            <w:vAlign w:val="bottom"/>
            <w:tcBorders>
              <w:bottom w:val="single" w:sz="8" w:color="E7417A"/>
            </w:tcBorders>
          </w:tcPr>
          <w:p>
            <w:pPr>
              <w:ind w:left="480"/>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417A"/>
            </w:tcBorders>
          </w:tcPr>
          <w:p>
            <w:pPr>
              <w:jc w:val="right"/>
              <w:ind w:right="420"/>
              <w:spacing w:after="0"/>
              <w:rPr>
                <w:sz w:val="20"/>
                <w:szCs w:val="20"/>
                <w:color w:val="auto"/>
              </w:rPr>
            </w:pPr>
            <w:r>
              <w:rPr>
                <w:rFonts w:ascii="Arial" w:cs="Arial" w:eastAsia="Arial" w:hAnsi="Arial"/>
                <w:sz w:val="16"/>
                <w:szCs w:val="16"/>
                <w:color w:val="auto"/>
              </w:rPr>
              <w:t>587,106</w:t>
            </w:r>
          </w:p>
        </w:tc>
        <w:tc>
          <w:tcPr>
            <w:tcW w:w="32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20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John Townsend</w:t>
            </w:r>
          </w:p>
        </w:tc>
        <w:tc>
          <w:tcPr>
            <w:tcW w:w="76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 ​</w:t>
            </w:r>
          </w:p>
        </w:tc>
        <w:tc>
          <w:tcPr>
            <w:tcW w:w="900" w:type="dxa"/>
            <w:vAlign w:val="bottom"/>
            <w:tcBorders>
              <w:bottom w:val="single" w:sz="8" w:color="E7417A"/>
            </w:tcBorders>
          </w:tcPr>
          <w:p>
            <w:pPr>
              <w:ind w:left="7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7417A"/>
            </w:tcBorders>
          </w:tcPr>
          <w:p>
            <w:pPr>
              <w:jc w:val="right"/>
              <w:ind w:right="201"/>
              <w:spacing w:after="0"/>
              <w:rPr>
                <w:sz w:val="20"/>
                <w:szCs w:val="20"/>
                <w:color w:val="auto"/>
              </w:rPr>
            </w:pPr>
            <w:r>
              <w:rPr>
                <w:rFonts w:ascii="Arial" w:cs="Arial" w:eastAsia="Arial" w:hAnsi="Arial"/>
                <w:sz w:val="16"/>
                <w:szCs w:val="16"/>
                <w:color w:val="auto"/>
              </w:rPr>
              <w:t>0</w:t>
            </w:r>
          </w:p>
        </w:tc>
        <w:tc>
          <w:tcPr>
            <w:tcW w:w="1280" w:type="dxa"/>
            <w:vAlign w:val="bottom"/>
            <w:tcBorders>
              <w:bottom w:val="single" w:sz="8" w:color="E7417A"/>
            </w:tcBorders>
          </w:tcPr>
          <w:p>
            <w:pPr>
              <w:ind w:left="480"/>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417A"/>
            </w:tcBorders>
          </w:tcPr>
          <w:p>
            <w:pPr>
              <w:jc w:val="right"/>
              <w:ind w:right="4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20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Sam Bucci</w:t>
            </w:r>
          </w:p>
        </w:tc>
        <w:tc>
          <w:tcPr>
            <w:tcW w:w="76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 ​</w:t>
            </w:r>
          </w:p>
        </w:tc>
        <w:tc>
          <w:tcPr>
            <w:tcW w:w="1660" w:type="dxa"/>
            <w:vAlign w:val="bottom"/>
            <w:tcBorders>
              <w:bottom w:val="single" w:sz="8" w:color="E7417A"/>
            </w:tcBorders>
            <w:gridSpan w:val="2"/>
          </w:tcPr>
          <w:p>
            <w:pPr>
              <w:jc w:val="right"/>
              <w:ind w:right="201"/>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247,601</w:t>
            </w:r>
          </w:p>
        </w:tc>
        <w:tc>
          <w:tcPr>
            <w:tcW w:w="1280" w:type="dxa"/>
            <w:vAlign w:val="bottom"/>
            <w:tcBorders>
              <w:bottom w:val="single" w:sz="8" w:color="E7417A"/>
            </w:tcBorders>
          </w:tcPr>
          <w:p>
            <w:pPr>
              <w:ind w:left="480"/>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417A"/>
            </w:tcBorders>
          </w:tcPr>
          <w:p>
            <w:pPr>
              <w:jc w:val="right"/>
              <w:ind w:right="420"/>
              <w:spacing w:after="0"/>
              <w:rPr>
                <w:sz w:val="20"/>
                <w:szCs w:val="20"/>
                <w:color w:val="auto"/>
              </w:rPr>
            </w:pPr>
            <w:r>
              <w:rPr>
                <w:rFonts w:ascii="Arial" w:cs="Arial" w:eastAsia="Arial" w:hAnsi="Arial"/>
                <w:sz w:val="16"/>
                <w:szCs w:val="16"/>
                <w:color w:val="auto"/>
              </w:rPr>
              <w:t>711,700</w:t>
            </w:r>
          </w:p>
        </w:tc>
        <w:tc>
          <w:tcPr>
            <w:tcW w:w="32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20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Patrick Macken</w:t>
            </w:r>
          </w:p>
        </w:tc>
        <w:tc>
          <w:tcPr>
            <w:tcW w:w="76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 ​</w:t>
            </w:r>
          </w:p>
        </w:tc>
        <w:tc>
          <w:tcPr>
            <w:tcW w:w="1660" w:type="dxa"/>
            <w:vAlign w:val="bottom"/>
            <w:tcBorders>
              <w:bottom w:val="single" w:sz="8" w:color="E7417A"/>
            </w:tcBorders>
            <w:gridSpan w:val="2"/>
          </w:tcPr>
          <w:p>
            <w:pPr>
              <w:jc w:val="right"/>
              <w:ind w:right="201"/>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180,958</w:t>
            </w:r>
          </w:p>
        </w:tc>
        <w:tc>
          <w:tcPr>
            <w:tcW w:w="1280" w:type="dxa"/>
            <w:vAlign w:val="bottom"/>
            <w:tcBorders>
              <w:bottom w:val="single" w:sz="8" w:color="E7417A"/>
            </w:tcBorders>
          </w:tcPr>
          <w:p>
            <w:pPr>
              <w:ind w:left="480"/>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417A"/>
            </w:tcBorders>
          </w:tcPr>
          <w:p>
            <w:pPr>
              <w:jc w:val="right"/>
              <w:ind w:right="420"/>
              <w:spacing w:after="0"/>
              <w:rPr>
                <w:sz w:val="20"/>
                <w:szCs w:val="20"/>
                <w:color w:val="auto"/>
              </w:rPr>
            </w:pPr>
            <w:r>
              <w:rPr>
                <w:rFonts w:ascii="Arial" w:cs="Arial" w:eastAsia="Arial" w:hAnsi="Arial"/>
                <w:sz w:val="16"/>
                <w:szCs w:val="16"/>
                <w:color w:val="auto"/>
              </w:rPr>
              <w:t>519,498</w:t>
            </w:r>
          </w:p>
        </w:tc>
        <w:tc>
          <w:tcPr>
            <w:tcW w:w="32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20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Dan Redington</w:t>
            </w:r>
          </w:p>
        </w:tc>
        <w:tc>
          <w:tcPr>
            <w:tcW w:w="76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 ​</w:t>
            </w:r>
          </w:p>
        </w:tc>
        <w:tc>
          <w:tcPr>
            <w:tcW w:w="1660" w:type="dxa"/>
            <w:vAlign w:val="bottom"/>
            <w:tcBorders>
              <w:bottom w:val="single" w:sz="8" w:color="E7417A"/>
            </w:tcBorders>
            <w:gridSpan w:val="2"/>
          </w:tcPr>
          <w:p>
            <w:pPr>
              <w:jc w:val="right"/>
              <w:ind w:right="201"/>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118,464</w:t>
            </w:r>
          </w:p>
        </w:tc>
        <w:tc>
          <w:tcPr>
            <w:tcW w:w="1280" w:type="dxa"/>
            <w:vAlign w:val="bottom"/>
            <w:tcBorders>
              <w:bottom w:val="single" w:sz="8" w:color="E7417A"/>
            </w:tcBorders>
          </w:tcPr>
          <w:p>
            <w:pPr>
              <w:ind w:left="480"/>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417A"/>
            </w:tcBorders>
          </w:tcPr>
          <w:p>
            <w:pPr>
              <w:jc w:val="right"/>
              <w:ind w:right="420"/>
              <w:spacing w:after="0"/>
              <w:rPr>
                <w:sz w:val="20"/>
                <w:szCs w:val="20"/>
                <w:color w:val="auto"/>
              </w:rPr>
            </w:pPr>
            <w:r>
              <w:rPr>
                <w:rFonts w:ascii="Arial" w:cs="Arial" w:eastAsia="Arial" w:hAnsi="Arial"/>
                <w:sz w:val="16"/>
                <w:szCs w:val="16"/>
                <w:color w:val="auto"/>
              </w:rPr>
              <w:t>360,844</w:t>
            </w:r>
          </w:p>
        </w:tc>
        <w:tc>
          <w:tcPr>
            <w:tcW w:w="32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2000" w:type="dxa"/>
            <w:vAlign w:val="bottom"/>
            <w:tcBorders>
              <w:bottom w:val="single" w:sz="8" w:color="62259D"/>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Miguel Lopez</w:t>
            </w:r>
          </w:p>
        </w:tc>
        <w:tc>
          <w:tcPr>
            <w:tcW w:w="760" w:type="dxa"/>
            <w:vAlign w:val="bottom"/>
            <w:tcBorders>
              <w:bottom w:val="single" w:sz="8" w:color="62259D"/>
            </w:tcBorders>
          </w:tcPr>
          <w:p>
            <w:pPr>
              <w:jc w:val="right"/>
              <w:spacing w:after="0"/>
              <w:rPr>
                <w:sz w:val="20"/>
                <w:szCs w:val="20"/>
                <w:color w:val="auto"/>
              </w:rPr>
            </w:pPr>
            <w:r>
              <w:rPr>
                <w:rFonts w:ascii="Arial" w:cs="Arial" w:eastAsia="Arial" w:hAnsi="Arial"/>
                <w:sz w:val="16"/>
                <w:szCs w:val="16"/>
                <w:color w:val="auto"/>
              </w:rPr>
              <w:t>​ ​</w:t>
            </w:r>
          </w:p>
        </w:tc>
        <w:tc>
          <w:tcPr>
            <w:tcW w:w="1660" w:type="dxa"/>
            <w:vAlign w:val="bottom"/>
            <w:tcBorders>
              <w:bottom w:val="single" w:sz="8" w:color="62259D"/>
            </w:tcBorders>
            <w:gridSpan w:val="2"/>
          </w:tcPr>
          <w:p>
            <w:pPr>
              <w:jc w:val="right"/>
              <w:ind w:right="201"/>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338,360</w:t>
            </w:r>
          </w:p>
        </w:tc>
        <w:tc>
          <w:tcPr>
            <w:tcW w:w="1280" w:type="dxa"/>
            <w:vAlign w:val="bottom"/>
            <w:tcBorders>
              <w:bottom w:val="single" w:sz="8" w:color="62259D"/>
            </w:tcBorders>
          </w:tcPr>
          <w:p>
            <w:pPr>
              <w:ind w:left="480"/>
              <w:spacing w:after="0"/>
              <w:rPr>
                <w:sz w:val="20"/>
                <w:szCs w:val="20"/>
                <w:color w:val="auto"/>
              </w:rPr>
            </w:pPr>
            <w:r>
              <w:rPr>
                <w:rFonts w:ascii="Arial" w:cs="Arial" w:eastAsia="Arial" w:hAnsi="Arial"/>
                <w:sz w:val="16"/>
                <w:szCs w:val="16"/>
                <w:color w:val="auto"/>
              </w:rPr>
              <w:t>​ ​</w:t>
            </w:r>
          </w:p>
        </w:tc>
        <w:tc>
          <w:tcPr>
            <w:tcW w:w="1380" w:type="dxa"/>
            <w:vAlign w:val="bottom"/>
            <w:tcBorders>
              <w:bottom w:val="single" w:sz="8" w:color="62259D"/>
            </w:tcBorders>
            <w:gridSpan w:val="2"/>
          </w:tcPr>
          <w:p>
            <w:pPr>
              <w:jc w:val="right"/>
              <w:ind w:right="4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1,005,929</w:t>
            </w:r>
          </w:p>
        </w:tc>
        <w:tc>
          <w:tcPr>
            <w:tcW w:w="320" w:type="dxa"/>
            <w:vAlign w:val="bottom"/>
            <w:tcBorders>
              <w:bottom w:val="single" w:sz="8" w:color="62259D"/>
            </w:tcBorders>
          </w:tcPr>
          <w:p>
            <w:pPr>
              <w:jc w:val="right"/>
              <w:spacing w:after="0"/>
              <w:rPr>
                <w:sz w:val="20"/>
                <w:szCs w:val="20"/>
                <w:color w:val="auto"/>
              </w:rPr>
            </w:pPr>
            <w:r>
              <w:rPr>
                <w:rFonts w:ascii="Arial" w:cs="Arial" w:eastAsia="Arial" w:hAnsi="Arial"/>
                <w:sz w:val="16"/>
                <w:szCs w:val="16"/>
                <w:color w:val="auto"/>
              </w:rPr>
              <w:t>​​</w:t>
            </w:r>
          </w:p>
        </w:tc>
      </w:tr>
    </w:tbl>
    <w:p>
      <w:pPr>
        <w:spacing w:after="0" w:line="180" w:lineRule="exact"/>
        <w:rPr>
          <w:sz w:val="20"/>
          <w:szCs w:val="20"/>
          <w:color w:val="auto"/>
        </w:rPr>
      </w:pPr>
    </w:p>
    <w:p>
      <w:pPr>
        <w:ind w:left="1400" w:right="259" w:hanging="368"/>
        <w:spacing w:after="0" w:line="281" w:lineRule="auto"/>
        <w:tabs>
          <w:tab w:leader="none" w:pos="140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We withhold and retire enough vesting shares to cover each NEO’s withholding tax obligations associated with the vesting of such shares.</w:t>
      </w:r>
    </w:p>
    <w:p>
      <w:pPr>
        <w:spacing w:after="0" w:line="1" w:lineRule="exact"/>
        <w:rPr>
          <w:rFonts w:ascii="Arial" w:cs="Arial" w:eastAsia="Arial" w:hAnsi="Arial"/>
          <w:sz w:val="14"/>
          <w:szCs w:val="14"/>
          <w:color w:val="auto"/>
        </w:rPr>
      </w:pPr>
    </w:p>
    <w:p>
      <w:pPr>
        <w:ind w:left="1400" w:right="539"/>
        <w:spacing w:after="0" w:line="291" w:lineRule="auto"/>
        <w:rPr>
          <w:rFonts w:ascii="Arial" w:cs="Arial" w:eastAsia="Arial" w:hAnsi="Arial"/>
          <w:sz w:val="14"/>
          <w:szCs w:val="14"/>
          <w:color w:val="auto"/>
        </w:rPr>
      </w:pPr>
      <w:r>
        <w:rPr>
          <w:rFonts w:ascii="Arial" w:cs="Arial" w:eastAsia="Arial" w:hAnsi="Arial"/>
          <w:sz w:val="14"/>
          <w:szCs w:val="14"/>
          <w:color w:val="auto"/>
        </w:rPr>
        <w:t>Of Mr. McClelland’s 214,790 shares that vested in 2024, 83,290 shares were returned to us to satisfy the tax withholding obligations associated with the vesting of the shares.</w:t>
      </w:r>
    </w:p>
    <w:p>
      <w:pPr>
        <w:spacing w:after="0" w:line="1" w:lineRule="exact"/>
        <w:rPr>
          <w:rFonts w:ascii="Arial" w:cs="Arial" w:eastAsia="Arial" w:hAnsi="Arial"/>
          <w:sz w:val="14"/>
          <w:szCs w:val="14"/>
          <w:color w:val="auto"/>
        </w:rPr>
      </w:pPr>
    </w:p>
    <w:p>
      <w:pPr>
        <w:ind w:left="1400" w:right="819"/>
        <w:spacing w:after="0" w:line="291" w:lineRule="auto"/>
        <w:rPr>
          <w:rFonts w:ascii="Arial" w:cs="Arial" w:eastAsia="Arial" w:hAnsi="Arial"/>
          <w:sz w:val="14"/>
          <w:szCs w:val="14"/>
          <w:color w:val="auto"/>
        </w:rPr>
      </w:pPr>
      <w:r>
        <w:rPr>
          <w:rFonts w:ascii="Arial" w:cs="Arial" w:eastAsia="Arial" w:hAnsi="Arial"/>
          <w:sz w:val="14"/>
          <w:szCs w:val="14"/>
          <w:color w:val="auto"/>
        </w:rPr>
        <w:t>Of Mr. Bucci’s 247,601 shares that vested in 2024, 133,136 shares were returned to us to satisfy the tax withholding obligations associated with the vesting of the shares.</w:t>
      </w:r>
    </w:p>
    <w:p>
      <w:pPr>
        <w:spacing w:after="0" w:line="1" w:lineRule="exact"/>
        <w:rPr>
          <w:rFonts w:ascii="Arial" w:cs="Arial" w:eastAsia="Arial" w:hAnsi="Arial"/>
          <w:sz w:val="14"/>
          <w:szCs w:val="14"/>
          <w:color w:val="auto"/>
        </w:rPr>
      </w:pPr>
    </w:p>
    <w:p>
      <w:pPr>
        <w:ind w:left="1400" w:right="759"/>
        <w:spacing w:after="0" w:line="301" w:lineRule="auto"/>
        <w:rPr>
          <w:rFonts w:ascii="Arial" w:cs="Arial" w:eastAsia="Arial" w:hAnsi="Arial"/>
          <w:sz w:val="14"/>
          <w:szCs w:val="14"/>
          <w:color w:val="auto"/>
        </w:rPr>
      </w:pPr>
      <w:r>
        <w:rPr>
          <w:rFonts w:ascii="Arial" w:cs="Arial" w:eastAsia="Arial" w:hAnsi="Arial"/>
          <w:sz w:val="14"/>
          <w:szCs w:val="14"/>
          <w:color w:val="auto"/>
        </w:rPr>
        <w:t>Of Mr. Macken’s 181,458 shares that vested in 2024, 79,324 shares were returned to us to satisfy the tax withholding obligations associated with the vesting of the shares.</w:t>
      </w:r>
    </w:p>
    <w:p>
      <w:pPr>
        <w:spacing w:after="0" w:line="1" w:lineRule="exact"/>
        <w:rPr>
          <w:rFonts w:ascii="Arial" w:cs="Arial" w:eastAsia="Arial" w:hAnsi="Arial"/>
          <w:sz w:val="14"/>
          <w:szCs w:val="14"/>
          <w:color w:val="auto"/>
        </w:rPr>
      </w:pPr>
    </w:p>
    <w:p>
      <w:pPr>
        <w:ind w:left="1400" w:right="599"/>
        <w:spacing w:after="0" w:line="291" w:lineRule="auto"/>
        <w:rPr>
          <w:rFonts w:ascii="Arial" w:cs="Arial" w:eastAsia="Arial" w:hAnsi="Arial"/>
          <w:sz w:val="14"/>
          <w:szCs w:val="14"/>
          <w:color w:val="auto"/>
        </w:rPr>
      </w:pPr>
      <w:r>
        <w:rPr>
          <w:rFonts w:ascii="Arial" w:cs="Arial" w:eastAsia="Arial" w:hAnsi="Arial"/>
          <w:sz w:val="14"/>
          <w:szCs w:val="14"/>
          <w:color w:val="auto"/>
        </w:rPr>
        <w:t>Of Mr. Redington’s 118,464 shares that vested in 2024, 44,881 shares were returned to us to satisfy the tax withholding obligations associated with the vesting of the shares.</w:t>
      </w:r>
    </w:p>
    <w:p>
      <w:pPr>
        <w:spacing w:after="0" w:line="1" w:lineRule="exact"/>
        <w:rPr>
          <w:rFonts w:ascii="Arial" w:cs="Arial" w:eastAsia="Arial" w:hAnsi="Arial"/>
          <w:sz w:val="14"/>
          <w:szCs w:val="14"/>
          <w:color w:val="auto"/>
        </w:rPr>
      </w:pPr>
    </w:p>
    <w:p>
      <w:pPr>
        <w:ind w:left="1400" w:right="739"/>
        <w:spacing w:after="0" w:line="305" w:lineRule="auto"/>
        <w:rPr>
          <w:rFonts w:ascii="Arial" w:cs="Arial" w:eastAsia="Arial" w:hAnsi="Arial"/>
          <w:sz w:val="14"/>
          <w:szCs w:val="14"/>
          <w:color w:val="auto"/>
        </w:rPr>
      </w:pPr>
      <w:r>
        <w:rPr>
          <w:rFonts w:ascii="Arial" w:cs="Arial" w:eastAsia="Arial" w:hAnsi="Arial"/>
          <w:sz w:val="14"/>
          <w:szCs w:val="14"/>
          <w:color w:val="auto"/>
        </w:rPr>
        <w:t>Of. Mr. Lopez’s 328,446 shares that vested in 2024, 129,216 shares were returned to us to satisfy the tax withholding obligations associated with the vesting of the shares.</w:t>
      </w:r>
    </w:p>
    <w:p>
      <w:pPr>
        <w:spacing w:after="0" w:line="36" w:lineRule="exact"/>
        <w:rPr>
          <w:rFonts w:ascii="Arial" w:cs="Arial" w:eastAsia="Arial" w:hAnsi="Arial"/>
          <w:sz w:val="14"/>
          <w:szCs w:val="14"/>
          <w:color w:val="auto"/>
        </w:rPr>
      </w:pPr>
    </w:p>
    <w:p>
      <w:pPr>
        <w:ind w:left="1400" w:right="239" w:hanging="368"/>
        <w:spacing w:after="0" w:line="305" w:lineRule="auto"/>
        <w:tabs>
          <w:tab w:leader="none" w:pos="140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 accordance with SEC rules, the aggregate dollar amount realized upon vesting of restricted stock units was determined by multiplying the number of shares by the closing market price of our common stock on the day before vesting.</w:t>
      </w:r>
    </w:p>
    <w:p>
      <w:pPr>
        <w:spacing w:after="0" w:line="135"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Severance and Change of Control Benefits</w:t>
      </w:r>
    </w:p>
    <w:p>
      <w:pPr>
        <w:spacing w:after="0" w:line="139" w:lineRule="exact"/>
        <w:rPr>
          <w:sz w:val="20"/>
          <w:szCs w:val="20"/>
          <w:color w:val="auto"/>
        </w:rPr>
      </w:pPr>
    </w:p>
    <w:p>
      <w:pPr>
        <w:ind w:left="920" w:right="179"/>
        <w:spacing w:after="0" w:line="237" w:lineRule="auto"/>
        <w:rPr>
          <w:sz w:val="20"/>
          <w:szCs w:val="20"/>
          <w:color w:val="auto"/>
        </w:rPr>
      </w:pPr>
      <w:r>
        <w:rPr>
          <w:rFonts w:ascii="Arial" w:cs="Arial" w:eastAsia="Arial" w:hAnsi="Arial"/>
          <w:sz w:val="18"/>
          <w:szCs w:val="18"/>
          <w:color w:val="auto"/>
        </w:rPr>
        <w:t>To attract and retain key executive officers, the Company has entered into executive agreements that include severance and change of control benefits. In the event or threat of a change of control transaction,</w:t>
      </w:r>
    </w:p>
    <w:p>
      <w:pPr>
        <w:ind w:left="920"/>
        <w:spacing w:after="0" w:line="235" w:lineRule="auto"/>
        <w:rPr>
          <w:sz w:val="20"/>
          <w:szCs w:val="20"/>
          <w:color w:val="auto"/>
        </w:rPr>
      </w:pPr>
      <w:r>
        <w:rPr>
          <w:rFonts w:ascii="Arial" w:cs="Arial" w:eastAsia="Arial" w:hAnsi="Arial"/>
          <w:sz w:val="18"/>
          <w:szCs w:val="18"/>
          <w:color w:val="auto"/>
        </w:rPr>
        <w:t>we believe that these agreements reduce uncertainty and provide compensation for the significant levels of</w:t>
      </w:r>
    </w:p>
    <w:p>
      <w:pPr>
        <w:spacing w:after="0" w:line="1" w:lineRule="exact"/>
        <w:rPr>
          <w:sz w:val="20"/>
          <w:szCs w:val="20"/>
          <w:color w:val="auto"/>
        </w:rPr>
      </w:pPr>
    </w:p>
    <w:p>
      <w:pPr>
        <w:ind w:left="920" w:right="519"/>
        <w:spacing w:after="0" w:line="226" w:lineRule="auto"/>
        <w:rPr>
          <w:sz w:val="20"/>
          <w:szCs w:val="20"/>
          <w:color w:val="auto"/>
        </w:rPr>
      </w:pPr>
      <w:r>
        <w:rPr>
          <w:rFonts w:ascii="Arial" w:cs="Arial" w:eastAsia="Arial" w:hAnsi="Arial"/>
          <w:sz w:val="18"/>
          <w:szCs w:val="18"/>
          <w:color w:val="auto"/>
        </w:rPr>
        <w:t>executive engagement and support required during an ownership transition that may result in the termination of their employment. The severance arrangements for the Current NEOs generally provide</w:t>
      </w:r>
    </w:p>
    <w:p>
      <w:pPr>
        <w:ind w:left="920"/>
        <w:spacing w:after="0" w:line="236" w:lineRule="auto"/>
        <w:rPr>
          <w:sz w:val="20"/>
          <w:szCs w:val="20"/>
          <w:color w:val="auto"/>
        </w:rPr>
      </w:pPr>
      <w:r>
        <w:rPr>
          <w:rFonts w:ascii="Arial" w:cs="Arial" w:eastAsia="Arial" w:hAnsi="Arial"/>
          <w:sz w:val="18"/>
          <w:szCs w:val="18"/>
          <w:color w:val="auto"/>
        </w:rPr>
        <w:t>that, upon termination of the NEO’s employment by the Company without cause, by the NEO for good</w:t>
      </w:r>
    </w:p>
    <w:p>
      <w:pPr>
        <w:spacing w:after="0" w:line="1" w:lineRule="exact"/>
        <w:rPr>
          <w:sz w:val="20"/>
          <w:szCs w:val="20"/>
          <w:color w:val="auto"/>
        </w:rPr>
      </w:pPr>
    </w:p>
    <w:p>
      <w:pPr>
        <w:ind w:left="920" w:right="479"/>
        <w:spacing w:after="0" w:line="237" w:lineRule="auto"/>
        <w:rPr>
          <w:sz w:val="20"/>
          <w:szCs w:val="20"/>
          <w:color w:val="auto"/>
        </w:rPr>
      </w:pPr>
      <w:r>
        <w:rPr>
          <w:rFonts w:ascii="Arial" w:cs="Arial" w:eastAsia="Arial" w:hAnsi="Arial"/>
          <w:sz w:val="18"/>
          <w:szCs w:val="18"/>
          <w:color w:val="auto"/>
        </w:rPr>
        <w:t>reason or due to death or disability of the NEO, the NEO is entitled to certain severance payments and benefits as described below.</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Bruce McClelland</w:t>
      </w:r>
    </w:p>
    <w:p>
      <w:pPr>
        <w:spacing w:after="0" w:line="135" w:lineRule="exact"/>
        <w:rPr>
          <w:sz w:val="20"/>
          <w:szCs w:val="20"/>
          <w:color w:val="auto"/>
        </w:rPr>
      </w:pPr>
    </w:p>
    <w:p>
      <w:pPr>
        <w:ind w:left="920" w:right="419"/>
        <w:spacing w:after="0" w:line="245" w:lineRule="auto"/>
        <w:rPr>
          <w:sz w:val="20"/>
          <w:szCs w:val="20"/>
          <w:color w:val="auto"/>
        </w:rPr>
      </w:pPr>
      <w:r>
        <w:rPr>
          <w:rFonts w:ascii="Arial" w:cs="Arial" w:eastAsia="Arial" w:hAnsi="Arial"/>
          <w:sz w:val="18"/>
          <w:szCs w:val="18"/>
          <w:color w:val="auto"/>
        </w:rPr>
        <w:t>We have entered into a severance agreement with Mr. McClelland (the “</w:t>
      </w:r>
      <w:r>
        <w:rPr>
          <w:rFonts w:ascii="Arial" w:cs="Arial" w:eastAsia="Arial" w:hAnsi="Arial"/>
          <w:sz w:val="18"/>
          <w:szCs w:val="18"/>
          <w:i w:val="1"/>
          <w:iCs w:val="1"/>
          <w:color w:val="auto"/>
        </w:rPr>
        <w:t>McClelland Severance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Upon a termination of Mr. McClelland’s employment by the Company without Cause or by</w:t>
      </w:r>
    </w:p>
    <w:p>
      <w:pPr>
        <w:ind w:left="920" w:right="1299"/>
        <w:spacing w:after="0" w:line="237" w:lineRule="auto"/>
        <w:rPr>
          <w:sz w:val="20"/>
          <w:szCs w:val="20"/>
          <w:color w:val="auto"/>
        </w:rPr>
      </w:pPr>
      <w:r>
        <w:rPr>
          <w:rFonts w:ascii="Arial" w:cs="Arial" w:eastAsia="Arial" w:hAnsi="Arial"/>
          <w:sz w:val="18"/>
          <w:szCs w:val="18"/>
          <w:color w:val="auto"/>
        </w:rPr>
        <w:t>Mr. McClelland for Good Reason (each as defined in the McClelland Severance Agreement), Mr. McClelland is entitled to:</w:t>
      </w:r>
    </w:p>
    <w:p>
      <w:pPr>
        <w:spacing w:after="0" w:line="113" w:lineRule="exact"/>
        <w:rPr>
          <w:sz w:val="20"/>
          <w:szCs w:val="20"/>
          <w:color w:val="auto"/>
        </w:rPr>
      </w:pPr>
    </w:p>
    <w:p>
      <w:pPr>
        <w:ind w:left="1640" w:hanging="356"/>
        <w:spacing w:after="0"/>
        <w:tabs>
          <w:tab w:leader="none" w:pos="1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severance payments equal to:</w:t>
      </w:r>
    </w:p>
    <w:p>
      <w:pPr>
        <w:spacing w:after="0" w:line="117" w:lineRule="exact"/>
        <w:rPr>
          <w:rFonts w:ascii="Arial" w:cs="Arial" w:eastAsia="Arial" w:hAnsi="Arial"/>
          <w:sz w:val="18"/>
          <w:szCs w:val="18"/>
          <w:color w:val="auto"/>
        </w:rPr>
      </w:pPr>
    </w:p>
    <w:p>
      <w:pPr>
        <w:ind w:left="2000" w:hanging="356"/>
        <w:spacing w:after="0"/>
        <w:tabs>
          <w:tab w:leader="none" w:pos="20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100% of his annual base salary, payable over 12 months following termination,</w:t>
      </w:r>
    </w:p>
    <w:p>
      <w:pPr>
        <w:spacing w:after="0" w:line="130" w:lineRule="exact"/>
        <w:rPr>
          <w:rFonts w:ascii="Arial" w:cs="Arial" w:eastAsia="Arial" w:hAnsi="Arial"/>
          <w:sz w:val="18"/>
          <w:szCs w:val="18"/>
          <w:color w:val="auto"/>
        </w:rPr>
      </w:pPr>
    </w:p>
    <w:p>
      <w:pPr>
        <w:ind w:left="2000" w:right="619" w:hanging="356"/>
        <w:spacing w:after="0" w:line="287" w:lineRule="auto"/>
        <w:tabs>
          <w:tab w:leader="none" w:pos="20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his target annual bonus, payable at the same time as such bonus would have been paid absent termination, and</w:t>
      </w:r>
    </w:p>
    <w:p>
      <w:pPr>
        <w:spacing w:after="0" w:line="58" w:lineRule="exact"/>
        <w:rPr>
          <w:rFonts w:ascii="Arial" w:cs="Arial" w:eastAsia="Arial" w:hAnsi="Arial"/>
          <w:sz w:val="18"/>
          <w:szCs w:val="18"/>
          <w:color w:val="auto"/>
        </w:rPr>
      </w:pPr>
    </w:p>
    <w:p>
      <w:pPr>
        <w:ind w:left="2000" w:right="359" w:hanging="356"/>
        <w:spacing w:after="0" w:line="247" w:lineRule="auto"/>
        <w:tabs>
          <w:tab w:leader="none" w:pos="20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in the event such termination occurs more than six months following the commencement of the fiscal year, Mr. McClelland shall be entitled to receive a prorated portion of the annual bonus for the fiscal year of termination based on actual Company performance and target individual performance (such proration based on the number of days actually employed in such fiscal year) (the “</w:t>
      </w:r>
      <w:r>
        <w:rPr>
          <w:rFonts w:ascii="Arial" w:cs="Arial" w:eastAsia="Arial" w:hAnsi="Arial"/>
          <w:sz w:val="18"/>
          <w:szCs w:val="18"/>
          <w:i w:val="1"/>
          <w:iCs w:val="1"/>
          <w:color w:val="auto"/>
        </w:rPr>
        <w:t>Pro Rata Bonus</w:t>
      </w:r>
      <w:r>
        <w:rPr>
          <w:rFonts w:ascii="Arial" w:cs="Arial" w:eastAsia="Arial" w:hAnsi="Arial"/>
          <w:sz w:val="18"/>
          <w:szCs w:val="18"/>
          <w:color w:val="auto"/>
        </w:rPr>
        <w:t>”), and</w:t>
      </w:r>
    </w:p>
    <w:p>
      <w:pPr>
        <w:spacing w:after="0" w:line="95" w:lineRule="exact"/>
        <w:rPr>
          <w:rFonts w:ascii="Arial" w:cs="Arial" w:eastAsia="Arial" w:hAnsi="Arial"/>
          <w:sz w:val="18"/>
          <w:szCs w:val="18"/>
          <w:color w:val="auto"/>
        </w:rPr>
      </w:pPr>
    </w:p>
    <w:p>
      <w:pPr>
        <w:ind w:left="1640" w:right="659" w:hanging="356"/>
        <w:spacing w:after="0" w:line="261" w:lineRule="auto"/>
        <w:tabs>
          <w:tab w:leader="none" w:pos="1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lump sum payment of an amount equal to the sum of the Company’s share of health plan premium payments for a period of 12 months following termination. In addition, upon such a termination,</w:t>
      </w:r>
    </w:p>
    <w:p>
      <w:pPr>
        <w:spacing w:after="0" w:line="67" w:lineRule="exact"/>
        <w:rPr>
          <w:rFonts w:ascii="Arial" w:cs="Arial" w:eastAsia="Arial" w:hAnsi="Arial"/>
          <w:sz w:val="18"/>
          <w:szCs w:val="18"/>
          <w:color w:val="auto"/>
        </w:rPr>
      </w:pPr>
    </w:p>
    <w:p>
      <w:pPr>
        <w:ind w:left="2000" w:right="139" w:hanging="360"/>
        <w:spacing w:after="0" w:line="261" w:lineRule="auto"/>
        <w:rPr>
          <w:rFonts w:ascii="Arial" w:cs="Arial" w:eastAsia="Arial" w:hAnsi="Arial"/>
          <w:sz w:val="18"/>
          <w:szCs w:val="18"/>
          <w:color w:val="auto"/>
        </w:rPr>
      </w:pPr>
      <w:r>
        <w:rPr>
          <w:rFonts w:ascii="Arial" w:cs="Arial" w:eastAsia="Arial" w:hAnsi="Arial"/>
          <w:sz w:val="18"/>
          <w:szCs w:val="18"/>
          <w:color w:val="auto"/>
        </w:rPr>
        <w:t>(A) Mr. McClelland’s equity awards that are subject to vesting based solely upon Mr. McClelland’s continued service with the Company and would have vested during the 12-month period following the date of Mr. McClelland’s termination of employment shall vest, and</w:t>
      </w:r>
    </w:p>
    <w:p>
      <w:pPr>
        <w:spacing w:after="0" w:line="94" w:lineRule="exact"/>
        <w:rPr>
          <w:rFonts w:ascii="Arial" w:cs="Arial" w:eastAsia="Arial" w:hAnsi="Arial"/>
          <w:sz w:val="18"/>
          <w:szCs w:val="18"/>
          <w:color w:val="auto"/>
        </w:rPr>
      </w:pPr>
    </w:p>
    <w:p>
      <w:pPr>
        <w:ind w:left="2360" w:right="179" w:hanging="720"/>
        <w:spacing w:after="0" w:line="247" w:lineRule="auto"/>
        <w:rPr>
          <w:rFonts w:ascii="Arial" w:cs="Arial" w:eastAsia="Arial" w:hAnsi="Arial"/>
          <w:sz w:val="18"/>
          <w:szCs w:val="18"/>
          <w:color w:val="auto"/>
        </w:rPr>
      </w:pPr>
      <w:r>
        <w:rPr>
          <w:rFonts w:ascii="Arial" w:cs="Arial" w:eastAsia="Arial" w:hAnsi="Arial"/>
          <w:sz w:val="18"/>
          <w:szCs w:val="18"/>
          <w:color w:val="auto"/>
        </w:rPr>
        <w:t>(B) (i) all awards that are subject to vesting in whole or in part based on the achievement of performance objective(s) (other than the McClelland Sign-On PSUs) (collectively, “</w:t>
      </w:r>
      <w:r>
        <w:rPr>
          <w:rFonts w:ascii="Arial" w:cs="Arial" w:eastAsia="Arial" w:hAnsi="Arial"/>
          <w:sz w:val="18"/>
          <w:szCs w:val="18"/>
          <w:i w:val="1"/>
          <w:iCs w:val="1"/>
          <w:color w:val="auto"/>
        </w:rPr>
        <w:t>Performance-Based Equity Awards</w:t>
      </w:r>
      <w:r>
        <w:rPr>
          <w:rFonts w:ascii="Arial" w:cs="Arial" w:eastAsia="Arial" w:hAnsi="Arial"/>
          <w:sz w:val="18"/>
          <w:szCs w:val="18"/>
          <w:color w:val="auto"/>
        </w:rPr>
        <w:t>”) with respect to any performance periods ending on or prior to the date of termination shall remain eligible to vest based on actual performance through the end of the applicable performance period, and</w:t>
      </w:r>
    </w:p>
    <w:p>
      <w:pPr>
        <w:spacing w:after="0" w:line="95" w:lineRule="exact"/>
        <w:rPr>
          <w:rFonts w:ascii="Arial" w:cs="Arial" w:eastAsia="Arial" w:hAnsi="Arial"/>
          <w:sz w:val="18"/>
          <w:szCs w:val="18"/>
          <w:color w:val="auto"/>
        </w:rPr>
      </w:pPr>
    </w:p>
    <w:p>
      <w:pPr>
        <w:ind w:left="2360" w:right="99" w:hanging="356"/>
        <w:spacing w:after="0" w:line="251" w:lineRule="auto"/>
        <w:tabs>
          <w:tab w:leader="none" w:pos="23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a pro-rated portion of Performance-Based Equity Awards with respect to any performance periods in which the date of termination occurs shall remain eligible to vest based on performance through the end of the fiscal year in which the date of termination occurs based on actual performance through the end of such fiscal year (such proration based on the number of days actually employed during such performance period).</w:t>
      </w:r>
    </w:p>
    <w:p>
      <w:pPr>
        <w:spacing w:after="0" w:line="9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Notwithstanding the foregoing, to the extent a termination by the Company without Cause or by</w:t>
      </w:r>
    </w:p>
    <w:p>
      <w:pPr>
        <w:jc w:val="both"/>
        <w:ind w:left="920" w:right="199"/>
        <w:spacing w:after="0" w:line="243" w:lineRule="auto"/>
        <w:rPr>
          <w:sz w:val="20"/>
          <w:szCs w:val="20"/>
          <w:color w:val="auto"/>
        </w:rPr>
      </w:pPr>
      <w:r>
        <w:rPr>
          <w:rFonts w:ascii="Arial" w:cs="Arial" w:eastAsia="Arial" w:hAnsi="Arial"/>
          <w:sz w:val="18"/>
          <w:szCs w:val="18"/>
          <w:color w:val="auto"/>
        </w:rPr>
        <w:t>Mr. McClelland for Good Reason occurs within 12 months following a Change in Control (as defined in the McClelland Severance Agreement), Mr. McClelland is entitled to receive a cash lump sum payment equal to:</w:t>
      </w:r>
    </w:p>
    <w:p>
      <w:pPr>
        <w:spacing w:after="0" w:line="305" w:lineRule="exact"/>
        <w:rPr>
          <w:sz w:val="20"/>
          <w:szCs w:val="20"/>
          <w:color w:val="auto"/>
        </w:rPr>
      </w:pPr>
    </w:p>
    <w:p>
      <w:pPr>
        <w:ind w:left="1640" w:hanging="356"/>
        <w:spacing w:after="0"/>
        <w:tabs>
          <w:tab w:leader="none" w:pos="1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200% of (X) his annual base salary, and (Y) his target annual bonus,</w:t>
      </w:r>
    </w:p>
    <w:p>
      <w:pPr>
        <w:spacing w:after="0" w:line="130" w:lineRule="exact"/>
        <w:rPr>
          <w:rFonts w:ascii="Arial" w:cs="Arial" w:eastAsia="Arial" w:hAnsi="Arial"/>
          <w:sz w:val="18"/>
          <w:szCs w:val="18"/>
          <w:color w:val="auto"/>
        </w:rPr>
      </w:pPr>
    </w:p>
    <w:p>
      <w:pPr>
        <w:ind w:left="1640" w:right="419" w:hanging="356"/>
        <w:spacing w:after="0" w:line="271" w:lineRule="auto"/>
        <w:tabs>
          <w:tab w:leader="none" w:pos="1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event such termination occurs more than six months following the commencement of the fiscal year, the Pro Rata Bonus, and</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58</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167640</wp:posOffset>
            </wp:positionV>
            <wp:extent cx="683196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1640" w:right="739" w:hanging="356"/>
        <w:spacing w:after="0" w:line="271" w:lineRule="auto"/>
        <w:tabs>
          <w:tab w:leader="none" w:pos="1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lump sum payment of an amount equal to the sum of the Company’s share of health plan premium payments for a period of 24 months following termination.</w:t>
      </w:r>
    </w:p>
    <w:p>
      <w:pPr>
        <w:spacing w:after="0" w:line="86" w:lineRule="exact"/>
        <w:rPr>
          <w:sz w:val="20"/>
          <w:szCs w:val="20"/>
          <w:color w:val="auto"/>
        </w:rPr>
      </w:pPr>
    </w:p>
    <w:p>
      <w:pPr>
        <w:ind w:left="920" w:right="119"/>
        <w:spacing w:after="0" w:line="248" w:lineRule="auto"/>
        <w:rPr>
          <w:sz w:val="20"/>
          <w:szCs w:val="20"/>
          <w:color w:val="auto"/>
        </w:rPr>
      </w:pPr>
      <w:r>
        <w:rPr>
          <w:rFonts w:ascii="Arial" w:cs="Arial" w:eastAsia="Arial" w:hAnsi="Arial"/>
          <w:sz w:val="18"/>
          <w:szCs w:val="18"/>
          <w:color w:val="auto"/>
        </w:rPr>
        <w:t>In addition, upon such a termination, the vesting of all of Mr. McClelland’s outstanding equity awards (other than the Sign-on RSUs and the Sign -On PSUs) will accelerate, with Performance- Based Equity Awards vesting as if target performance had been achieved, pursuant to the McClelland Severance Agreement. Further, the Sign- on RSUs and Sign-On PSUs will be eligible to vest on or following a Change in Control (as defined in the McClelland Severance Agreement) in accordance with the terms of the underlying award agreements.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John Townsend, Sam Bucci, Dan Redington and Patrick Macken</w:t>
      </w:r>
    </w:p>
    <w:p>
      <w:pPr>
        <w:spacing w:after="0" w:line="162" w:lineRule="exact"/>
        <w:rPr>
          <w:sz w:val="20"/>
          <w:szCs w:val="20"/>
          <w:color w:val="auto"/>
        </w:rPr>
      </w:pPr>
    </w:p>
    <w:p>
      <w:pPr>
        <w:ind w:left="920" w:right="199"/>
        <w:spacing w:after="0" w:line="245" w:lineRule="auto"/>
        <w:rPr>
          <w:sz w:val="20"/>
          <w:szCs w:val="20"/>
          <w:color w:val="auto"/>
        </w:rPr>
      </w:pPr>
      <w:r>
        <w:rPr>
          <w:rFonts w:ascii="Arial" w:cs="Arial" w:eastAsia="Arial" w:hAnsi="Arial"/>
          <w:sz w:val="18"/>
          <w:szCs w:val="18"/>
          <w:color w:val="auto"/>
        </w:rPr>
        <w:t>We have entered into severance agreements with each of Messrs. Townsend, Bucci, Redington and Macken (each an “</w:t>
      </w:r>
      <w:r>
        <w:rPr>
          <w:rFonts w:ascii="Arial" w:cs="Arial" w:eastAsia="Arial" w:hAnsi="Arial"/>
          <w:sz w:val="18"/>
          <w:szCs w:val="18"/>
          <w:i w:val="1"/>
          <w:iCs w:val="1"/>
          <w:color w:val="auto"/>
        </w:rPr>
        <w:t>Executive Severance Agreement</w:t>
      </w:r>
      <w:r>
        <w:rPr>
          <w:rFonts w:ascii="Arial" w:cs="Arial" w:eastAsia="Arial" w:hAnsi="Arial"/>
          <w:sz w:val="18"/>
          <w:szCs w:val="18"/>
          <w:color w:val="auto"/>
        </w:rPr>
        <w:t>”) . Each of the Executive Severance Agreements is subject to a three-year term, with automatic one-year renewals thereafter unless six months’ prior written notice of non-renewal is given before the term automatically renews. In no event will any of the Severance Agreements end before the first anniversary of the date of the closing of a Change of Control (as such term is defined in the respective Severance Agreements) of the Company.</w:t>
      </w:r>
    </w:p>
    <w:p>
      <w:pPr>
        <w:spacing w:after="0" w:line="109" w:lineRule="exact"/>
        <w:rPr>
          <w:sz w:val="20"/>
          <w:szCs w:val="20"/>
          <w:color w:val="auto"/>
        </w:rPr>
      </w:pPr>
    </w:p>
    <w:p>
      <w:pPr>
        <w:ind w:left="920" w:right="159"/>
        <w:spacing w:after="0" w:line="247" w:lineRule="auto"/>
        <w:rPr>
          <w:sz w:val="20"/>
          <w:szCs w:val="20"/>
          <w:color w:val="auto"/>
        </w:rPr>
      </w:pPr>
      <w:r>
        <w:rPr>
          <w:rFonts w:ascii="Arial" w:cs="Arial" w:eastAsia="Arial" w:hAnsi="Arial"/>
          <w:sz w:val="18"/>
          <w:szCs w:val="18"/>
          <w:color w:val="auto"/>
        </w:rPr>
        <w:t>Under each of the Executive Severance Agreements, if the Company terminates the employment of Mr. Townsend, Mr. Bucci, Mr. Redington or Mr. Macken without Cause (as such term is defined in the respective Executive Severance Agreement) (other than due to death or Disability (as such term is defined in the respective Executive Severance Agreement)) or if Mr. Townsend, Mr. Bucci, Mr. Redington or</w:t>
      </w:r>
    </w:p>
    <w:p>
      <w:pPr>
        <w:spacing w:after="0" w:line="3" w:lineRule="exact"/>
        <w:rPr>
          <w:sz w:val="20"/>
          <w:szCs w:val="20"/>
          <w:color w:val="auto"/>
        </w:rPr>
      </w:pPr>
    </w:p>
    <w:p>
      <w:pPr>
        <w:ind w:left="920" w:right="239"/>
        <w:spacing w:after="0" w:line="242" w:lineRule="auto"/>
        <w:rPr>
          <w:sz w:val="20"/>
          <w:szCs w:val="20"/>
          <w:color w:val="auto"/>
        </w:rPr>
      </w:pPr>
      <w:r>
        <w:rPr>
          <w:rFonts w:ascii="Arial" w:cs="Arial" w:eastAsia="Arial" w:hAnsi="Arial"/>
          <w:sz w:val="18"/>
          <w:szCs w:val="18"/>
          <w:color w:val="auto"/>
        </w:rPr>
        <w:t>Mr. Macken terminates his employment with Good Reason (as such term is defined in the respective Executive Severance Agreement) outside of a Change of Control Protection Period (such term is defined as the period beginning on the date of the closing of a Change in Control and ending on the first anniversary of such Change in Control), each of Messrs. Townsend, Bucci, Redington and Macken will be entitled, less applicable withholdings, to receive:</w:t>
      </w:r>
    </w:p>
    <w:p>
      <w:pPr>
        <w:spacing w:after="0" w:line="113" w:lineRule="exact"/>
        <w:rPr>
          <w:sz w:val="20"/>
          <w:szCs w:val="20"/>
          <w:color w:val="auto"/>
        </w:rPr>
      </w:pPr>
    </w:p>
    <w:p>
      <w:pPr>
        <w:ind w:left="1640" w:right="219" w:hanging="356"/>
        <w:spacing w:after="0" w:line="252" w:lineRule="auto"/>
        <w:tabs>
          <w:tab w:leader="none" w:pos="1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continued payment of his then-current base salary for a period of (a) 12 months following the termination date for Messrs. Bucci, Macken and Redington (b) 6 months following the termination date for Mr. Townsend if the termination date occurs prior to the 18-month anniversary of his employment and 12 months following the termination date thereafter;</w:t>
      </w:r>
    </w:p>
    <w:p>
      <w:pPr>
        <w:spacing w:after="0" w:line="102" w:lineRule="exact"/>
        <w:rPr>
          <w:rFonts w:ascii="Arial" w:cs="Arial" w:eastAsia="Arial" w:hAnsi="Arial"/>
          <w:sz w:val="18"/>
          <w:szCs w:val="18"/>
          <w:color w:val="auto"/>
        </w:rPr>
      </w:pPr>
    </w:p>
    <w:p>
      <w:pPr>
        <w:ind w:left="1640" w:right="179" w:hanging="356"/>
        <w:spacing w:after="0" w:line="271" w:lineRule="auto"/>
        <w:tabs>
          <w:tab w:leader="none" w:pos="1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one-time lump sum cash amount equal to his pro-rated annual bonus, payable at the same time annual bonuses are paid, if at all, to other executive officers of the Company;</w:t>
      </w:r>
    </w:p>
    <w:p>
      <w:pPr>
        <w:spacing w:after="0" w:line="86" w:lineRule="exact"/>
        <w:rPr>
          <w:rFonts w:ascii="Arial" w:cs="Arial" w:eastAsia="Arial" w:hAnsi="Arial"/>
          <w:sz w:val="18"/>
          <w:szCs w:val="18"/>
          <w:color w:val="auto"/>
        </w:rPr>
      </w:pPr>
    </w:p>
    <w:p>
      <w:pPr>
        <w:ind w:left="1640" w:right="279" w:hanging="356"/>
        <w:spacing w:after="0" w:line="261" w:lineRule="auto"/>
        <w:tabs>
          <w:tab w:leader="none" w:pos="1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one-time lump sum cash amount equal to the aggregate sum of the Company’s share of medical, dental and vision insurance premiums for such executive officer and his dependents for the 12-month period following the termination date;</w:t>
      </w:r>
    </w:p>
    <w:p>
      <w:pPr>
        <w:spacing w:after="0" w:line="94" w:lineRule="exact"/>
        <w:rPr>
          <w:rFonts w:ascii="Arial" w:cs="Arial" w:eastAsia="Arial" w:hAnsi="Arial"/>
          <w:sz w:val="18"/>
          <w:szCs w:val="18"/>
          <w:color w:val="auto"/>
        </w:rPr>
      </w:pPr>
    </w:p>
    <w:p>
      <w:pPr>
        <w:ind w:left="1640" w:right="879" w:hanging="356"/>
        <w:spacing w:after="0" w:line="271" w:lineRule="auto"/>
        <w:tabs>
          <w:tab w:leader="none" w:pos="1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accelerated vesting of the executive officer’s unvested time-based equity awards that are scheduled to vest within twelve months following his termination date; and</w:t>
      </w:r>
    </w:p>
    <w:p>
      <w:pPr>
        <w:spacing w:after="0" w:line="86" w:lineRule="exact"/>
        <w:rPr>
          <w:rFonts w:ascii="Arial" w:cs="Arial" w:eastAsia="Arial" w:hAnsi="Arial"/>
          <w:sz w:val="18"/>
          <w:szCs w:val="18"/>
          <w:color w:val="auto"/>
        </w:rPr>
      </w:pPr>
    </w:p>
    <w:p>
      <w:pPr>
        <w:ind w:left="1640" w:right="499" w:hanging="356"/>
        <w:spacing w:after="0" w:line="261" w:lineRule="auto"/>
        <w:tabs>
          <w:tab w:leader="none" w:pos="1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continued eligibility to pro-rata vest unvested performance-based equity awards subject to the Company’s actual achievement of applicable performance conditions for the portion of the performance period through the executive officer’s termination date.</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the Company terminates the employment of any of Mr. Townsend, Mr. Bucci, Mr. Redington or</w:t>
      </w:r>
    </w:p>
    <w:p>
      <w:pPr>
        <w:spacing w:after="0" w:line="14" w:lineRule="exact"/>
        <w:rPr>
          <w:sz w:val="20"/>
          <w:szCs w:val="20"/>
          <w:color w:val="auto"/>
        </w:rPr>
      </w:pPr>
    </w:p>
    <w:p>
      <w:pPr>
        <w:ind w:left="920" w:right="239"/>
        <w:spacing w:after="0" w:line="250" w:lineRule="auto"/>
        <w:rPr>
          <w:sz w:val="20"/>
          <w:szCs w:val="20"/>
          <w:color w:val="auto"/>
        </w:rPr>
      </w:pPr>
      <w:r>
        <w:rPr>
          <w:rFonts w:ascii="Arial" w:cs="Arial" w:eastAsia="Arial" w:hAnsi="Arial"/>
          <w:sz w:val="18"/>
          <w:szCs w:val="18"/>
          <w:color w:val="auto"/>
        </w:rPr>
        <w:t>Mr. Macken without Cause (other than as a result of his death or Disability) or if any of these executive officers terminates his employment with Good Reason during a Change in Control Protection Period, then such executive officer will be entitled to receive:</w:t>
      </w:r>
    </w:p>
    <w:p>
      <w:pPr>
        <w:spacing w:after="0" w:line="105" w:lineRule="exact"/>
        <w:rPr>
          <w:sz w:val="20"/>
          <w:szCs w:val="20"/>
          <w:color w:val="auto"/>
        </w:rPr>
      </w:pPr>
    </w:p>
    <w:p>
      <w:pPr>
        <w:ind w:left="1640" w:hanging="356"/>
        <w:spacing w:after="0"/>
        <w:tabs>
          <w:tab w:leader="none" w:pos="1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one-time lump sum cash amount equal to twelve months of his then-current base salary;</w:t>
      </w:r>
    </w:p>
    <w:p>
      <w:pPr>
        <w:spacing w:after="0" w:line="144" w:lineRule="exact"/>
        <w:rPr>
          <w:rFonts w:ascii="Arial" w:cs="Arial" w:eastAsia="Arial" w:hAnsi="Arial"/>
          <w:sz w:val="18"/>
          <w:szCs w:val="18"/>
          <w:color w:val="auto"/>
        </w:rPr>
      </w:pPr>
    </w:p>
    <w:p>
      <w:pPr>
        <w:ind w:left="1640" w:hanging="356"/>
        <w:spacing w:after="0"/>
        <w:tabs>
          <w:tab w:leader="none" w:pos="1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one-time lump sum cash amount equal to his then-target annual bonus;</w:t>
      </w:r>
    </w:p>
    <w:p>
      <w:pPr>
        <w:spacing w:after="0" w:line="144" w:lineRule="exact"/>
        <w:rPr>
          <w:rFonts w:ascii="Arial" w:cs="Arial" w:eastAsia="Arial" w:hAnsi="Arial"/>
          <w:sz w:val="18"/>
          <w:szCs w:val="18"/>
          <w:color w:val="auto"/>
        </w:rPr>
      </w:pPr>
    </w:p>
    <w:p>
      <w:pPr>
        <w:ind w:left="1640" w:right="179" w:hanging="356"/>
        <w:spacing w:after="0" w:line="271" w:lineRule="auto"/>
        <w:tabs>
          <w:tab w:leader="none" w:pos="1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one-time lump sum cash amount equal to his pro-rated annual bonus, payable at the same time annual bonuses are paid, if at all, to other executive officers of the Company;</w:t>
      </w:r>
    </w:p>
    <w:p>
      <w:pPr>
        <w:spacing w:after="0" w:line="86" w:lineRule="exact"/>
        <w:rPr>
          <w:rFonts w:ascii="Arial" w:cs="Arial" w:eastAsia="Arial" w:hAnsi="Arial"/>
          <w:sz w:val="18"/>
          <w:szCs w:val="18"/>
          <w:color w:val="auto"/>
        </w:rPr>
      </w:pPr>
    </w:p>
    <w:p>
      <w:pPr>
        <w:ind w:left="1640" w:hanging="356"/>
        <w:spacing w:after="0"/>
        <w:tabs>
          <w:tab w:leader="none" w:pos="1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one-time lump sum cash amount equal to the aggregate sum of the Company’s share of</w:t>
      </w:r>
    </w:p>
    <w:p>
      <w:pPr>
        <w:spacing w:after="0" w:line="198"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1640" w:right="279"/>
        <w:spacing w:after="0" w:line="271" w:lineRule="auto"/>
        <w:rPr>
          <w:sz w:val="20"/>
          <w:szCs w:val="20"/>
          <w:color w:val="auto"/>
        </w:rPr>
      </w:pPr>
      <w:r>
        <w:rPr>
          <w:rFonts w:ascii="Arial" w:cs="Arial" w:eastAsia="Arial" w:hAnsi="Arial"/>
          <w:sz w:val="18"/>
          <w:szCs w:val="18"/>
          <w:color w:val="auto"/>
        </w:rPr>
        <w:t>medical, dental and vision insurance premiums for such executive officer and his dependents for the 12-month period following the termination date;</w:t>
      </w:r>
    </w:p>
    <w:p>
      <w:pPr>
        <w:spacing w:after="0" w:line="86" w:lineRule="exact"/>
        <w:rPr>
          <w:sz w:val="20"/>
          <w:szCs w:val="20"/>
          <w:color w:val="auto"/>
        </w:rPr>
      </w:pPr>
    </w:p>
    <w:p>
      <w:pPr>
        <w:ind w:left="1640" w:hanging="356"/>
        <w:spacing w:after="0"/>
        <w:tabs>
          <w:tab w:leader="none" w:pos="16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full accelerated vesting of the executive officer’s unvested time-based equity awards; and</w:t>
      </w:r>
    </w:p>
    <w:p>
      <w:pPr>
        <w:spacing w:after="0" w:line="144" w:lineRule="exact"/>
        <w:rPr>
          <w:rFonts w:ascii="Arial" w:cs="Arial" w:eastAsia="Arial" w:hAnsi="Arial"/>
          <w:sz w:val="18"/>
          <w:szCs w:val="18"/>
          <w:color w:val="auto"/>
        </w:rPr>
      </w:pPr>
    </w:p>
    <w:p>
      <w:pPr>
        <w:ind w:left="1640" w:right="219" w:hanging="356"/>
        <w:spacing w:after="0" w:line="287" w:lineRule="auto"/>
        <w:tabs>
          <w:tab w:leader="none" w:pos="16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full accelerated vesting of the executive officer’s unvested performance-based equity awards at a target level of achievement for each applicable performance condition.</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Equity Award Acceleration</w:t>
      </w:r>
    </w:p>
    <w:p>
      <w:pPr>
        <w:spacing w:after="0" w:line="148" w:lineRule="exact"/>
        <w:rPr>
          <w:sz w:val="20"/>
          <w:szCs w:val="20"/>
          <w:color w:val="auto"/>
        </w:rPr>
      </w:pPr>
    </w:p>
    <w:p>
      <w:pPr>
        <w:ind w:left="920" w:right="199"/>
        <w:spacing w:after="0" w:line="246" w:lineRule="auto"/>
        <w:rPr>
          <w:sz w:val="20"/>
          <w:szCs w:val="20"/>
          <w:color w:val="auto"/>
        </w:rPr>
      </w:pPr>
      <w:r>
        <w:rPr>
          <w:rFonts w:ascii="Arial" w:cs="Arial" w:eastAsia="Arial" w:hAnsi="Arial"/>
          <w:sz w:val="18"/>
          <w:szCs w:val="18"/>
          <w:color w:val="auto"/>
        </w:rPr>
        <w:t>In addition to the severance benefits and payments described above, in the event of a Change in Control (as defined in the Amended and Restated 2019 Plan and referred to herein as a “change in control”), our forms of equity agreements under the Amended and Restated 2019 Plan provide for certain accelerated vesting of awards thereunder. Except as otherwise noted in the severance arrangements above, effective immediately prior to the occurrence of a change in control, an additional one -third of the number of shares covered by the restricted stock award will become vested and the remaining unvested shares subject to the restricted stock award will continue to vest pursuant to the vesting schedule set forth in the award, except that the vesting schedule will be shortened by 12 months.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60</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7"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Potential Payments Upon Termination or Upon Change in Control</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table below shows potential payments to the NEOs with severance or change in control arrangements</w:t>
      </w:r>
    </w:p>
    <w:p>
      <w:pPr>
        <w:spacing w:after="0" w:line="14" w:lineRule="exact"/>
        <w:rPr>
          <w:sz w:val="20"/>
          <w:szCs w:val="20"/>
          <w:color w:val="auto"/>
        </w:rPr>
      </w:pPr>
    </w:p>
    <w:p>
      <w:pPr>
        <w:ind w:left="920" w:right="159"/>
        <w:spacing w:after="0" w:line="226" w:lineRule="auto"/>
        <w:rPr>
          <w:sz w:val="20"/>
          <w:szCs w:val="20"/>
          <w:color w:val="auto"/>
        </w:rPr>
      </w:pPr>
      <w:r>
        <w:rPr>
          <w:rFonts w:ascii="Arial" w:cs="Arial" w:eastAsia="Arial" w:hAnsi="Arial"/>
          <w:sz w:val="18"/>
          <w:szCs w:val="18"/>
          <w:color w:val="auto"/>
        </w:rPr>
        <w:t>upon termination or upon a change in control of our Company. The amounts shown assume that termination and/or change in control was effective as of December 31, 2024, the last day of our fiscal year,</w:t>
      </w:r>
    </w:p>
    <w:p>
      <w:pPr>
        <w:ind w:left="920"/>
        <w:spacing w:after="0" w:line="236" w:lineRule="auto"/>
        <w:rPr>
          <w:sz w:val="20"/>
          <w:szCs w:val="20"/>
          <w:color w:val="auto"/>
        </w:rPr>
      </w:pPr>
      <w:r>
        <w:rPr>
          <w:rFonts w:ascii="Arial" w:cs="Arial" w:eastAsia="Arial" w:hAnsi="Arial"/>
          <w:sz w:val="18"/>
          <w:szCs w:val="18"/>
          <w:color w:val="auto"/>
        </w:rPr>
        <w:t>and are estimates of the amounts that would have been paid to or realized by the NEOs upon such a</w:t>
      </w:r>
    </w:p>
    <w:p>
      <w:pPr>
        <w:spacing w:after="0" w:line="1" w:lineRule="exact"/>
        <w:rPr>
          <w:sz w:val="20"/>
          <w:szCs w:val="20"/>
          <w:color w:val="auto"/>
        </w:rPr>
      </w:pPr>
    </w:p>
    <w:p>
      <w:pPr>
        <w:ind w:left="920" w:right="659"/>
        <w:spacing w:after="0" w:line="226" w:lineRule="auto"/>
        <w:rPr>
          <w:sz w:val="20"/>
          <w:szCs w:val="20"/>
          <w:color w:val="auto"/>
        </w:rPr>
      </w:pPr>
      <w:r>
        <w:rPr>
          <w:rFonts w:ascii="Arial" w:cs="Arial" w:eastAsia="Arial" w:hAnsi="Arial"/>
          <w:sz w:val="18"/>
          <w:szCs w:val="18"/>
          <w:color w:val="auto"/>
        </w:rPr>
        <w:t>termination or change in control on such date. The actual amounts to be paid or realized can only be determined at the time of an NEO’s termination or following a change in control. Given Mr. Lopez’s</w:t>
      </w:r>
    </w:p>
    <w:p>
      <w:pPr>
        <w:spacing w:after="0" w:line="2" w:lineRule="exact"/>
        <w:rPr>
          <w:sz w:val="20"/>
          <w:szCs w:val="20"/>
          <w:color w:val="auto"/>
        </w:rPr>
      </w:pPr>
    </w:p>
    <w:p>
      <w:pPr>
        <w:ind w:left="920" w:right="219"/>
        <w:spacing w:after="0" w:line="250" w:lineRule="auto"/>
        <w:rPr>
          <w:sz w:val="20"/>
          <w:szCs w:val="20"/>
          <w:color w:val="auto"/>
        </w:rPr>
      </w:pPr>
      <w:r>
        <w:rPr>
          <w:rFonts w:ascii="Arial" w:cs="Arial" w:eastAsia="Arial" w:hAnsi="Arial"/>
          <w:sz w:val="18"/>
          <w:szCs w:val="18"/>
          <w:color w:val="auto"/>
        </w:rPr>
        <w:t>retirement effective November 1, 2024, payments that would have been owned to him upon termination or upon a change of control are not included below.</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1460" w:type="dxa"/>
            <w:vAlign w:val="bottom"/>
            <w:shd w:val="clear" w:color="auto" w:fill="62259D"/>
          </w:tcPr>
          <w:p>
            <w:pPr>
              <w:spacing w:after="0"/>
              <w:rPr>
                <w:sz w:val="16"/>
                <w:szCs w:val="16"/>
                <w:color w:val="auto"/>
              </w:rPr>
            </w:pPr>
          </w:p>
        </w:tc>
        <w:tc>
          <w:tcPr>
            <w:tcW w:w="220" w:type="dxa"/>
            <w:vAlign w:val="bottom"/>
            <w:shd w:val="clear" w:color="auto" w:fill="62259D"/>
          </w:tcPr>
          <w:p>
            <w:pPr>
              <w:spacing w:after="0"/>
              <w:rPr>
                <w:sz w:val="16"/>
                <w:szCs w:val="16"/>
                <w:color w:val="auto"/>
              </w:rPr>
            </w:pPr>
          </w:p>
        </w:tc>
        <w:tc>
          <w:tcPr>
            <w:tcW w:w="60" w:type="dxa"/>
            <w:vAlign w:val="bottom"/>
            <w:shd w:val="clear" w:color="auto" w:fill="62259D"/>
          </w:tcPr>
          <w:p>
            <w:pPr>
              <w:spacing w:after="0"/>
              <w:rPr>
                <w:sz w:val="16"/>
                <w:szCs w:val="16"/>
                <w:color w:val="auto"/>
              </w:rPr>
            </w:pPr>
          </w:p>
        </w:tc>
        <w:tc>
          <w:tcPr>
            <w:tcW w:w="1300" w:type="dxa"/>
            <w:vAlign w:val="bottom"/>
            <w:shd w:val="clear" w:color="auto" w:fill="62259D"/>
          </w:tcPr>
          <w:p>
            <w:pPr>
              <w:spacing w:after="0"/>
              <w:rPr>
                <w:sz w:val="16"/>
                <w:szCs w:val="16"/>
                <w:color w:val="auto"/>
              </w:rPr>
            </w:pPr>
          </w:p>
        </w:tc>
        <w:tc>
          <w:tcPr>
            <w:tcW w:w="260" w:type="dxa"/>
            <w:vAlign w:val="bottom"/>
            <w:shd w:val="clear" w:color="auto" w:fill="62259D"/>
          </w:tcPr>
          <w:p>
            <w:pPr>
              <w:spacing w:after="0"/>
              <w:rPr>
                <w:sz w:val="16"/>
                <w:szCs w:val="16"/>
                <w:color w:val="auto"/>
              </w:rPr>
            </w:pPr>
          </w:p>
        </w:tc>
        <w:tc>
          <w:tcPr>
            <w:tcW w:w="104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Termination</w:t>
            </w:r>
          </w:p>
        </w:tc>
        <w:tc>
          <w:tcPr>
            <w:tcW w:w="200" w:type="dxa"/>
            <w:vAlign w:val="bottom"/>
            <w:shd w:val="clear" w:color="auto" w:fill="62259D"/>
          </w:tcPr>
          <w:p>
            <w:pPr>
              <w:spacing w:after="0"/>
              <w:rPr>
                <w:sz w:val="16"/>
                <w:szCs w:val="16"/>
                <w:color w:val="auto"/>
              </w:rPr>
            </w:pPr>
          </w:p>
        </w:tc>
        <w:tc>
          <w:tcPr>
            <w:tcW w:w="1020" w:type="dxa"/>
            <w:vAlign w:val="bottom"/>
            <w:vMerge w:val="restart"/>
            <w:shd w:val="clear" w:color="auto" w:fill="62259D"/>
          </w:tcPr>
          <w:p>
            <w:pPr>
              <w:jc w:val="center"/>
              <w:spacing w:after="0"/>
              <w:rPr>
                <w:sz w:val="20"/>
                <w:szCs w:val="20"/>
                <w:color w:val="auto"/>
              </w:rPr>
            </w:pPr>
            <w:r>
              <w:rPr>
                <w:rFonts w:ascii="Arial" w:cs="Arial" w:eastAsia="Arial" w:hAnsi="Arial"/>
                <w:sz w:val="13"/>
                <w:szCs w:val="13"/>
                <w:b w:val="1"/>
                <w:bCs w:val="1"/>
                <w:color w:val="FEFEFE"/>
              </w:rPr>
              <w:t>Termination</w:t>
            </w:r>
          </w:p>
        </w:tc>
        <w:tc>
          <w:tcPr>
            <w:tcW w:w="200" w:type="dxa"/>
            <w:vAlign w:val="bottom"/>
            <w:shd w:val="clear" w:color="auto" w:fill="62259D"/>
          </w:tcPr>
          <w:p>
            <w:pPr>
              <w:spacing w:after="0"/>
              <w:rPr>
                <w:sz w:val="16"/>
                <w:szCs w:val="16"/>
                <w:color w:val="auto"/>
              </w:rPr>
            </w:pPr>
          </w:p>
        </w:tc>
        <w:tc>
          <w:tcPr>
            <w:tcW w:w="500" w:type="dxa"/>
            <w:vAlign w:val="bottom"/>
            <w:shd w:val="clear" w:color="auto" w:fill="62259D"/>
          </w:tcPr>
          <w:p>
            <w:pPr>
              <w:spacing w:after="0"/>
              <w:rPr>
                <w:sz w:val="16"/>
                <w:szCs w:val="16"/>
                <w:color w:val="auto"/>
              </w:rPr>
            </w:pPr>
          </w:p>
        </w:tc>
        <w:tc>
          <w:tcPr>
            <w:tcW w:w="800" w:type="dxa"/>
            <w:vAlign w:val="bottom"/>
            <w:shd w:val="clear" w:color="auto" w:fill="62259D"/>
          </w:tcPr>
          <w:p>
            <w:pPr>
              <w:spacing w:after="0"/>
              <w:rPr>
                <w:sz w:val="16"/>
                <w:szCs w:val="16"/>
                <w:color w:val="auto"/>
              </w:rPr>
            </w:pPr>
          </w:p>
        </w:tc>
        <w:tc>
          <w:tcPr>
            <w:tcW w:w="220" w:type="dxa"/>
            <w:vAlign w:val="bottom"/>
            <w:shd w:val="clear" w:color="auto" w:fill="62259D"/>
          </w:tcPr>
          <w:p>
            <w:pPr>
              <w:spacing w:after="0"/>
              <w:rPr>
                <w:sz w:val="16"/>
                <w:szCs w:val="16"/>
                <w:color w:val="auto"/>
              </w:rPr>
            </w:pPr>
          </w:p>
        </w:tc>
        <w:tc>
          <w:tcPr>
            <w:tcW w:w="144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Termination Without</w:t>
            </w:r>
          </w:p>
        </w:tc>
        <w:tc>
          <w:tcPr>
            <w:tcW w:w="140" w:type="dxa"/>
            <w:vAlign w:val="bottom"/>
            <w:shd w:val="clear" w:color="auto" w:fill="62259D"/>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62259D"/>
          </w:tcPr>
          <w:p>
            <w:pPr>
              <w:spacing w:after="0"/>
              <w:rPr>
                <w:sz w:val="12"/>
                <w:szCs w:val="12"/>
                <w:color w:val="auto"/>
              </w:rPr>
            </w:pPr>
          </w:p>
        </w:tc>
        <w:tc>
          <w:tcPr>
            <w:tcW w:w="220" w:type="dxa"/>
            <w:vAlign w:val="bottom"/>
            <w:shd w:val="clear" w:color="auto" w:fill="62259D"/>
          </w:tcPr>
          <w:p>
            <w:pPr>
              <w:spacing w:after="0"/>
              <w:rPr>
                <w:sz w:val="12"/>
                <w:szCs w:val="12"/>
                <w:color w:val="auto"/>
              </w:rPr>
            </w:pPr>
          </w:p>
        </w:tc>
        <w:tc>
          <w:tcPr>
            <w:tcW w:w="60" w:type="dxa"/>
            <w:vAlign w:val="bottom"/>
            <w:shd w:val="clear" w:color="auto" w:fill="62259D"/>
          </w:tcPr>
          <w:p>
            <w:pPr>
              <w:spacing w:after="0"/>
              <w:rPr>
                <w:sz w:val="12"/>
                <w:szCs w:val="12"/>
                <w:color w:val="auto"/>
              </w:rPr>
            </w:pPr>
          </w:p>
        </w:tc>
        <w:tc>
          <w:tcPr>
            <w:tcW w:w="1300" w:type="dxa"/>
            <w:vAlign w:val="bottom"/>
            <w:shd w:val="clear" w:color="auto" w:fill="62259D"/>
          </w:tcPr>
          <w:p>
            <w:pPr>
              <w:spacing w:after="0"/>
              <w:rPr>
                <w:sz w:val="12"/>
                <w:szCs w:val="12"/>
                <w:color w:val="auto"/>
              </w:rPr>
            </w:pPr>
          </w:p>
        </w:tc>
        <w:tc>
          <w:tcPr>
            <w:tcW w:w="260" w:type="dxa"/>
            <w:vAlign w:val="bottom"/>
            <w:shd w:val="clear" w:color="auto" w:fill="62259D"/>
          </w:tcPr>
          <w:p>
            <w:pPr>
              <w:spacing w:after="0"/>
              <w:rPr>
                <w:sz w:val="12"/>
                <w:szCs w:val="12"/>
                <w:color w:val="auto"/>
              </w:rPr>
            </w:pPr>
          </w:p>
        </w:tc>
        <w:tc>
          <w:tcPr>
            <w:tcW w:w="104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Without Cause</w:t>
            </w:r>
          </w:p>
        </w:tc>
        <w:tc>
          <w:tcPr>
            <w:tcW w:w="200" w:type="dxa"/>
            <w:vAlign w:val="bottom"/>
            <w:shd w:val="clear" w:color="auto" w:fill="62259D"/>
          </w:tcPr>
          <w:p>
            <w:pPr>
              <w:spacing w:after="0"/>
              <w:rPr>
                <w:sz w:val="12"/>
                <w:szCs w:val="12"/>
                <w:color w:val="auto"/>
              </w:rPr>
            </w:pPr>
          </w:p>
        </w:tc>
        <w:tc>
          <w:tcPr>
            <w:tcW w:w="1020" w:type="dxa"/>
            <w:vAlign w:val="bottom"/>
            <w:vMerge w:val="continue"/>
            <w:shd w:val="clear" w:color="auto" w:fill="62259D"/>
          </w:tcPr>
          <w:p>
            <w:pPr>
              <w:spacing w:after="0"/>
              <w:rPr>
                <w:sz w:val="12"/>
                <w:szCs w:val="12"/>
                <w:color w:val="auto"/>
              </w:rPr>
            </w:pPr>
          </w:p>
        </w:tc>
        <w:tc>
          <w:tcPr>
            <w:tcW w:w="200" w:type="dxa"/>
            <w:vAlign w:val="bottom"/>
            <w:shd w:val="clear" w:color="auto" w:fill="62259D"/>
          </w:tcPr>
          <w:p>
            <w:pPr>
              <w:spacing w:after="0"/>
              <w:rPr>
                <w:sz w:val="12"/>
                <w:szCs w:val="12"/>
                <w:color w:val="auto"/>
              </w:rPr>
            </w:pPr>
          </w:p>
        </w:tc>
        <w:tc>
          <w:tcPr>
            <w:tcW w:w="500" w:type="dxa"/>
            <w:vAlign w:val="bottom"/>
            <w:shd w:val="clear" w:color="auto" w:fill="62259D"/>
          </w:tcPr>
          <w:p>
            <w:pPr>
              <w:spacing w:after="0"/>
              <w:rPr>
                <w:sz w:val="12"/>
                <w:szCs w:val="12"/>
                <w:color w:val="auto"/>
              </w:rPr>
            </w:pPr>
          </w:p>
        </w:tc>
        <w:tc>
          <w:tcPr>
            <w:tcW w:w="800" w:type="dxa"/>
            <w:vAlign w:val="bottom"/>
            <w:shd w:val="clear" w:color="auto" w:fill="62259D"/>
          </w:tcPr>
          <w:p>
            <w:pPr>
              <w:spacing w:after="0"/>
              <w:rPr>
                <w:sz w:val="12"/>
                <w:szCs w:val="12"/>
                <w:color w:val="auto"/>
              </w:rPr>
            </w:pPr>
          </w:p>
        </w:tc>
        <w:tc>
          <w:tcPr>
            <w:tcW w:w="220" w:type="dxa"/>
            <w:vAlign w:val="bottom"/>
            <w:shd w:val="clear" w:color="auto" w:fill="62259D"/>
          </w:tcPr>
          <w:p>
            <w:pPr>
              <w:spacing w:after="0"/>
              <w:rPr>
                <w:sz w:val="12"/>
                <w:szCs w:val="12"/>
                <w:color w:val="auto"/>
              </w:rPr>
            </w:pPr>
          </w:p>
        </w:tc>
        <w:tc>
          <w:tcPr>
            <w:tcW w:w="144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Cause or for Good</w:t>
            </w:r>
          </w:p>
        </w:tc>
        <w:tc>
          <w:tcPr>
            <w:tcW w:w="140" w:type="dxa"/>
            <w:vAlign w:val="bottom"/>
            <w:shd w:val="clear" w:color="auto" w:fill="62259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62259D"/>
          </w:tcPr>
          <w:p>
            <w:pPr>
              <w:spacing w:after="0"/>
              <w:rPr>
                <w:sz w:val="12"/>
                <w:szCs w:val="12"/>
                <w:color w:val="auto"/>
              </w:rPr>
            </w:pPr>
          </w:p>
        </w:tc>
        <w:tc>
          <w:tcPr>
            <w:tcW w:w="220" w:type="dxa"/>
            <w:vAlign w:val="bottom"/>
            <w:shd w:val="clear" w:color="auto" w:fill="62259D"/>
          </w:tcPr>
          <w:p>
            <w:pPr>
              <w:spacing w:after="0"/>
              <w:rPr>
                <w:sz w:val="12"/>
                <w:szCs w:val="12"/>
                <w:color w:val="auto"/>
              </w:rPr>
            </w:pPr>
          </w:p>
        </w:tc>
        <w:tc>
          <w:tcPr>
            <w:tcW w:w="60" w:type="dxa"/>
            <w:vAlign w:val="bottom"/>
            <w:shd w:val="clear" w:color="auto" w:fill="62259D"/>
          </w:tcPr>
          <w:p>
            <w:pPr>
              <w:spacing w:after="0"/>
              <w:rPr>
                <w:sz w:val="12"/>
                <w:szCs w:val="12"/>
                <w:color w:val="auto"/>
              </w:rPr>
            </w:pPr>
          </w:p>
        </w:tc>
        <w:tc>
          <w:tcPr>
            <w:tcW w:w="1300" w:type="dxa"/>
            <w:vAlign w:val="bottom"/>
            <w:shd w:val="clear" w:color="auto" w:fill="62259D"/>
          </w:tcPr>
          <w:p>
            <w:pPr>
              <w:spacing w:after="0"/>
              <w:rPr>
                <w:sz w:val="12"/>
                <w:szCs w:val="12"/>
                <w:color w:val="auto"/>
              </w:rPr>
            </w:pPr>
          </w:p>
        </w:tc>
        <w:tc>
          <w:tcPr>
            <w:tcW w:w="260" w:type="dxa"/>
            <w:vAlign w:val="bottom"/>
            <w:shd w:val="clear" w:color="auto" w:fill="62259D"/>
          </w:tcPr>
          <w:p>
            <w:pPr>
              <w:spacing w:after="0"/>
              <w:rPr>
                <w:sz w:val="12"/>
                <w:szCs w:val="12"/>
                <w:color w:val="auto"/>
              </w:rPr>
            </w:pPr>
          </w:p>
        </w:tc>
        <w:tc>
          <w:tcPr>
            <w:tcW w:w="104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or for Good</w:t>
            </w:r>
          </w:p>
        </w:tc>
        <w:tc>
          <w:tcPr>
            <w:tcW w:w="200" w:type="dxa"/>
            <w:vAlign w:val="bottom"/>
            <w:shd w:val="clear" w:color="auto" w:fill="62259D"/>
          </w:tcPr>
          <w:p>
            <w:pPr>
              <w:spacing w:after="0"/>
              <w:rPr>
                <w:sz w:val="12"/>
                <w:szCs w:val="12"/>
                <w:color w:val="auto"/>
              </w:rPr>
            </w:pPr>
          </w:p>
        </w:tc>
        <w:tc>
          <w:tcPr>
            <w:tcW w:w="1020" w:type="dxa"/>
            <w:vAlign w:val="bottom"/>
            <w:shd w:val="clear" w:color="auto" w:fill="62259D"/>
          </w:tcPr>
          <w:p>
            <w:pPr>
              <w:jc w:val="center"/>
              <w:spacing w:after="0"/>
              <w:rPr>
                <w:sz w:val="20"/>
                <w:szCs w:val="20"/>
                <w:color w:val="auto"/>
              </w:rPr>
            </w:pPr>
            <w:r>
              <w:rPr>
                <w:rFonts w:ascii="Arial" w:cs="Arial" w:eastAsia="Arial" w:hAnsi="Arial"/>
                <w:sz w:val="13"/>
                <w:szCs w:val="13"/>
                <w:b w:val="1"/>
                <w:bCs w:val="1"/>
                <w:color w:val="FEFEFE"/>
              </w:rPr>
              <w:t>Upon Death or</w:t>
            </w:r>
          </w:p>
        </w:tc>
        <w:tc>
          <w:tcPr>
            <w:tcW w:w="200" w:type="dxa"/>
            <w:vAlign w:val="bottom"/>
            <w:shd w:val="clear" w:color="auto" w:fill="62259D"/>
          </w:tcPr>
          <w:p>
            <w:pPr>
              <w:spacing w:after="0"/>
              <w:rPr>
                <w:sz w:val="12"/>
                <w:szCs w:val="12"/>
                <w:color w:val="auto"/>
              </w:rPr>
            </w:pPr>
          </w:p>
        </w:tc>
        <w:tc>
          <w:tcPr>
            <w:tcW w:w="500" w:type="dxa"/>
            <w:vAlign w:val="bottom"/>
            <w:shd w:val="clear" w:color="auto" w:fill="62259D"/>
          </w:tcPr>
          <w:p>
            <w:pPr>
              <w:spacing w:after="0"/>
              <w:rPr>
                <w:sz w:val="12"/>
                <w:szCs w:val="12"/>
                <w:color w:val="auto"/>
              </w:rPr>
            </w:pPr>
          </w:p>
        </w:tc>
        <w:tc>
          <w:tcPr>
            <w:tcW w:w="800" w:type="dxa"/>
            <w:vAlign w:val="bottom"/>
            <w:shd w:val="clear" w:color="auto" w:fill="62259D"/>
          </w:tcPr>
          <w:p>
            <w:pPr>
              <w:spacing w:after="0"/>
              <w:rPr>
                <w:sz w:val="12"/>
                <w:szCs w:val="12"/>
                <w:color w:val="auto"/>
              </w:rPr>
            </w:pPr>
          </w:p>
        </w:tc>
        <w:tc>
          <w:tcPr>
            <w:tcW w:w="220" w:type="dxa"/>
            <w:vAlign w:val="bottom"/>
            <w:shd w:val="clear" w:color="auto" w:fill="62259D"/>
          </w:tcPr>
          <w:p>
            <w:pPr>
              <w:spacing w:after="0"/>
              <w:rPr>
                <w:sz w:val="12"/>
                <w:szCs w:val="12"/>
                <w:color w:val="auto"/>
              </w:rPr>
            </w:pPr>
          </w:p>
        </w:tc>
        <w:tc>
          <w:tcPr>
            <w:tcW w:w="144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Reason following a</w:t>
            </w:r>
          </w:p>
        </w:tc>
        <w:tc>
          <w:tcPr>
            <w:tcW w:w="140" w:type="dxa"/>
            <w:vAlign w:val="bottom"/>
            <w:shd w:val="clear" w:color="auto" w:fill="62259D"/>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60" w:type="dxa"/>
            <w:vAlign w:val="bottom"/>
            <w:shd w:val="clear" w:color="auto" w:fill="62259D"/>
          </w:tcPr>
          <w:p>
            <w:pPr>
              <w:spacing w:after="0"/>
              <w:rPr>
                <w:sz w:val="14"/>
                <w:szCs w:val="14"/>
                <w:color w:val="auto"/>
              </w:rPr>
            </w:pPr>
          </w:p>
        </w:tc>
        <w:tc>
          <w:tcPr>
            <w:tcW w:w="220" w:type="dxa"/>
            <w:vAlign w:val="bottom"/>
            <w:shd w:val="clear" w:color="auto" w:fill="62259D"/>
          </w:tcPr>
          <w:p>
            <w:pPr>
              <w:spacing w:after="0"/>
              <w:rPr>
                <w:sz w:val="14"/>
                <w:szCs w:val="14"/>
                <w:color w:val="auto"/>
              </w:rPr>
            </w:pPr>
          </w:p>
        </w:tc>
        <w:tc>
          <w:tcPr>
            <w:tcW w:w="60" w:type="dxa"/>
            <w:vAlign w:val="bottom"/>
            <w:shd w:val="clear" w:color="auto" w:fill="62259D"/>
          </w:tcPr>
          <w:p>
            <w:pPr>
              <w:spacing w:after="0"/>
              <w:rPr>
                <w:sz w:val="14"/>
                <w:szCs w:val="14"/>
                <w:color w:val="auto"/>
              </w:rPr>
            </w:pPr>
          </w:p>
        </w:tc>
        <w:tc>
          <w:tcPr>
            <w:tcW w:w="1300" w:type="dxa"/>
            <w:vAlign w:val="bottom"/>
            <w:shd w:val="clear" w:color="auto" w:fill="62259D"/>
          </w:tcPr>
          <w:p>
            <w:pPr>
              <w:spacing w:after="0"/>
              <w:rPr>
                <w:sz w:val="14"/>
                <w:szCs w:val="14"/>
                <w:color w:val="auto"/>
              </w:rPr>
            </w:pPr>
          </w:p>
        </w:tc>
        <w:tc>
          <w:tcPr>
            <w:tcW w:w="260" w:type="dxa"/>
            <w:vAlign w:val="bottom"/>
            <w:shd w:val="clear" w:color="auto" w:fill="62259D"/>
          </w:tcPr>
          <w:p>
            <w:pPr>
              <w:spacing w:after="0"/>
              <w:rPr>
                <w:sz w:val="14"/>
                <w:szCs w:val="14"/>
                <w:color w:val="auto"/>
              </w:rPr>
            </w:pPr>
          </w:p>
        </w:tc>
        <w:tc>
          <w:tcPr>
            <w:tcW w:w="200" w:type="dxa"/>
            <w:vAlign w:val="bottom"/>
            <w:shd w:val="clear" w:color="auto" w:fill="62259D"/>
          </w:tcPr>
          <w:p>
            <w:pPr>
              <w:spacing w:after="0"/>
              <w:rPr>
                <w:sz w:val="14"/>
                <w:szCs w:val="14"/>
                <w:color w:val="auto"/>
              </w:rPr>
            </w:pPr>
          </w:p>
        </w:tc>
        <w:tc>
          <w:tcPr>
            <w:tcW w:w="840" w:type="dxa"/>
            <w:vAlign w:val="bottom"/>
            <w:shd w:val="clear" w:color="auto" w:fill="62259D"/>
          </w:tcPr>
          <w:p>
            <w:pPr>
              <w:jc w:val="center"/>
              <w:ind w:right="125"/>
              <w:spacing w:after="0" w:line="162" w:lineRule="exact"/>
              <w:rPr>
                <w:sz w:val="20"/>
                <w:szCs w:val="20"/>
                <w:color w:val="auto"/>
              </w:rPr>
            </w:pPr>
            <w:r>
              <w:rPr>
                <w:rFonts w:ascii="Arial" w:cs="Arial" w:eastAsia="Arial" w:hAnsi="Arial"/>
                <w:sz w:val="13"/>
                <w:szCs w:val="13"/>
                <w:b w:val="1"/>
                <w:bCs w:val="1"/>
                <w:color w:val="FEFEFE"/>
              </w:rPr>
              <w:t>Reason</w:t>
            </w:r>
            <w:r>
              <w:rPr>
                <w:rFonts w:ascii="Arial" w:cs="Arial" w:eastAsia="Arial" w:hAnsi="Arial"/>
                <w:sz w:val="16"/>
                <w:szCs w:val="16"/>
                <w:b w:val="1"/>
                <w:bCs w:val="1"/>
                <w:color w:val="FEFEFE"/>
                <w:vertAlign w:val="superscript"/>
              </w:rPr>
              <w:t>(1)</w:t>
            </w:r>
          </w:p>
        </w:tc>
        <w:tc>
          <w:tcPr>
            <w:tcW w:w="200" w:type="dxa"/>
            <w:vAlign w:val="bottom"/>
            <w:shd w:val="clear" w:color="auto" w:fill="62259D"/>
          </w:tcPr>
          <w:p>
            <w:pPr>
              <w:spacing w:after="0"/>
              <w:rPr>
                <w:sz w:val="14"/>
                <w:szCs w:val="14"/>
                <w:color w:val="auto"/>
              </w:rPr>
            </w:pPr>
          </w:p>
        </w:tc>
        <w:tc>
          <w:tcPr>
            <w:tcW w:w="1020" w:type="dxa"/>
            <w:vAlign w:val="bottom"/>
            <w:shd w:val="clear" w:color="auto" w:fill="62259D"/>
          </w:tcPr>
          <w:p>
            <w:pPr>
              <w:jc w:val="center"/>
              <w:spacing w:after="0"/>
              <w:rPr>
                <w:sz w:val="20"/>
                <w:szCs w:val="20"/>
                <w:color w:val="auto"/>
              </w:rPr>
            </w:pPr>
            <w:r>
              <w:rPr>
                <w:rFonts w:ascii="Arial" w:cs="Arial" w:eastAsia="Arial" w:hAnsi="Arial"/>
                <w:sz w:val="13"/>
                <w:szCs w:val="13"/>
                <w:b w:val="1"/>
                <w:bCs w:val="1"/>
                <w:color w:val="FEFEFE"/>
              </w:rPr>
              <w:t>Disability</w:t>
            </w:r>
          </w:p>
        </w:tc>
        <w:tc>
          <w:tcPr>
            <w:tcW w:w="200" w:type="dxa"/>
            <w:vAlign w:val="bottom"/>
            <w:shd w:val="clear" w:color="auto" w:fill="62259D"/>
          </w:tcPr>
          <w:p>
            <w:pPr>
              <w:spacing w:after="0"/>
              <w:rPr>
                <w:sz w:val="14"/>
                <w:szCs w:val="14"/>
                <w:color w:val="auto"/>
              </w:rPr>
            </w:pPr>
          </w:p>
        </w:tc>
        <w:tc>
          <w:tcPr>
            <w:tcW w:w="1300" w:type="dxa"/>
            <w:vAlign w:val="bottom"/>
            <w:gridSpan w:val="2"/>
            <w:shd w:val="clear" w:color="auto" w:fill="62259D"/>
          </w:tcPr>
          <w:p>
            <w:pPr>
              <w:jc w:val="right"/>
              <w:spacing w:after="0"/>
              <w:rPr>
                <w:sz w:val="20"/>
                <w:szCs w:val="20"/>
                <w:color w:val="auto"/>
              </w:rPr>
            </w:pPr>
            <w:r>
              <w:rPr>
                <w:rFonts w:ascii="Arial" w:cs="Arial" w:eastAsia="Arial" w:hAnsi="Arial"/>
                <w:sz w:val="13"/>
                <w:szCs w:val="13"/>
                <w:b w:val="1"/>
                <w:bCs w:val="1"/>
                <w:color w:val="FEFEFE"/>
              </w:rPr>
              <w:t>Change in Control</w:t>
            </w:r>
          </w:p>
        </w:tc>
        <w:tc>
          <w:tcPr>
            <w:tcW w:w="220" w:type="dxa"/>
            <w:vAlign w:val="bottom"/>
            <w:shd w:val="clear" w:color="auto" w:fill="62259D"/>
          </w:tcPr>
          <w:p>
            <w:pPr>
              <w:spacing w:after="0"/>
              <w:rPr>
                <w:sz w:val="14"/>
                <w:szCs w:val="14"/>
                <w:color w:val="auto"/>
              </w:rPr>
            </w:pPr>
          </w:p>
        </w:tc>
        <w:tc>
          <w:tcPr>
            <w:tcW w:w="144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Change in Control</w:t>
            </w:r>
          </w:p>
        </w:tc>
        <w:tc>
          <w:tcPr>
            <w:tcW w:w="140" w:type="dxa"/>
            <w:vAlign w:val="bottom"/>
            <w:shd w:val="clear" w:color="auto" w:fill="62259D"/>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460" w:type="dxa"/>
            <w:vAlign w:val="bottom"/>
            <w:shd w:val="clear" w:color="auto" w:fill="62259D"/>
          </w:tcPr>
          <w:p>
            <w:pPr>
              <w:ind w:left="40"/>
              <w:spacing w:after="0"/>
              <w:rPr>
                <w:sz w:val="20"/>
                <w:szCs w:val="20"/>
                <w:color w:val="auto"/>
              </w:rPr>
            </w:pPr>
            <w:r>
              <w:rPr>
                <w:rFonts w:ascii="Arial" w:cs="Arial" w:eastAsia="Arial" w:hAnsi="Arial"/>
                <w:sz w:val="13"/>
                <w:szCs w:val="13"/>
                <w:b w:val="1"/>
                <w:bCs w:val="1"/>
                <w:color w:val="FEFEFE"/>
              </w:rPr>
              <w:t>​Name</w:t>
            </w:r>
          </w:p>
        </w:tc>
        <w:tc>
          <w:tcPr>
            <w:tcW w:w="1840" w:type="dxa"/>
            <w:vAlign w:val="bottom"/>
            <w:gridSpan w:val="4"/>
            <w:shd w:val="clear" w:color="auto" w:fill="62259D"/>
          </w:tcPr>
          <w:p>
            <w:pPr>
              <w:ind w:left="180"/>
              <w:spacing w:after="0"/>
              <w:rPr>
                <w:sz w:val="20"/>
                <w:szCs w:val="20"/>
                <w:color w:val="auto"/>
              </w:rPr>
            </w:pPr>
            <w:r>
              <w:rPr>
                <w:rFonts w:ascii="Arial" w:cs="Arial" w:eastAsia="Arial" w:hAnsi="Arial"/>
                <w:sz w:val="13"/>
                <w:szCs w:val="13"/>
                <w:b w:val="1"/>
                <w:bCs w:val="1"/>
                <w:color w:val="FEFEFE"/>
              </w:rPr>
              <w:t>​ ​Potential Payments ​ ​</w:t>
            </w:r>
          </w:p>
        </w:tc>
        <w:tc>
          <w:tcPr>
            <w:tcW w:w="200" w:type="dxa"/>
            <w:vAlign w:val="bottom"/>
            <w:shd w:val="clear" w:color="auto" w:fill="62259D"/>
          </w:tcPr>
          <w:p>
            <w:pPr>
              <w:spacing w:after="0"/>
              <w:rPr>
                <w:sz w:val="16"/>
                <w:szCs w:val="16"/>
                <w:color w:val="auto"/>
              </w:rPr>
            </w:pPr>
          </w:p>
        </w:tc>
        <w:tc>
          <w:tcPr>
            <w:tcW w:w="840" w:type="dxa"/>
            <w:vAlign w:val="bottom"/>
            <w:shd w:val="clear" w:color="auto" w:fill="62259D"/>
          </w:tcPr>
          <w:p>
            <w:pPr>
              <w:jc w:val="right"/>
              <w:ind w:right="345"/>
              <w:spacing w:after="0"/>
              <w:rPr>
                <w:sz w:val="20"/>
                <w:szCs w:val="20"/>
                <w:color w:val="auto"/>
              </w:rPr>
            </w:pPr>
            <w:r>
              <w:rPr>
                <w:rFonts w:ascii="Arial" w:cs="Arial" w:eastAsia="Arial" w:hAnsi="Arial"/>
                <w:sz w:val="13"/>
                <w:szCs w:val="13"/>
                <w:b w:val="1"/>
                <w:bCs w:val="1"/>
                <w:color w:val="FEFEFE"/>
              </w:rPr>
              <w:t>($)</w:t>
            </w:r>
          </w:p>
        </w:tc>
        <w:tc>
          <w:tcPr>
            <w:tcW w:w="200" w:type="dxa"/>
            <w:vAlign w:val="bottom"/>
            <w:shd w:val="clear" w:color="auto" w:fill="62259D"/>
          </w:tcPr>
          <w:p>
            <w:pPr>
              <w:ind w:left="80"/>
              <w:spacing w:after="0"/>
              <w:rPr>
                <w:sz w:val="20"/>
                <w:szCs w:val="20"/>
                <w:color w:val="auto"/>
              </w:rPr>
            </w:pPr>
            <w:r>
              <w:rPr>
                <w:rFonts w:ascii="Arial" w:cs="Arial" w:eastAsia="Arial" w:hAnsi="Arial"/>
                <w:sz w:val="13"/>
                <w:szCs w:val="13"/>
                <w:b w:val="1"/>
                <w:bCs w:val="1"/>
                <w:color w:val="FEFEFE"/>
              </w:rPr>
              <w:t>​ ​</w:t>
            </w:r>
          </w:p>
        </w:tc>
        <w:tc>
          <w:tcPr>
            <w:tcW w:w="1020" w:type="dxa"/>
            <w:vAlign w:val="bottom"/>
            <w:shd w:val="clear" w:color="auto" w:fill="62259D"/>
          </w:tcPr>
          <w:p>
            <w:pPr>
              <w:jc w:val="right"/>
              <w:ind w:right="332"/>
              <w:spacing w:after="0"/>
              <w:rPr>
                <w:sz w:val="20"/>
                <w:szCs w:val="20"/>
                <w:color w:val="auto"/>
              </w:rPr>
            </w:pPr>
            <w:r>
              <w:rPr>
                <w:rFonts w:ascii="Arial" w:cs="Arial" w:eastAsia="Arial" w:hAnsi="Arial"/>
                <w:sz w:val="13"/>
                <w:szCs w:val="13"/>
                <w:b w:val="1"/>
                <w:bCs w:val="1"/>
                <w:color w:val="FEFEFE"/>
              </w:rPr>
              <w:t>($)</w:t>
            </w:r>
          </w:p>
        </w:tc>
        <w:tc>
          <w:tcPr>
            <w:tcW w:w="200" w:type="dxa"/>
            <w:vAlign w:val="bottom"/>
            <w:shd w:val="clear" w:color="auto" w:fill="62259D"/>
          </w:tcPr>
          <w:p>
            <w:pPr>
              <w:ind w:left="80"/>
              <w:spacing w:after="0"/>
              <w:rPr>
                <w:sz w:val="20"/>
                <w:szCs w:val="20"/>
                <w:color w:val="auto"/>
              </w:rPr>
            </w:pPr>
            <w:r>
              <w:rPr>
                <w:rFonts w:ascii="Arial" w:cs="Arial" w:eastAsia="Arial" w:hAnsi="Arial"/>
                <w:sz w:val="13"/>
                <w:szCs w:val="13"/>
                <w:b w:val="1"/>
                <w:bCs w:val="1"/>
                <w:color w:val="FEFEFE"/>
              </w:rPr>
              <w:t>​ ​</w:t>
            </w:r>
          </w:p>
        </w:tc>
        <w:tc>
          <w:tcPr>
            <w:tcW w:w="500" w:type="dxa"/>
            <w:vAlign w:val="bottom"/>
            <w:shd w:val="clear" w:color="auto" w:fill="62259D"/>
          </w:tcPr>
          <w:p>
            <w:pPr>
              <w:spacing w:after="0"/>
              <w:rPr>
                <w:sz w:val="16"/>
                <w:szCs w:val="16"/>
                <w:color w:val="auto"/>
              </w:rPr>
            </w:pPr>
          </w:p>
        </w:tc>
        <w:tc>
          <w:tcPr>
            <w:tcW w:w="800" w:type="dxa"/>
            <w:vAlign w:val="bottom"/>
            <w:shd w:val="clear" w:color="auto" w:fill="62259D"/>
          </w:tcPr>
          <w:p>
            <w:pPr>
              <w:jc w:val="right"/>
              <w:ind w:right="464"/>
              <w:spacing w:after="0"/>
              <w:rPr>
                <w:sz w:val="20"/>
                <w:szCs w:val="20"/>
                <w:color w:val="auto"/>
              </w:rPr>
            </w:pPr>
            <w:r>
              <w:rPr>
                <w:rFonts w:ascii="Arial" w:cs="Arial" w:eastAsia="Arial" w:hAnsi="Arial"/>
                <w:sz w:val="13"/>
                <w:szCs w:val="13"/>
                <w:b w:val="1"/>
                <w:bCs w:val="1"/>
                <w:color w:val="FEFEFE"/>
              </w:rPr>
              <w:t>($)</w:t>
            </w:r>
          </w:p>
        </w:tc>
        <w:tc>
          <w:tcPr>
            <w:tcW w:w="220" w:type="dxa"/>
            <w:vAlign w:val="bottom"/>
            <w:shd w:val="clear" w:color="auto" w:fill="62259D"/>
          </w:tcPr>
          <w:p>
            <w:pPr>
              <w:ind w:left="80"/>
              <w:spacing w:after="0"/>
              <w:rPr>
                <w:sz w:val="20"/>
                <w:szCs w:val="20"/>
                <w:color w:val="auto"/>
              </w:rPr>
            </w:pPr>
            <w:r>
              <w:rPr>
                <w:rFonts w:ascii="Arial" w:cs="Arial" w:eastAsia="Arial" w:hAnsi="Arial"/>
                <w:sz w:val="13"/>
                <w:szCs w:val="13"/>
                <w:b w:val="1"/>
                <w:bCs w:val="1"/>
                <w:color w:val="FEFEFE"/>
              </w:rPr>
              <w:t>​ ​</w:t>
            </w:r>
          </w:p>
        </w:tc>
        <w:tc>
          <w:tcPr>
            <w:tcW w:w="480" w:type="dxa"/>
            <w:vAlign w:val="bottom"/>
            <w:shd w:val="clear" w:color="auto" w:fill="62259D"/>
          </w:tcPr>
          <w:p>
            <w:pPr>
              <w:spacing w:after="0"/>
              <w:rPr>
                <w:sz w:val="16"/>
                <w:szCs w:val="16"/>
                <w:color w:val="auto"/>
              </w:rPr>
            </w:pPr>
          </w:p>
        </w:tc>
        <w:tc>
          <w:tcPr>
            <w:tcW w:w="960" w:type="dxa"/>
            <w:vAlign w:val="bottom"/>
            <w:shd w:val="clear" w:color="auto" w:fill="62259D"/>
          </w:tcPr>
          <w:p>
            <w:pPr>
              <w:jc w:val="right"/>
              <w:ind w:right="544"/>
              <w:spacing w:after="0"/>
              <w:rPr>
                <w:sz w:val="20"/>
                <w:szCs w:val="20"/>
                <w:color w:val="auto"/>
              </w:rPr>
            </w:pPr>
            <w:r>
              <w:rPr>
                <w:rFonts w:ascii="Arial" w:cs="Arial" w:eastAsia="Arial" w:hAnsi="Arial"/>
                <w:sz w:val="13"/>
                <w:szCs w:val="13"/>
                <w:b w:val="1"/>
                <w:bCs w:val="1"/>
                <w:color w:val="FEFEFE"/>
              </w:rPr>
              <w:t>($)</w:t>
            </w:r>
          </w:p>
        </w:tc>
        <w:tc>
          <w:tcPr>
            <w:tcW w:w="140" w:type="dxa"/>
            <w:vAlign w:val="bottom"/>
            <w:shd w:val="clear" w:color="auto" w:fill="62259D"/>
          </w:tcPr>
          <w:p>
            <w:pPr>
              <w:ind w:left="10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Bruce McClelland</w:t>
            </w:r>
          </w:p>
        </w:tc>
        <w:tc>
          <w:tcPr>
            <w:tcW w:w="1580" w:type="dxa"/>
            <w:vAlign w:val="bottom"/>
            <w:gridSpan w:val="3"/>
          </w:tcPr>
          <w:p>
            <w:pPr>
              <w:ind w:left="14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Cash Severance</w:t>
            </w:r>
          </w:p>
        </w:tc>
        <w:tc>
          <w:tcPr>
            <w:tcW w:w="260" w:type="dxa"/>
            <w:vAlign w:val="bottom"/>
          </w:tcPr>
          <w:p>
            <w:pPr>
              <w:ind w:left="100"/>
              <w:spacing w:after="0"/>
              <w:rPr>
                <w:sz w:val="20"/>
                <w:szCs w:val="20"/>
                <w:color w:val="auto"/>
              </w:rPr>
            </w:pPr>
            <w:r>
              <w:rPr>
                <w:rFonts w:ascii="Arial" w:cs="Arial" w:eastAsia="Arial" w:hAnsi="Arial"/>
                <w:sz w:val="15"/>
                <w:szCs w:val="15"/>
                <w:color w:val="auto"/>
              </w:rPr>
              <w:t>​ ​</w:t>
            </w:r>
          </w:p>
        </w:tc>
        <w:tc>
          <w:tcPr>
            <w:tcW w:w="1040" w:type="dxa"/>
            <w:vAlign w:val="bottom"/>
            <w:gridSpan w:val="2"/>
          </w:tcPr>
          <w:p>
            <w:pPr>
              <w:jc w:val="right"/>
              <w:ind w:right="65"/>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​2,025,000</w:t>
            </w:r>
          </w:p>
        </w:tc>
        <w:tc>
          <w:tcPr>
            <w:tcW w:w="200" w:type="dxa"/>
            <w:vAlign w:val="bottom"/>
          </w:tcPr>
          <w:p>
            <w:pPr>
              <w:spacing w:after="0"/>
              <w:rPr>
                <w:sz w:val="20"/>
                <w:szCs w:val="20"/>
                <w:color w:val="auto"/>
              </w:rPr>
            </w:pPr>
            <w:r>
              <w:rPr>
                <w:rFonts w:ascii="Arial" w:cs="Arial" w:eastAsia="Arial" w:hAnsi="Arial"/>
                <w:sz w:val="15"/>
                <w:szCs w:val="15"/>
                <w:color w:val="auto"/>
              </w:rPr>
              <w:t>​​ ​</w:t>
            </w:r>
          </w:p>
        </w:tc>
        <w:tc>
          <w:tcPr>
            <w:tcW w:w="1020" w:type="dxa"/>
            <w:vAlign w:val="bottom"/>
          </w:tcPr>
          <w:p>
            <w:pPr>
              <w:jc w:val="center"/>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w:t>
            </w:r>
          </w:p>
        </w:tc>
        <w:tc>
          <w:tcPr>
            <w:tcW w:w="200" w:type="dxa"/>
            <w:vAlign w:val="bottom"/>
          </w:tcPr>
          <w:p>
            <w:pPr>
              <w:ind w:left="20"/>
              <w:spacing w:after="0"/>
              <w:rPr>
                <w:sz w:val="20"/>
                <w:szCs w:val="20"/>
                <w:color w:val="auto"/>
              </w:rPr>
            </w:pPr>
            <w:r>
              <w:rPr>
                <w:rFonts w:ascii="Arial" w:cs="Arial" w:eastAsia="Arial" w:hAnsi="Arial"/>
                <w:sz w:val="15"/>
                <w:szCs w:val="15"/>
                <w:color w:val="auto"/>
              </w:rPr>
              <w:t>​​ ​</w:t>
            </w:r>
          </w:p>
        </w:tc>
        <w:tc>
          <w:tcPr>
            <w:tcW w:w="500" w:type="dxa"/>
            <w:vAlign w:val="bottom"/>
          </w:tcPr>
          <w:p>
            <w:pPr>
              <w:ind w:left="320"/>
              <w:spacing w:after="0" w:line="243"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bscript"/>
              </w:rPr>
              <w:t>​</w:t>
            </w:r>
          </w:p>
        </w:tc>
        <w:tc>
          <w:tcPr>
            <w:tcW w:w="8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0"/>
                <w:szCs w:val="20"/>
                <w:color w:val="auto"/>
              </w:rPr>
            </w:pPr>
            <w:r>
              <w:rPr>
                <w:rFonts w:ascii="Arial" w:cs="Arial" w:eastAsia="Arial" w:hAnsi="Arial"/>
                <w:sz w:val="15"/>
                <w:szCs w:val="15"/>
                <w:color w:val="auto"/>
              </w:rPr>
              <w:t>​​ ​</w:t>
            </w:r>
          </w:p>
        </w:tc>
        <w:tc>
          <w:tcPr>
            <w:tcW w:w="1440" w:type="dxa"/>
            <w:vAlign w:val="bottom"/>
            <w:gridSpan w:val="2"/>
          </w:tcPr>
          <w:p>
            <w:pPr>
              <w:jc w:val="right"/>
              <w:ind w:right="264"/>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​3,750,000</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Borders>
              <w:top w:val="single" w:sz="8" w:color="4C4C4C"/>
              <w:bottom w:val="single" w:sz="8" w:color="4C4C4C"/>
            </w:tcBorders>
            <w:gridSpan w:val="2"/>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Stock Awards</w:t>
            </w:r>
            <w:r>
              <w:rPr>
                <w:rFonts w:ascii="Arial" w:cs="Arial" w:eastAsia="Arial" w:hAnsi="Arial"/>
                <w:sz w:val="16"/>
                <w:szCs w:val="16"/>
                <w:color w:val="auto"/>
                <w:vertAlign w:val="superscript"/>
              </w:rPr>
              <w:t>(2)</w:t>
            </w:r>
          </w:p>
        </w:tc>
        <w:tc>
          <w:tcPr>
            <w:tcW w:w="260" w:type="dxa"/>
            <w:vAlign w:val="bottom"/>
            <w:tcBorders>
              <w:top w:val="single" w:sz="8" w:color="4C4C4C"/>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1040" w:type="dxa"/>
            <w:vAlign w:val="bottom"/>
            <w:tcBorders>
              <w:top w:val="single" w:sz="8" w:color="4C4C4C"/>
              <w:bottom w:val="single" w:sz="8" w:color="4C4C4C"/>
            </w:tcBorders>
            <w:gridSpan w:val="2"/>
          </w:tcPr>
          <w:p>
            <w:pPr>
              <w:jc w:val="right"/>
              <w:ind w:right="65"/>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​1,824,760</w:t>
            </w:r>
          </w:p>
        </w:tc>
        <w:tc>
          <w:tcPr>
            <w:tcW w:w="20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5"/>
                <w:szCs w:val="15"/>
                <w:color w:val="auto"/>
              </w:rPr>
              <w:t>​​ ​</w:t>
            </w:r>
          </w:p>
        </w:tc>
        <w:tc>
          <w:tcPr>
            <w:tcW w:w="1020" w:type="dxa"/>
            <w:vAlign w:val="bottom"/>
            <w:tcBorders>
              <w:top w:val="single" w:sz="8" w:color="4C4C4C"/>
              <w:bottom w:val="single" w:sz="8" w:color="4C4C4C"/>
            </w:tcBorders>
          </w:tcPr>
          <w:p>
            <w:pPr>
              <w:jc w:val="cente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00" w:type="dxa"/>
            <w:vAlign w:val="bottom"/>
            <w:tcBorders>
              <w:top w:val="single" w:sz="8" w:color="4C4C4C"/>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1300" w:type="dxa"/>
            <w:vAlign w:val="bottom"/>
            <w:tcBorders>
              <w:top w:val="single" w:sz="8" w:color="4C4C4C"/>
              <w:bottom w:val="single" w:sz="8" w:color="4C4C4C"/>
            </w:tcBorders>
            <w:gridSpan w:val="2"/>
          </w:tcPr>
          <w:p>
            <w:pPr>
              <w:jc w:val="right"/>
              <w:ind w:right="244"/>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615,496</w:t>
            </w:r>
          </w:p>
        </w:tc>
        <w:tc>
          <w:tcPr>
            <w:tcW w:w="22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5"/>
                <w:szCs w:val="15"/>
                <w:color w:val="auto"/>
              </w:rPr>
              <w:t>​​ ​</w:t>
            </w:r>
          </w:p>
        </w:tc>
        <w:tc>
          <w:tcPr>
            <w:tcW w:w="1440" w:type="dxa"/>
            <w:vAlign w:val="bottom"/>
            <w:tcBorders>
              <w:top w:val="single" w:sz="8" w:color="4C4C4C"/>
              <w:bottom w:val="single" w:sz="8" w:color="4C4C4C"/>
            </w:tcBorders>
            <w:gridSpan w:val="2"/>
          </w:tcPr>
          <w:p>
            <w:pPr>
              <w:jc w:val="right"/>
              <w:ind w:right="264"/>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​1,084,639</w:t>
            </w:r>
          </w:p>
        </w:tc>
        <w:tc>
          <w:tcPr>
            <w:tcW w:w="14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Borders>
              <w:bottom w:val="single" w:sz="8" w:color="4C4C4C"/>
            </w:tcBorders>
            <w:gridSpan w:val="2"/>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Health Benefits</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200" w:type="dxa"/>
            <w:vAlign w:val="bottom"/>
            <w:tcBorders>
              <w:bottom w:val="single" w:sz="8" w:color="4C4C4C"/>
            </w:tcBorders>
          </w:tcPr>
          <w:p>
            <w:pPr>
              <w:ind w:left="1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40" w:type="dxa"/>
            <w:vAlign w:val="bottom"/>
            <w:tcBorders>
              <w:bottom w:val="single" w:sz="8" w:color="4C4C4C"/>
            </w:tcBorders>
          </w:tcPr>
          <w:p>
            <w:pPr>
              <w:jc w:val="right"/>
              <w:ind w:right="65"/>
              <w:spacing w:after="0"/>
              <w:rPr>
                <w:sz w:val="20"/>
                <w:szCs w:val="20"/>
                <w:color w:val="auto"/>
              </w:rPr>
            </w:pPr>
            <w:r>
              <w:rPr>
                <w:rFonts w:ascii="Arial" w:cs="Arial" w:eastAsia="Arial" w:hAnsi="Arial"/>
                <w:sz w:val="15"/>
                <w:szCs w:val="15"/>
                <w:color w:val="auto"/>
              </w:rPr>
              <w:t>28,485</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4C4C4C"/>
            </w:tcBorders>
          </w:tcPr>
          <w:p>
            <w:pPr>
              <w:jc w:val="cente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500" w:type="dxa"/>
            <w:vAlign w:val="bottom"/>
            <w:tcBorders>
              <w:bottom w:val="single" w:sz="8" w:color="4C4C4C"/>
            </w:tcBorders>
          </w:tcPr>
          <w:p>
            <w:pPr>
              <w:ind w:left="3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00" w:type="dxa"/>
            <w:vAlign w:val="bottom"/>
            <w:tcBorders>
              <w:bottom w:val="single" w:sz="8" w:color="4C4C4C"/>
            </w:tcBorders>
          </w:tcPr>
          <w:p>
            <w:pPr>
              <w:jc w:val="right"/>
              <w:ind w:right="24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480" w:type="dxa"/>
            <w:vAlign w:val="bottom"/>
            <w:tcBorders>
              <w:bottom w:val="single" w:sz="8" w:color="4C4C4C"/>
            </w:tcBorders>
          </w:tcPr>
          <w:p>
            <w:pPr>
              <w:ind w:left="3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960" w:type="dxa"/>
            <w:vAlign w:val="bottom"/>
            <w:tcBorders>
              <w:bottom w:val="single" w:sz="8" w:color="4C4C4C"/>
            </w:tcBorders>
          </w:tcPr>
          <w:p>
            <w:pPr>
              <w:jc w:val="right"/>
              <w:ind w:right="264"/>
              <w:spacing w:after="0"/>
              <w:rPr>
                <w:sz w:val="20"/>
                <w:szCs w:val="20"/>
                <w:color w:val="auto"/>
              </w:rPr>
            </w:pPr>
            <w:r>
              <w:rPr>
                <w:rFonts w:ascii="Arial" w:cs="Arial" w:eastAsia="Arial" w:hAnsi="Arial"/>
                <w:sz w:val="15"/>
                <w:szCs w:val="15"/>
                <w:color w:val="auto"/>
              </w:rPr>
              <w:t>56,970</w:t>
            </w:r>
          </w:p>
        </w:tc>
        <w:tc>
          <w:tcPr>
            <w:tcW w:w="14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1460" w:type="dxa"/>
            <w:vAlign w:val="bottom"/>
            <w:tcBorders>
              <w:bottom w:val="single" w:sz="8" w:color="E7417A"/>
            </w:tcBorders>
          </w:tcPr>
          <w:p>
            <w:pPr>
              <w:spacing w:after="0"/>
              <w:rPr>
                <w:sz w:val="18"/>
                <w:szCs w:val="18"/>
                <w:color w:val="auto"/>
              </w:rPr>
            </w:pPr>
          </w:p>
        </w:tc>
        <w:tc>
          <w:tcPr>
            <w:tcW w:w="220" w:type="dxa"/>
            <w:vAlign w:val="bottom"/>
            <w:tcBorders>
              <w:bottom w:val="single" w:sz="8" w:color="E7417A"/>
            </w:tcBorders>
          </w:tcPr>
          <w:p>
            <w:pPr>
              <w:spacing w:after="0"/>
              <w:rPr>
                <w:sz w:val="18"/>
                <w:szCs w:val="18"/>
                <w:color w:val="auto"/>
              </w:rPr>
            </w:pPr>
          </w:p>
        </w:tc>
        <w:tc>
          <w:tcPr>
            <w:tcW w:w="6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E7417A"/>
            </w:tcBorders>
            <w:shd w:val="clear" w:color="auto" w:fill="F2F2F2"/>
          </w:tcPr>
          <w:p>
            <w:pPr>
              <w:ind w:left="1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E7417A"/>
            </w:tcBorders>
            <w:shd w:val="clear" w:color="auto" w:fill="F2F2F2"/>
          </w:tcPr>
          <w:p>
            <w:pPr>
              <w:ind w:left="100"/>
              <w:spacing w:after="0"/>
              <w:rPr>
                <w:sz w:val="20"/>
                <w:szCs w:val="20"/>
                <w:color w:val="auto"/>
              </w:rPr>
            </w:pPr>
            <w:r>
              <w:rPr>
                <w:rFonts w:ascii="Arial" w:cs="Arial" w:eastAsia="Arial" w:hAnsi="Arial"/>
                <w:sz w:val="15"/>
                <w:szCs w:val="15"/>
                <w:color w:val="auto"/>
              </w:rPr>
              <w:t>​ ​</w:t>
            </w:r>
          </w:p>
        </w:tc>
        <w:tc>
          <w:tcPr>
            <w:tcW w:w="1040" w:type="dxa"/>
            <w:vAlign w:val="bottom"/>
            <w:tcBorders>
              <w:bottom w:val="single" w:sz="8" w:color="E7417A"/>
            </w:tcBorders>
            <w:gridSpan w:val="2"/>
            <w:shd w:val="clear" w:color="auto" w:fill="F2F2F2"/>
          </w:tcPr>
          <w:p>
            <w:pPr>
              <w:jc w:val="right"/>
              <w:ind w:right="65"/>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​3,878,245</w:t>
            </w:r>
          </w:p>
        </w:tc>
        <w:tc>
          <w:tcPr>
            <w:tcW w:w="20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E7417A"/>
            </w:tcBorders>
            <w:shd w:val="clear" w:color="auto" w:fill="F2F2F2"/>
          </w:tcPr>
          <w:p>
            <w:pPr>
              <w:jc w:val="center"/>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20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5"/>
                <w:szCs w:val="15"/>
                <w:color w:val="auto"/>
              </w:rPr>
              <w:t>​​ ​</w:t>
            </w:r>
          </w:p>
        </w:tc>
        <w:tc>
          <w:tcPr>
            <w:tcW w:w="1300" w:type="dxa"/>
            <w:vAlign w:val="bottom"/>
            <w:tcBorders>
              <w:bottom w:val="single" w:sz="8" w:color="E7417A"/>
            </w:tcBorders>
            <w:gridSpan w:val="2"/>
            <w:shd w:val="clear" w:color="auto" w:fill="F2F2F2"/>
          </w:tcPr>
          <w:p>
            <w:pPr>
              <w:jc w:val="right"/>
              <w:ind w:right="244"/>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615,496</w:t>
            </w:r>
          </w:p>
        </w:tc>
        <w:tc>
          <w:tcPr>
            <w:tcW w:w="22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5"/>
                <w:szCs w:val="15"/>
                <w:color w:val="auto"/>
              </w:rPr>
              <w:t>​​ ​</w:t>
            </w:r>
          </w:p>
        </w:tc>
        <w:tc>
          <w:tcPr>
            <w:tcW w:w="1440" w:type="dxa"/>
            <w:vAlign w:val="bottom"/>
            <w:tcBorders>
              <w:bottom w:val="single" w:sz="8" w:color="E7417A"/>
            </w:tcBorders>
            <w:gridSpan w:val="2"/>
            <w:shd w:val="clear" w:color="auto" w:fill="F2F2F2"/>
          </w:tcPr>
          <w:p>
            <w:pPr>
              <w:jc w:val="right"/>
              <w:ind w:right="264"/>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​4,891,609</w:t>
            </w:r>
          </w:p>
        </w:tc>
        <w:tc>
          <w:tcPr>
            <w:tcW w:w="14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John Townsend</w:t>
            </w:r>
          </w:p>
        </w:tc>
        <w:tc>
          <w:tcPr>
            <w:tcW w:w="220" w:type="dxa"/>
            <w:vAlign w:val="bottom"/>
          </w:tcPr>
          <w:p>
            <w:pPr>
              <w:ind w:left="14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Cash Severance</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200" w:type="dxa"/>
            <w:vAlign w:val="bottom"/>
            <w:tcBorders>
              <w:bottom w:val="single" w:sz="8" w:color="4C4C4C"/>
            </w:tcBorders>
          </w:tcPr>
          <w:p>
            <w:pPr>
              <w:ind w:left="1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40" w:type="dxa"/>
            <w:vAlign w:val="bottom"/>
            <w:tcBorders>
              <w:bottom w:val="single" w:sz="8" w:color="4C4C4C"/>
            </w:tcBorders>
          </w:tcPr>
          <w:p>
            <w:pPr>
              <w:jc w:val="right"/>
              <w:ind w:right="65"/>
              <w:spacing w:after="0"/>
              <w:rPr>
                <w:sz w:val="20"/>
                <w:szCs w:val="20"/>
                <w:color w:val="auto"/>
              </w:rPr>
            </w:pPr>
            <w:r>
              <w:rPr>
                <w:rFonts w:ascii="Arial" w:cs="Arial" w:eastAsia="Arial" w:hAnsi="Arial"/>
                <w:sz w:val="15"/>
                <w:szCs w:val="15"/>
                <w:color w:val="auto"/>
              </w:rPr>
              <w:t>580,137</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4C4C4C"/>
            </w:tcBorders>
          </w:tcPr>
          <w:p>
            <w:pPr>
              <w:jc w:val="cente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500" w:type="dxa"/>
            <w:vAlign w:val="bottom"/>
            <w:tcBorders>
              <w:bottom w:val="single" w:sz="8" w:color="4C4C4C"/>
            </w:tcBorders>
          </w:tcPr>
          <w:p>
            <w:pPr>
              <w:ind w:left="3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00" w:type="dxa"/>
            <w:vAlign w:val="bottom"/>
            <w:tcBorders>
              <w:bottom w:val="single" w:sz="8" w:color="4C4C4C"/>
            </w:tcBorders>
          </w:tcPr>
          <w:p>
            <w:pPr>
              <w:jc w:val="right"/>
              <w:ind w:right="24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480" w:type="dxa"/>
            <w:vAlign w:val="bottom"/>
            <w:tcBorders>
              <w:bottom w:val="single" w:sz="8" w:color="4C4C4C"/>
            </w:tcBorders>
          </w:tcPr>
          <w:p>
            <w:pPr>
              <w:ind w:left="3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960" w:type="dxa"/>
            <w:vAlign w:val="bottom"/>
            <w:tcBorders>
              <w:bottom w:val="single" w:sz="8" w:color="4C4C4C"/>
            </w:tcBorders>
          </w:tcPr>
          <w:p>
            <w:pPr>
              <w:jc w:val="right"/>
              <w:ind w:right="264"/>
              <w:spacing w:after="0"/>
              <w:rPr>
                <w:sz w:val="20"/>
                <w:szCs w:val="20"/>
                <w:color w:val="auto"/>
              </w:rPr>
            </w:pPr>
            <w:r>
              <w:rPr>
                <w:rFonts w:ascii="Arial" w:cs="Arial" w:eastAsia="Arial" w:hAnsi="Arial"/>
                <w:sz w:val="15"/>
                <w:szCs w:val="15"/>
                <w:color w:val="auto"/>
              </w:rPr>
              <w:t>882,988</w:t>
            </w:r>
          </w:p>
        </w:tc>
        <w:tc>
          <w:tcPr>
            <w:tcW w:w="14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Stock Awards</w:t>
            </w:r>
            <w:r>
              <w:rPr>
                <w:rFonts w:ascii="Arial" w:cs="Arial" w:eastAsia="Arial" w:hAnsi="Arial"/>
                <w:sz w:val="19"/>
                <w:szCs w:val="19"/>
                <w:color w:val="auto"/>
                <w:vertAlign w:val="superscript"/>
              </w:rPr>
              <w:t>(2)</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200" w:type="dxa"/>
            <w:vAlign w:val="bottom"/>
            <w:tcBorders>
              <w:bottom w:val="single" w:sz="8" w:color="4C4C4C"/>
            </w:tcBorders>
          </w:tcPr>
          <w:p>
            <w:pPr>
              <w:ind w:left="1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40" w:type="dxa"/>
            <w:vAlign w:val="bottom"/>
            <w:tcBorders>
              <w:bottom w:val="single" w:sz="8" w:color="4C4C4C"/>
            </w:tcBorders>
          </w:tcPr>
          <w:p>
            <w:pPr>
              <w:jc w:val="right"/>
              <w:ind w:right="65"/>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4C4C4C"/>
            </w:tcBorders>
          </w:tcPr>
          <w:p>
            <w:pPr>
              <w:jc w:val="cente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1300" w:type="dxa"/>
            <w:vAlign w:val="bottom"/>
            <w:tcBorders>
              <w:bottom w:val="single" w:sz="8" w:color="4C4C4C"/>
            </w:tcBorders>
            <w:gridSpan w:val="2"/>
          </w:tcPr>
          <w:p>
            <w:pPr>
              <w:jc w:val="right"/>
              <w:ind w:right="244"/>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320,000</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480" w:type="dxa"/>
            <w:vAlign w:val="bottom"/>
            <w:tcBorders>
              <w:bottom w:val="single" w:sz="8" w:color="4C4C4C"/>
            </w:tcBorders>
          </w:tcPr>
          <w:p>
            <w:pPr>
              <w:ind w:left="3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960" w:type="dxa"/>
            <w:vAlign w:val="bottom"/>
            <w:tcBorders>
              <w:bottom w:val="single" w:sz="8" w:color="4C4C4C"/>
            </w:tcBorders>
          </w:tcPr>
          <w:p>
            <w:pPr>
              <w:jc w:val="right"/>
              <w:ind w:right="264"/>
              <w:spacing w:after="0"/>
              <w:rPr>
                <w:sz w:val="20"/>
                <w:szCs w:val="20"/>
                <w:color w:val="auto"/>
              </w:rPr>
            </w:pPr>
            <w:r>
              <w:rPr>
                <w:rFonts w:ascii="Arial" w:cs="Arial" w:eastAsia="Arial" w:hAnsi="Arial"/>
                <w:sz w:val="15"/>
                <w:szCs w:val="15"/>
                <w:color w:val="auto"/>
              </w:rPr>
              <w:t>959,999</w:t>
            </w:r>
          </w:p>
        </w:tc>
        <w:tc>
          <w:tcPr>
            <w:tcW w:w="14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Health Benefits</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200" w:type="dxa"/>
            <w:vAlign w:val="bottom"/>
            <w:tcBorders>
              <w:bottom w:val="single" w:sz="8" w:color="4C4C4C"/>
            </w:tcBorders>
          </w:tcPr>
          <w:p>
            <w:pPr>
              <w:ind w:left="1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40" w:type="dxa"/>
            <w:vAlign w:val="bottom"/>
            <w:tcBorders>
              <w:bottom w:val="single" w:sz="8" w:color="4C4C4C"/>
            </w:tcBorders>
          </w:tcPr>
          <w:p>
            <w:pPr>
              <w:jc w:val="right"/>
              <w:ind w:right="65"/>
              <w:spacing w:after="0"/>
              <w:rPr>
                <w:sz w:val="20"/>
                <w:szCs w:val="20"/>
                <w:color w:val="auto"/>
              </w:rPr>
            </w:pPr>
            <w:r>
              <w:rPr>
                <w:rFonts w:ascii="Arial" w:cs="Arial" w:eastAsia="Arial" w:hAnsi="Arial"/>
                <w:sz w:val="15"/>
                <w:szCs w:val="15"/>
                <w:color w:val="auto"/>
              </w:rPr>
              <w:t>10,500</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4C4C4C"/>
            </w:tcBorders>
          </w:tcPr>
          <w:p>
            <w:pPr>
              <w:jc w:val="cente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500" w:type="dxa"/>
            <w:vAlign w:val="bottom"/>
            <w:tcBorders>
              <w:bottom w:val="single" w:sz="8" w:color="4C4C4C"/>
            </w:tcBorders>
          </w:tcPr>
          <w:p>
            <w:pPr>
              <w:ind w:left="3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00" w:type="dxa"/>
            <w:vAlign w:val="bottom"/>
            <w:tcBorders>
              <w:bottom w:val="single" w:sz="8" w:color="4C4C4C"/>
            </w:tcBorders>
          </w:tcPr>
          <w:p>
            <w:pPr>
              <w:jc w:val="right"/>
              <w:ind w:right="24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480" w:type="dxa"/>
            <w:vAlign w:val="bottom"/>
            <w:tcBorders>
              <w:bottom w:val="single" w:sz="8" w:color="4C4C4C"/>
            </w:tcBorders>
          </w:tcPr>
          <w:p>
            <w:pPr>
              <w:ind w:left="3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960" w:type="dxa"/>
            <w:vAlign w:val="bottom"/>
            <w:tcBorders>
              <w:bottom w:val="single" w:sz="8" w:color="4C4C4C"/>
            </w:tcBorders>
          </w:tcPr>
          <w:p>
            <w:pPr>
              <w:jc w:val="right"/>
              <w:ind w:right="264"/>
              <w:spacing w:after="0"/>
              <w:rPr>
                <w:sz w:val="20"/>
                <w:szCs w:val="20"/>
                <w:color w:val="auto"/>
              </w:rPr>
            </w:pPr>
            <w:r>
              <w:rPr>
                <w:rFonts w:ascii="Arial" w:cs="Arial" w:eastAsia="Arial" w:hAnsi="Arial"/>
                <w:sz w:val="15"/>
                <w:szCs w:val="15"/>
                <w:color w:val="auto"/>
              </w:rPr>
              <w:t>21,000</w:t>
            </w:r>
          </w:p>
        </w:tc>
        <w:tc>
          <w:tcPr>
            <w:tcW w:w="14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1460" w:type="dxa"/>
            <w:vAlign w:val="bottom"/>
            <w:tcBorders>
              <w:bottom w:val="single" w:sz="8" w:color="E7417A"/>
            </w:tcBorders>
          </w:tcPr>
          <w:p>
            <w:pPr>
              <w:spacing w:after="0"/>
              <w:rPr>
                <w:sz w:val="18"/>
                <w:szCs w:val="18"/>
                <w:color w:val="auto"/>
              </w:rPr>
            </w:pPr>
          </w:p>
        </w:tc>
        <w:tc>
          <w:tcPr>
            <w:tcW w:w="220" w:type="dxa"/>
            <w:vAlign w:val="bottom"/>
            <w:tcBorders>
              <w:bottom w:val="single" w:sz="8" w:color="E7417A"/>
            </w:tcBorders>
          </w:tcPr>
          <w:p>
            <w:pPr>
              <w:spacing w:after="0"/>
              <w:rPr>
                <w:sz w:val="18"/>
                <w:szCs w:val="18"/>
                <w:color w:val="auto"/>
              </w:rPr>
            </w:pPr>
          </w:p>
        </w:tc>
        <w:tc>
          <w:tcPr>
            <w:tcW w:w="6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E7417A"/>
            </w:tcBorders>
            <w:shd w:val="clear" w:color="auto" w:fill="F2F2F2"/>
          </w:tcPr>
          <w:p>
            <w:pPr>
              <w:ind w:left="1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E7417A"/>
            </w:tcBorders>
            <w:shd w:val="clear" w:color="auto" w:fill="F2F2F2"/>
          </w:tcPr>
          <w:p>
            <w:pPr>
              <w:ind w:left="100"/>
              <w:spacing w:after="0"/>
              <w:rPr>
                <w:sz w:val="20"/>
                <w:szCs w:val="20"/>
                <w:color w:val="auto"/>
              </w:rPr>
            </w:pPr>
            <w:r>
              <w:rPr>
                <w:rFonts w:ascii="Arial" w:cs="Arial" w:eastAsia="Arial" w:hAnsi="Arial"/>
                <w:sz w:val="15"/>
                <w:szCs w:val="15"/>
                <w:color w:val="auto"/>
              </w:rPr>
              <w:t>​ ​</w:t>
            </w:r>
          </w:p>
        </w:tc>
        <w:tc>
          <w:tcPr>
            <w:tcW w:w="200" w:type="dxa"/>
            <w:vAlign w:val="bottom"/>
            <w:tcBorders>
              <w:bottom w:val="single" w:sz="8" w:color="E7417A"/>
            </w:tcBorders>
            <w:shd w:val="clear" w:color="auto" w:fill="F2F2F2"/>
          </w:tcPr>
          <w:p>
            <w:pPr>
              <w:ind w:left="140"/>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840" w:type="dxa"/>
            <w:vAlign w:val="bottom"/>
            <w:tcBorders>
              <w:bottom w:val="single" w:sz="8" w:color="E7417A"/>
            </w:tcBorders>
            <w:shd w:val="clear" w:color="auto" w:fill="F2F2F2"/>
          </w:tcPr>
          <w:p>
            <w:pPr>
              <w:jc w:val="right"/>
              <w:ind w:right="65"/>
              <w:spacing w:after="0"/>
              <w:rPr>
                <w:sz w:val="20"/>
                <w:szCs w:val="20"/>
                <w:color w:val="auto"/>
              </w:rPr>
            </w:pPr>
            <w:r>
              <w:rPr>
                <w:rFonts w:ascii="Arial" w:cs="Arial" w:eastAsia="Arial" w:hAnsi="Arial"/>
                <w:sz w:val="15"/>
                <w:szCs w:val="15"/>
                <w:color w:val="auto"/>
              </w:rPr>
              <w:t>590,638</w:t>
            </w:r>
          </w:p>
        </w:tc>
        <w:tc>
          <w:tcPr>
            <w:tcW w:w="20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E7417A"/>
            </w:tcBorders>
            <w:shd w:val="clear" w:color="auto" w:fill="F2F2F2"/>
          </w:tcPr>
          <w:p>
            <w:pPr>
              <w:jc w:val="center"/>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20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5"/>
                <w:szCs w:val="15"/>
                <w:color w:val="auto"/>
              </w:rPr>
              <w:t>​​ ​</w:t>
            </w:r>
          </w:p>
        </w:tc>
        <w:tc>
          <w:tcPr>
            <w:tcW w:w="1300" w:type="dxa"/>
            <w:vAlign w:val="bottom"/>
            <w:tcBorders>
              <w:bottom w:val="single" w:sz="8" w:color="E7417A"/>
            </w:tcBorders>
            <w:gridSpan w:val="2"/>
            <w:shd w:val="clear" w:color="auto" w:fill="F2F2F2"/>
          </w:tcPr>
          <w:p>
            <w:pPr>
              <w:jc w:val="right"/>
              <w:ind w:right="244"/>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320,000</w:t>
            </w:r>
          </w:p>
        </w:tc>
        <w:tc>
          <w:tcPr>
            <w:tcW w:w="22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5"/>
                <w:szCs w:val="15"/>
                <w:color w:val="auto"/>
              </w:rPr>
              <w:t>​​ ​</w:t>
            </w:r>
          </w:p>
        </w:tc>
        <w:tc>
          <w:tcPr>
            <w:tcW w:w="1440" w:type="dxa"/>
            <w:vAlign w:val="bottom"/>
            <w:tcBorders>
              <w:bottom w:val="single" w:sz="8" w:color="E7417A"/>
            </w:tcBorders>
            <w:gridSpan w:val="2"/>
            <w:shd w:val="clear" w:color="auto" w:fill="F2F2F2"/>
          </w:tcPr>
          <w:p>
            <w:pPr>
              <w:jc w:val="right"/>
              <w:ind w:right="264"/>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​1,863,987</w:t>
            </w:r>
          </w:p>
        </w:tc>
        <w:tc>
          <w:tcPr>
            <w:tcW w:w="14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Sam Bucci</w:t>
            </w:r>
          </w:p>
        </w:tc>
        <w:tc>
          <w:tcPr>
            <w:tcW w:w="220" w:type="dxa"/>
            <w:vAlign w:val="bottom"/>
          </w:tcPr>
          <w:p>
            <w:pPr>
              <w:ind w:left="14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Cash Severance</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200" w:type="dxa"/>
            <w:vAlign w:val="bottom"/>
            <w:tcBorders>
              <w:bottom w:val="single" w:sz="8" w:color="4C4C4C"/>
            </w:tcBorders>
          </w:tcPr>
          <w:p>
            <w:pPr>
              <w:ind w:left="14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840" w:type="dxa"/>
            <w:vAlign w:val="bottom"/>
            <w:tcBorders>
              <w:bottom w:val="single" w:sz="8" w:color="4C4C4C"/>
            </w:tcBorders>
          </w:tcPr>
          <w:p>
            <w:pPr>
              <w:jc w:val="right"/>
              <w:ind w:right="65"/>
              <w:spacing w:after="0"/>
              <w:rPr>
                <w:sz w:val="20"/>
                <w:szCs w:val="20"/>
                <w:color w:val="auto"/>
              </w:rPr>
            </w:pPr>
            <w:r>
              <w:rPr>
                <w:rFonts w:ascii="Arial" w:cs="Arial" w:eastAsia="Arial" w:hAnsi="Arial"/>
                <w:sz w:val="15"/>
                <w:szCs w:val="15"/>
                <w:color w:val="auto"/>
              </w:rPr>
              <w:t>699,746</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4C4C4C"/>
            </w:tcBorders>
          </w:tcPr>
          <w:p>
            <w:pPr>
              <w:jc w:val="cente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500" w:type="dxa"/>
            <w:vAlign w:val="bottom"/>
            <w:tcBorders>
              <w:bottom w:val="single" w:sz="8" w:color="4C4C4C"/>
            </w:tcBorders>
          </w:tcPr>
          <w:p>
            <w:pPr>
              <w:ind w:left="32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800" w:type="dxa"/>
            <w:vAlign w:val="bottom"/>
            <w:tcBorders>
              <w:bottom w:val="single" w:sz="8" w:color="4C4C4C"/>
            </w:tcBorders>
          </w:tcPr>
          <w:p>
            <w:pPr>
              <w:jc w:val="right"/>
              <w:ind w:right="24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1440" w:type="dxa"/>
            <w:vAlign w:val="bottom"/>
            <w:tcBorders>
              <w:bottom w:val="single" w:sz="8" w:color="4C4C4C"/>
            </w:tcBorders>
            <w:gridSpan w:val="2"/>
          </w:tcPr>
          <w:p>
            <w:pPr>
              <w:jc w:val="right"/>
              <w:ind w:right="264"/>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​1,139,363</w:t>
            </w:r>
          </w:p>
        </w:tc>
        <w:tc>
          <w:tcPr>
            <w:tcW w:w="14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Stock Awards</w:t>
            </w:r>
            <w:r>
              <w:rPr>
                <w:rFonts w:ascii="Arial" w:cs="Arial" w:eastAsia="Arial" w:hAnsi="Arial"/>
                <w:sz w:val="19"/>
                <w:szCs w:val="19"/>
                <w:color w:val="auto"/>
                <w:vertAlign w:val="superscript"/>
              </w:rPr>
              <w:t>(2)</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1040" w:type="dxa"/>
            <w:vAlign w:val="bottom"/>
            <w:tcBorders>
              <w:bottom w:val="single" w:sz="8" w:color="4C4C4C"/>
            </w:tcBorders>
            <w:gridSpan w:val="2"/>
          </w:tcPr>
          <w:p>
            <w:pPr>
              <w:jc w:val="right"/>
              <w:ind w:right="65"/>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​1,021,842</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4C4C4C"/>
            </w:tcBorders>
          </w:tcPr>
          <w:p>
            <w:pPr>
              <w:jc w:val="cente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1300" w:type="dxa"/>
            <w:vAlign w:val="bottom"/>
            <w:tcBorders>
              <w:bottom w:val="single" w:sz="8" w:color="4C4C4C"/>
            </w:tcBorders>
            <w:gridSpan w:val="2"/>
          </w:tcPr>
          <w:p>
            <w:pPr>
              <w:jc w:val="right"/>
              <w:ind w:right="244"/>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399,031</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1440" w:type="dxa"/>
            <w:vAlign w:val="bottom"/>
            <w:tcBorders>
              <w:bottom w:val="single" w:sz="8" w:color="4C4C4C"/>
            </w:tcBorders>
            <w:gridSpan w:val="2"/>
          </w:tcPr>
          <w:p>
            <w:pPr>
              <w:jc w:val="right"/>
              <w:ind w:right="264"/>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​1,629,984</w:t>
            </w:r>
          </w:p>
        </w:tc>
        <w:tc>
          <w:tcPr>
            <w:tcW w:w="14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Health Benefits</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200" w:type="dxa"/>
            <w:vAlign w:val="bottom"/>
            <w:tcBorders>
              <w:bottom w:val="single" w:sz="8" w:color="4C4C4C"/>
            </w:tcBorders>
          </w:tcPr>
          <w:p>
            <w:pPr>
              <w:ind w:left="1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40" w:type="dxa"/>
            <w:vAlign w:val="bottom"/>
            <w:tcBorders>
              <w:bottom w:val="single" w:sz="8" w:color="4C4C4C"/>
            </w:tcBorders>
          </w:tcPr>
          <w:p>
            <w:pPr>
              <w:jc w:val="right"/>
              <w:ind w:right="65"/>
              <w:spacing w:after="0"/>
              <w:rPr>
                <w:sz w:val="20"/>
                <w:szCs w:val="20"/>
                <w:color w:val="auto"/>
              </w:rPr>
            </w:pPr>
            <w:r>
              <w:rPr>
                <w:rFonts w:ascii="Arial" w:cs="Arial" w:eastAsia="Arial" w:hAnsi="Arial"/>
                <w:sz w:val="15"/>
                <w:szCs w:val="15"/>
                <w:color w:val="auto"/>
              </w:rPr>
              <w:t>7,964</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4C4C4C"/>
            </w:tcBorders>
          </w:tcPr>
          <w:p>
            <w:pPr>
              <w:jc w:val="cente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500" w:type="dxa"/>
            <w:vAlign w:val="bottom"/>
            <w:tcBorders>
              <w:bottom w:val="single" w:sz="8" w:color="4C4C4C"/>
            </w:tcBorders>
          </w:tcPr>
          <w:p>
            <w:pPr>
              <w:ind w:left="3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00" w:type="dxa"/>
            <w:vAlign w:val="bottom"/>
            <w:tcBorders>
              <w:bottom w:val="single" w:sz="8" w:color="4C4C4C"/>
            </w:tcBorders>
          </w:tcPr>
          <w:p>
            <w:pPr>
              <w:jc w:val="right"/>
              <w:ind w:right="24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480" w:type="dxa"/>
            <w:vAlign w:val="bottom"/>
            <w:tcBorders>
              <w:bottom w:val="single" w:sz="8" w:color="4C4C4C"/>
            </w:tcBorders>
          </w:tcPr>
          <w:p>
            <w:pPr>
              <w:ind w:left="3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960" w:type="dxa"/>
            <w:vAlign w:val="bottom"/>
            <w:tcBorders>
              <w:bottom w:val="single" w:sz="8" w:color="4C4C4C"/>
            </w:tcBorders>
          </w:tcPr>
          <w:p>
            <w:pPr>
              <w:jc w:val="right"/>
              <w:ind w:right="264"/>
              <w:spacing w:after="0"/>
              <w:rPr>
                <w:sz w:val="20"/>
                <w:szCs w:val="20"/>
                <w:color w:val="auto"/>
              </w:rPr>
            </w:pPr>
            <w:r>
              <w:rPr>
                <w:rFonts w:ascii="Arial" w:cs="Arial" w:eastAsia="Arial" w:hAnsi="Arial"/>
                <w:sz w:val="15"/>
                <w:szCs w:val="15"/>
                <w:color w:val="auto"/>
              </w:rPr>
              <w:t>7,964</w:t>
            </w:r>
          </w:p>
        </w:tc>
        <w:tc>
          <w:tcPr>
            <w:tcW w:w="14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1460" w:type="dxa"/>
            <w:vAlign w:val="bottom"/>
            <w:tcBorders>
              <w:bottom w:val="single" w:sz="8" w:color="E7417A"/>
            </w:tcBorders>
          </w:tcPr>
          <w:p>
            <w:pPr>
              <w:spacing w:after="0"/>
              <w:rPr>
                <w:sz w:val="18"/>
                <w:szCs w:val="18"/>
                <w:color w:val="auto"/>
              </w:rPr>
            </w:pPr>
          </w:p>
        </w:tc>
        <w:tc>
          <w:tcPr>
            <w:tcW w:w="220" w:type="dxa"/>
            <w:vAlign w:val="bottom"/>
            <w:tcBorders>
              <w:bottom w:val="single" w:sz="8" w:color="E7417A"/>
            </w:tcBorders>
          </w:tcPr>
          <w:p>
            <w:pPr>
              <w:spacing w:after="0"/>
              <w:rPr>
                <w:sz w:val="18"/>
                <w:szCs w:val="18"/>
                <w:color w:val="auto"/>
              </w:rPr>
            </w:pPr>
          </w:p>
        </w:tc>
        <w:tc>
          <w:tcPr>
            <w:tcW w:w="6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E7417A"/>
            </w:tcBorders>
            <w:shd w:val="clear" w:color="auto" w:fill="F2F2F2"/>
          </w:tcPr>
          <w:p>
            <w:pPr>
              <w:ind w:left="1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E7417A"/>
            </w:tcBorders>
            <w:shd w:val="clear" w:color="auto" w:fill="F2F2F2"/>
          </w:tcPr>
          <w:p>
            <w:pPr>
              <w:ind w:left="100"/>
              <w:spacing w:after="0"/>
              <w:rPr>
                <w:sz w:val="20"/>
                <w:szCs w:val="20"/>
                <w:color w:val="auto"/>
              </w:rPr>
            </w:pPr>
            <w:r>
              <w:rPr>
                <w:rFonts w:ascii="Arial" w:cs="Arial" w:eastAsia="Arial" w:hAnsi="Arial"/>
                <w:sz w:val="15"/>
                <w:szCs w:val="15"/>
                <w:color w:val="auto"/>
              </w:rPr>
              <w:t>​ ​</w:t>
            </w:r>
          </w:p>
        </w:tc>
        <w:tc>
          <w:tcPr>
            <w:tcW w:w="1040" w:type="dxa"/>
            <w:vAlign w:val="bottom"/>
            <w:tcBorders>
              <w:bottom w:val="single" w:sz="8" w:color="E7417A"/>
            </w:tcBorders>
            <w:gridSpan w:val="2"/>
            <w:shd w:val="clear" w:color="auto" w:fill="F2F2F2"/>
          </w:tcPr>
          <w:p>
            <w:pPr>
              <w:jc w:val="right"/>
              <w:ind w:right="65"/>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​1,729,552</w:t>
            </w:r>
          </w:p>
        </w:tc>
        <w:tc>
          <w:tcPr>
            <w:tcW w:w="20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E7417A"/>
            </w:tcBorders>
            <w:shd w:val="clear" w:color="auto" w:fill="F2F2F2"/>
          </w:tcPr>
          <w:p>
            <w:pPr>
              <w:jc w:val="center"/>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20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5"/>
                <w:szCs w:val="15"/>
                <w:color w:val="auto"/>
              </w:rPr>
              <w:t>​​ ​</w:t>
            </w:r>
          </w:p>
        </w:tc>
        <w:tc>
          <w:tcPr>
            <w:tcW w:w="1300" w:type="dxa"/>
            <w:vAlign w:val="bottom"/>
            <w:tcBorders>
              <w:bottom w:val="single" w:sz="8" w:color="E7417A"/>
            </w:tcBorders>
            <w:gridSpan w:val="2"/>
            <w:shd w:val="clear" w:color="auto" w:fill="F2F2F2"/>
          </w:tcPr>
          <w:p>
            <w:pPr>
              <w:jc w:val="right"/>
              <w:ind w:right="244"/>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399,031</w:t>
            </w:r>
          </w:p>
        </w:tc>
        <w:tc>
          <w:tcPr>
            <w:tcW w:w="22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5"/>
                <w:szCs w:val="15"/>
                <w:color w:val="auto"/>
              </w:rPr>
              <w:t>​​ ​</w:t>
            </w:r>
          </w:p>
        </w:tc>
        <w:tc>
          <w:tcPr>
            <w:tcW w:w="1440" w:type="dxa"/>
            <w:vAlign w:val="bottom"/>
            <w:tcBorders>
              <w:bottom w:val="single" w:sz="8" w:color="E7417A"/>
            </w:tcBorders>
            <w:gridSpan w:val="2"/>
            <w:shd w:val="clear" w:color="auto" w:fill="F2F2F2"/>
          </w:tcPr>
          <w:p>
            <w:pPr>
              <w:jc w:val="right"/>
              <w:ind w:right="264"/>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​2,777,311</w:t>
            </w:r>
          </w:p>
        </w:tc>
        <w:tc>
          <w:tcPr>
            <w:tcW w:w="14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Patrick Macken</w:t>
            </w:r>
          </w:p>
        </w:tc>
        <w:tc>
          <w:tcPr>
            <w:tcW w:w="220" w:type="dxa"/>
            <w:vAlign w:val="bottom"/>
          </w:tcPr>
          <w:p>
            <w:pPr>
              <w:ind w:left="14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Cash Severance</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200" w:type="dxa"/>
            <w:vAlign w:val="bottom"/>
            <w:tcBorders>
              <w:bottom w:val="single" w:sz="8" w:color="4C4C4C"/>
            </w:tcBorders>
          </w:tcPr>
          <w:p>
            <w:pPr>
              <w:ind w:left="1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40" w:type="dxa"/>
            <w:vAlign w:val="bottom"/>
            <w:tcBorders>
              <w:bottom w:val="single" w:sz="8" w:color="4C4C4C"/>
            </w:tcBorders>
          </w:tcPr>
          <w:p>
            <w:pPr>
              <w:jc w:val="right"/>
              <w:ind w:right="65"/>
              <w:spacing w:after="0"/>
              <w:rPr>
                <w:sz w:val="20"/>
                <w:szCs w:val="20"/>
                <w:color w:val="auto"/>
              </w:rPr>
            </w:pPr>
            <w:r>
              <w:rPr>
                <w:rFonts w:ascii="Arial" w:cs="Arial" w:eastAsia="Arial" w:hAnsi="Arial"/>
                <w:sz w:val="15"/>
                <w:szCs w:val="15"/>
                <w:color w:val="auto"/>
              </w:rPr>
              <w:t>729,713</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4C4C4C"/>
            </w:tcBorders>
          </w:tcPr>
          <w:p>
            <w:pPr>
              <w:jc w:val="cente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500" w:type="dxa"/>
            <w:vAlign w:val="bottom"/>
            <w:tcBorders>
              <w:bottom w:val="single" w:sz="8" w:color="4C4C4C"/>
            </w:tcBorders>
          </w:tcPr>
          <w:p>
            <w:pPr>
              <w:ind w:left="3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00" w:type="dxa"/>
            <w:vAlign w:val="bottom"/>
            <w:tcBorders>
              <w:bottom w:val="single" w:sz="8" w:color="4C4C4C"/>
            </w:tcBorders>
          </w:tcPr>
          <w:p>
            <w:pPr>
              <w:jc w:val="right"/>
              <w:ind w:right="24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1440" w:type="dxa"/>
            <w:vAlign w:val="bottom"/>
            <w:tcBorders>
              <w:bottom w:val="single" w:sz="8" w:color="4C4C4C"/>
            </w:tcBorders>
            <w:gridSpan w:val="2"/>
          </w:tcPr>
          <w:p>
            <w:pPr>
              <w:jc w:val="right"/>
              <w:ind w:right="264"/>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​1,088,588</w:t>
            </w:r>
          </w:p>
        </w:tc>
        <w:tc>
          <w:tcPr>
            <w:tcW w:w="14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Stock Awards</w:t>
            </w:r>
            <w:r>
              <w:rPr>
                <w:rFonts w:ascii="Arial" w:cs="Arial" w:eastAsia="Arial" w:hAnsi="Arial"/>
                <w:sz w:val="19"/>
                <w:szCs w:val="19"/>
                <w:color w:val="auto"/>
                <w:vertAlign w:val="superscript"/>
              </w:rPr>
              <w:t>(2)</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200" w:type="dxa"/>
            <w:vAlign w:val="bottom"/>
            <w:tcBorders>
              <w:bottom w:val="single" w:sz="8" w:color="4C4C4C"/>
            </w:tcBorders>
          </w:tcPr>
          <w:p>
            <w:pPr>
              <w:ind w:left="14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840" w:type="dxa"/>
            <w:vAlign w:val="bottom"/>
            <w:tcBorders>
              <w:bottom w:val="single" w:sz="8" w:color="4C4C4C"/>
            </w:tcBorders>
          </w:tcPr>
          <w:p>
            <w:pPr>
              <w:jc w:val="right"/>
              <w:ind w:right="65"/>
              <w:spacing w:after="0"/>
              <w:rPr>
                <w:sz w:val="20"/>
                <w:szCs w:val="20"/>
                <w:color w:val="auto"/>
              </w:rPr>
            </w:pPr>
            <w:r>
              <w:rPr>
                <w:rFonts w:ascii="Arial" w:cs="Arial" w:eastAsia="Arial" w:hAnsi="Arial"/>
                <w:sz w:val="15"/>
                <w:szCs w:val="15"/>
                <w:color w:val="auto"/>
              </w:rPr>
              <w:t>963,032</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4C4C4C"/>
            </w:tcBorders>
          </w:tcPr>
          <w:p>
            <w:pPr>
              <w:jc w:val="cente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1300" w:type="dxa"/>
            <w:vAlign w:val="bottom"/>
            <w:tcBorders>
              <w:bottom w:val="single" w:sz="8" w:color="4C4C4C"/>
            </w:tcBorders>
            <w:gridSpan w:val="2"/>
          </w:tcPr>
          <w:p>
            <w:pPr>
              <w:jc w:val="right"/>
              <w:ind w:right="244"/>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322,883</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1440" w:type="dxa"/>
            <w:vAlign w:val="bottom"/>
            <w:tcBorders>
              <w:bottom w:val="single" w:sz="8" w:color="4C4C4C"/>
            </w:tcBorders>
            <w:gridSpan w:val="2"/>
          </w:tcPr>
          <w:p>
            <w:pPr>
              <w:jc w:val="right"/>
              <w:ind w:right="264"/>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​1,406,650</w:t>
            </w:r>
          </w:p>
        </w:tc>
        <w:tc>
          <w:tcPr>
            <w:tcW w:w="14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Health Benefits</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200" w:type="dxa"/>
            <w:vAlign w:val="bottom"/>
            <w:tcBorders>
              <w:bottom w:val="single" w:sz="8" w:color="4C4C4C"/>
            </w:tcBorders>
          </w:tcPr>
          <w:p>
            <w:pPr>
              <w:ind w:left="1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40" w:type="dxa"/>
            <w:vAlign w:val="bottom"/>
            <w:tcBorders>
              <w:bottom w:val="single" w:sz="8" w:color="4C4C4C"/>
            </w:tcBorders>
          </w:tcPr>
          <w:p>
            <w:pPr>
              <w:jc w:val="right"/>
              <w:ind w:right="65"/>
              <w:spacing w:after="0"/>
              <w:rPr>
                <w:sz w:val="20"/>
                <w:szCs w:val="20"/>
                <w:color w:val="auto"/>
              </w:rPr>
            </w:pPr>
            <w:r>
              <w:rPr>
                <w:rFonts w:ascii="Arial" w:cs="Arial" w:eastAsia="Arial" w:hAnsi="Arial"/>
                <w:sz w:val="15"/>
                <w:szCs w:val="15"/>
                <w:color w:val="auto"/>
              </w:rPr>
              <w:t>28,515</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4C4C4C"/>
            </w:tcBorders>
          </w:tcPr>
          <w:p>
            <w:pPr>
              <w:jc w:val="cente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500" w:type="dxa"/>
            <w:vAlign w:val="bottom"/>
            <w:tcBorders>
              <w:bottom w:val="single" w:sz="8" w:color="4C4C4C"/>
            </w:tcBorders>
          </w:tcPr>
          <w:p>
            <w:pPr>
              <w:ind w:left="3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00" w:type="dxa"/>
            <w:vAlign w:val="bottom"/>
            <w:tcBorders>
              <w:bottom w:val="single" w:sz="8" w:color="4C4C4C"/>
            </w:tcBorders>
          </w:tcPr>
          <w:p>
            <w:pPr>
              <w:jc w:val="right"/>
              <w:ind w:right="24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480" w:type="dxa"/>
            <w:vAlign w:val="bottom"/>
            <w:tcBorders>
              <w:bottom w:val="single" w:sz="8" w:color="4C4C4C"/>
            </w:tcBorders>
          </w:tcPr>
          <w:p>
            <w:pPr>
              <w:ind w:left="3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960" w:type="dxa"/>
            <w:vAlign w:val="bottom"/>
            <w:tcBorders>
              <w:bottom w:val="single" w:sz="8" w:color="4C4C4C"/>
            </w:tcBorders>
          </w:tcPr>
          <w:p>
            <w:pPr>
              <w:jc w:val="right"/>
              <w:ind w:right="264"/>
              <w:spacing w:after="0"/>
              <w:rPr>
                <w:sz w:val="20"/>
                <w:szCs w:val="20"/>
                <w:color w:val="auto"/>
              </w:rPr>
            </w:pPr>
            <w:r>
              <w:rPr>
                <w:rFonts w:ascii="Arial" w:cs="Arial" w:eastAsia="Arial" w:hAnsi="Arial"/>
                <w:sz w:val="15"/>
                <w:szCs w:val="15"/>
                <w:color w:val="auto"/>
              </w:rPr>
              <w:t>28,515</w:t>
            </w:r>
          </w:p>
        </w:tc>
        <w:tc>
          <w:tcPr>
            <w:tcW w:w="14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1460" w:type="dxa"/>
            <w:vAlign w:val="bottom"/>
            <w:tcBorders>
              <w:bottom w:val="single" w:sz="8" w:color="E7417A"/>
            </w:tcBorders>
          </w:tcPr>
          <w:p>
            <w:pPr>
              <w:spacing w:after="0"/>
              <w:rPr>
                <w:sz w:val="18"/>
                <w:szCs w:val="18"/>
                <w:color w:val="auto"/>
              </w:rPr>
            </w:pPr>
          </w:p>
        </w:tc>
        <w:tc>
          <w:tcPr>
            <w:tcW w:w="220" w:type="dxa"/>
            <w:vAlign w:val="bottom"/>
            <w:tcBorders>
              <w:bottom w:val="single" w:sz="8" w:color="E7417A"/>
            </w:tcBorders>
          </w:tcPr>
          <w:p>
            <w:pPr>
              <w:spacing w:after="0"/>
              <w:rPr>
                <w:sz w:val="18"/>
                <w:szCs w:val="18"/>
                <w:color w:val="auto"/>
              </w:rPr>
            </w:pPr>
          </w:p>
        </w:tc>
        <w:tc>
          <w:tcPr>
            <w:tcW w:w="6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E7417A"/>
            </w:tcBorders>
            <w:shd w:val="clear" w:color="auto" w:fill="F2F2F2"/>
          </w:tcPr>
          <w:p>
            <w:pPr>
              <w:ind w:left="1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E7417A"/>
            </w:tcBorders>
            <w:shd w:val="clear" w:color="auto" w:fill="F2F2F2"/>
          </w:tcPr>
          <w:p>
            <w:pPr>
              <w:ind w:left="100"/>
              <w:spacing w:after="0"/>
              <w:rPr>
                <w:sz w:val="20"/>
                <w:szCs w:val="20"/>
                <w:color w:val="auto"/>
              </w:rPr>
            </w:pPr>
            <w:r>
              <w:rPr>
                <w:rFonts w:ascii="Arial" w:cs="Arial" w:eastAsia="Arial" w:hAnsi="Arial"/>
                <w:sz w:val="15"/>
                <w:szCs w:val="15"/>
                <w:color w:val="auto"/>
              </w:rPr>
              <w:t>​ ​</w:t>
            </w:r>
          </w:p>
        </w:tc>
        <w:tc>
          <w:tcPr>
            <w:tcW w:w="1040" w:type="dxa"/>
            <w:vAlign w:val="bottom"/>
            <w:tcBorders>
              <w:bottom w:val="single" w:sz="8" w:color="E7417A"/>
            </w:tcBorders>
            <w:gridSpan w:val="2"/>
            <w:shd w:val="clear" w:color="auto" w:fill="F2F2F2"/>
          </w:tcPr>
          <w:p>
            <w:pPr>
              <w:jc w:val="right"/>
              <w:ind w:right="65"/>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​1,721,260</w:t>
            </w:r>
          </w:p>
        </w:tc>
        <w:tc>
          <w:tcPr>
            <w:tcW w:w="20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E7417A"/>
            </w:tcBorders>
            <w:shd w:val="clear" w:color="auto" w:fill="F2F2F2"/>
          </w:tcPr>
          <w:p>
            <w:pPr>
              <w:jc w:val="center"/>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20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5"/>
                <w:szCs w:val="15"/>
                <w:color w:val="auto"/>
              </w:rPr>
              <w:t>​​ ​</w:t>
            </w:r>
          </w:p>
        </w:tc>
        <w:tc>
          <w:tcPr>
            <w:tcW w:w="1300" w:type="dxa"/>
            <w:vAlign w:val="bottom"/>
            <w:tcBorders>
              <w:bottom w:val="single" w:sz="8" w:color="E7417A"/>
            </w:tcBorders>
            <w:gridSpan w:val="2"/>
            <w:shd w:val="clear" w:color="auto" w:fill="F2F2F2"/>
          </w:tcPr>
          <w:p>
            <w:pPr>
              <w:jc w:val="right"/>
              <w:ind w:right="244"/>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322,883</w:t>
            </w:r>
          </w:p>
        </w:tc>
        <w:tc>
          <w:tcPr>
            <w:tcW w:w="22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5"/>
                <w:szCs w:val="15"/>
                <w:color w:val="auto"/>
              </w:rPr>
              <w:t>​​ ​</w:t>
            </w:r>
          </w:p>
        </w:tc>
        <w:tc>
          <w:tcPr>
            <w:tcW w:w="1440" w:type="dxa"/>
            <w:vAlign w:val="bottom"/>
            <w:tcBorders>
              <w:bottom w:val="single" w:sz="8" w:color="E7417A"/>
            </w:tcBorders>
            <w:gridSpan w:val="2"/>
            <w:shd w:val="clear" w:color="auto" w:fill="F2F2F2"/>
          </w:tcPr>
          <w:p>
            <w:pPr>
              <w:jc w:val="right"/>
              <w:ind w:right="264"/>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​2,523,753</w:t>
            </w:r>
          </w:p>
        </w:tc>
        <w:tc>
          <w:tcPr>
            <w:tcW w:w="14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Dan Redington</w:t>
            </w:r>
          </w:p>
        </w:tc>
        <w:tc>
          <w:tcPr>
            <w:tcW w:w="220" w:type="dxa"/>
            <w:vAlign w:val="bottom"/>
          </w:tcPr>
          <w:p>
            <w:pPr>
              <w:ind w:left="14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Cash Severance</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200" w:type="dxa"/>
            <w:vAlign w:val="bottom"/>
            <w:tcBorders>
              <w:bottom w:val="single" w:sz="8" w:color="4C4C4C"/>
            </w:tcBorders>
          </w:tcPr>
          <w:p>
            <w:pPr>
              <w:ind w:left="1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40" w:type="dxa"/>
            <w:vAlign w:val="bottom"/>
            <w:tcBorders>
              <w:bottom w:val="single" w:sz="8" w:color="4C4C4C"/>
            </w:tcBorders>
          </w:tcPr>
          <w:p>
            <w:pPr>
              <w:jc w:val="right"/>
              <w:ind w:right="65"/>
              <w:spacing w:after="0"/>
              <w:rPr>
                <w:sz w:val="20"/>
                <w:szCs w:val="20"/>
                <w:color w:val="auto"/>
              </w:rPr>
            </w:pPr>
            <w:r>
              <w:rPr>
                <w:rFonts w:ascii="Arial" w:cs="Arial" w:eastAsia="Arial" w:hAnsi="Arial"/>
                <w:sz w:val="15"/>
                <w:szCs w:val="15"/>
                <w:color w:val="auto"/>
              </w:rPr>
              <w:t>655,750</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4C4C4C"/>
            </w:tcBorders>
          </w:tcPr>
          <w:p>
            <w:pPr>
              <w:jc w:val="cente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500" w:type="dxa"/>
            <w:vAlign w:val="bottom"/>
            <w:tcBorders>
              <w:bottom w:val="single" w:sz="8" w:color="4C4C4C"/>
            </w:tcBorders>
          </w:tcPr>
          <w:p>
            <w:pPr>
              <w:ind w:left="3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00" w:type="dxa"/>
            <w:vAlign w:val="bottom"/>
            <w:tcBorders>
              <w:bottom w:val="single" w:sz="8" w:color="4C4C4C"/>
            </w:tcBorders>
          </w:tcPr>
          <w:p>
            <w:pPr>
              <w:jc w:val="right"/>
              <w:ind w:right="24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480" w:type="dxa"/>
            <w:vAlign w:val="bottom"/>
            <w:tcBorders>
              <w:bottom w:val="single" w:sz="8" w:color="4C4C4C"/>
            </w:tcBorders>
          </w:tcPr>
          <w:p>
            <w:pPr>
              <w:ind w:left="3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960" w:type="dxa"/>
            <w:vAlign w:val="bottom"/>
            <w:tcBorders>
              <w:bottom w:val="single" w:sz="8" w:color="4C4C4C"/>
            </w:tcBorders>
          </w:tcPr>
          <w:p>
            <w:pPr>
              <w:jc w:val="right"/>
              <w:ind w:right="264"/>
              <w:spacing w:after="0"/>
              <w:rPr>
                <w:sz w:val="20"/>
                <w:szCs w:val="20"/>
                <w:color w:val="auto"/>
              </w:rPr>
            </w:pPr>
            <w:r>
              <w:rPr>
                <w:rFonts w:ascii="Arial" w:cs="Arial" w:eastAsia="Arial" w:hAnsi="Arial"/>
                <w:sz w:val="15"/>
                <w:szCs w:val="15"/>
                <w:color w:val="auto"/>
              </w:rPr>
              <w:t>978,250</w:t>
            </w:r>
          </w:p>
        </w:tc>
        <w:tc>
          <w:tcPr>
            <w:tcW w:w="14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Stock Awards</w:t>
            </w:r>
            <w:r>
              <w:rPr>
                <w:rFonts w:ascii="Arial" w:cs="Arial" w:eastAsia="Arial" w:hAnsi="Arial"/>
                <w:sz w:val="19"/>
                <w:szCs w:val="19"/>
                <w:color w:val="auto"/>
                <w:vertAlign w:val="superscript"/>
              </w:rPr>
              <w:t>(2)</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200" w:type="dxa"/>
            <w:vAlign w:val="bottom"/>
            <w:tcBorders>
              <w:bottom w:val="single" w:sz="8" w:color="4C4C4C"/>
            </w:tcBorders>
          </w:tcPr>
          <w:p>
            <w:pPr>
              <w:ind w:left="14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840" w:type="dxa"/>
            <w:vAlign w:val="bottom"/>
            <w:tcBorders>
              <w:bottom w:val="single" w:sz="8" w:color="4C4C4C"/>
            </w:tcBorders>
          </w:tcPr>
          <w:p>
            <w:pPr>
              <w:jc w:val="right"/>
              <w:ind w:right="65"/>
              <w:spacing w:after="0"/>
              <w:rPr>
                <w:sz w:val="20"/>
                <w:szCs w:val="20"/>
                <w:color w:val="auto"/>
              </w:rPr>
            </w:pPr>
            <w:r>
              <w:rPr>
                <w:rFonts w:ascii="Arial" w:cs="Arial" w:eastAsia="Arial" w:hAnsi="Arial"/>
                <w:sz w:val="15"/>
                <w:szCs w:val="15"/>
                <w:color w:val="auto"/>
              </w:rPr>
              <w:t>464,872</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4C4C4C"/>
            </w:tcBorders>
          </w:tcPr>
          <w:p>
            <w:pPr>
              <w:jc w:val="cente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1300" w:type="dxa"/>
            <w:vAlign w:val="bottom"/>
            <w:tcBorders>
              <w:bottom w:val="single" w:sz="8" w:color="4C4C4C"/>
            </w:tcBorders>
            <w:gridSpan w:val="2"/>
          </w:tcPr>
          <w:p>
            <w:pPr>
              <w:jc w:val="right"/>
              <w:ind w:right="244"/>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382,193</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480" w:type="dxa"/>
            <w:vAlign w:val="bottom"/>
            <w:tcBorders>
              <w:bottom w:val="single" w:sz="8" w:color="4C4C4C"/>
            </w:tcBorders>
          </w:tcPr>
          <w:p>
            <w:pPr>
              <w:ind w:left="34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960" w:type="dxa"/>
            <w:vAlign w:val="bottom"/>
            <w:tcBorders>
              <w:bottom w:val="single" w:sz="8" w:color="4C4C4C"/>
            </w:tcBorders>
          </w:tcPr>
          <w:p>
            <w:pPr>
              <w:jc w:val="right"/>
              <w:ind w:right="264"/>
              <w:spacing w:after="0"/>
              <w:rPr>
                <w:sz w:val="20"/>
                <w:szCs w:val="20"/>
                <w:color w:val="auto"/>
              </w:rPr>
            </w:pPr>
            <w:r>
              <w:rPr>
                <w:rFonts w:ascii="Arial" w:cs="Arial" w:eastAsia="Arial" w:hAnsi="Arial"/>
                <w:sz w:val="15"/>
                <w:szCs w:val="15"/>
                <w:color w:val="auto"/>
              </w:rPr>
              <w:t>790,165</w:t>
            </w:r>
          </w:p>
        </w:tc>
        <w:tc>
          <w:tcPr>
            <w:tcW w:w="14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Health Benefits</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200" w:type="dxa"/>
            <w:vAlign w:val="bottom"/>
            <w:tcBorders>
              <w:bottom w:val="single" w:sz="8" w:color="4C4C4C"/>
            </w:tcBorders>
          </w:tcPr>
          <w:p>
            <w:pPr>
              <w:ind w:left="1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40" w:type="dxa"/>
            <w:vAlign w:val="bottom"/>
            <w:tcBorders>
              <w:bottom w:val="single" w:sz="8" w:color="4C4C4C"/>
            </w:tcBorders>
          </w:tcPr>
          <w:p>
            <w:pPr>
              <w:jc w:val="right"/>
              <w:ind w:right="65"/>
              <w:spacing w:after="0"/>
              <w:rPr>
                <w:sz w:val="20"/>
                <w:szCs w:val="20"/>
                <w:color w:val="auto"/>
              </w:rPr>
            </w:pPr>
            <w:r>
              <w:rPr>
                <w:rFonts w:ascii="Arial" w:cs="Arial" w:eastAsia="Arial" w:hAnsi="Arial"/>
                <w:sz w:val="15"/>
                <w:szCs w:val="15"/>
                <w:color w:val="auto"/>
              </w:rPr>
              <w:t>28,485</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4C4C4C"/>
            </w:tcBorders>
          </w:tcPr>
          <w:p>
            <w:pPr>
              <w:jc w:val="cente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500" w:type="dxa"/>
            <w:vAlign w:val="bottom"/>
            <w:tcBorders>
              <w:bottom w:val="single" w:sz="8" w:color="4C4C4C"/>
            </w:tcBorders>
          </w:tcPr>
          <w:p>
            <w:pPr>
              <w:ind w:left="3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00" w:type="dxa"/>
            <w:vAlign w:val="bottom"/>
            <w:tcBorders>
              <w:bottom w:val="single" w:sz="8" w:color="4C4C4C"/>
            </w:tcBorders>
          </w:tcPr>
          <w:p>
            <w:pPr>
              <w:jc w:val="right"/>
              <w:ind w:right="24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 ​</w:t>
            </w:r>
          </w:p>
        </w:tc>
        <w:tc>
          <w:tcPr>
            <w:tcW w:w="480" w:type="dxa"/>
            <w:vAlign w:val="bottom"/>
            <w:tcBorders>
              <w:bottom w:val="single" w:sz="8" w:color="4C4C4C"/>
            </w:tcBorders>
          </w:tcPr>
          <w:p>
            <w:pPr>
              <w:ind w:left="3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960" w:type="dxa"/>
            <w:vAlign w:val="bottom"/>
            <w:tcBorders>
              <w:bottom w:val="single" w:sz="8" w:color="4C4C4C"/>
            </w:tcBorders>
          </w:tcPr>
          <w:p>
            <w:pPr>
              <w:jc w:val="right"/>
              <w:ind w:right="264"/>
              <w:spacing w:after="0"/>
              <w:rPr>
                <w:sz w:val="20"/>
                <w:szCs w:val="20"/>
                <w:color w:val="auto"/>
              </w:rPr>
            </w:pPr>
            <w:r>
              <w:rPr>
                <w:rFonts w:ascii="Arial" w:cs="Arial" w:eastAsia="Arial" w:hAnsi="Arial"/>
                <w:sz w:val="15"/>
                <w:szCs w:val="15"/>
                <w:color w:val="auto"/>
              </w:rPr>
              <w:t>28,485</w:t>
            </w:r>
          </w:p>
        </w:tc>
        <w:tc>
          <w:tcPr>
            <w:tcW w:w="14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7"/>
        </w:trPr>
        <w:tc>
          <w:tcPr>
            <w:tcW w:w="1460" w:type="dxa"/>
            <w:vAlign w:val="bottom"/>
            <w:tcBorders>
              <w:bottom w:val="single" w:sz="8" w:color="62259D"/>
            </w:tcBorders>
          </w:tcPr>
          <w:p>
            <w:pPr>
              <w:spacing w:after="0"/>
              <w:rPr>
                <w:sz w:val="20"/>
                <w:szCs w:val="20"/>
                <w:color w:val="auto"/>
              </w:rPr>
            </w:pPr>
          </w:p>
        </w:tc>
        <w:tc>
          <w:tcPr>
            <w:tcW w:w="220" w:type="dxa"/>
            <w:vAlign w:val="bottom"/>
            <w:tcBorders>
              <w:bottom w:val="single" w:sz="8" w:color="62259D"/>
            </w:tcBorders>
          </w:tcPr>
          <w:p>
            <w:pPr>
              <w:spacing w:after="0"/>
              <w:rPr>
                <w:sz w:val="20"/>
                <w:szCs w:val="20"/>
                <w:color w:val="auto"/>
              </w:rPr>
            </w:pPr>
          </w:p>
        </w:tc>
        <w:tc>
          <w:tcPr>
            <w:tcW w:w="60" w:type="dxa"/>
            <w:vAlign w:val="bottom"/>
            <w:tcBorders>
              <w:bottom w:val="single" w:sz="8" w:color="62259D"/>
            </w:tcBorders>
            <w:shd w:val="clear" w:color="auto" w:fill="F2F2F2"/>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62259D"/>
            </w:tcBorders>
            <w:shd w:val="clear" w:color="auto" w:fill="F2F2F2"/>
          </w:tcPr>
          <w:p>
            <w:pPr>
              <w:ind w:left="1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62259D"/>
            </w:tcBorders>
            <w:shd w:val="clear" w:color="auto" w:fill="F2F2F2"/>
          </w:tcPr>
          <w:p>
            <w:pPr>
              <w:ind w:left="100"/>
              <w:spacing w:after="0"/>
              <w:rPr>
                <w:sz w:val="20"/>
                <w:szCs w:val="20"/>
                <w:color w:val="auto"/>
              </w:rPr>
            </w:pPr>
            <w:r>
              <w:rPr>
                <w:rFonts w:ascii="Arial" w:cs="Arial" w:eastAsia="Arial" w:hAnsi="Arial"/>
                <w:sz w:val="15"/>
                <w:szCs w:val="15"/>
                <w:color w:val="auto"/>
              </w:rPr>
              <w:t>​ ​</w:t>
            </w:r>
          </w:p>
        </w:tc>
        <w:tc>
          <w:tcPr>
            <w:tcW w:w="1040" w:type="dxa"/>
            <w:vAlign w:val="bottom"/>
            <w:tcBorders>
              <w:bottom w:val="single" w:sz="8" w:color="62259D"/>
            </w:tcBorders>
            <w:gridSpan w:val="2"/>
            <w:shd w:val="clear" w:color="auto" w:fill="F2F2F2"/>
          </w:tcPr>
          <w:p>
            <w:pPr>
              <w:jc w:val="right"/>
              <w:ind w:right="65"/>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​1,149,107</w:t>
            </w:r>
          </w:p>
        </w:tc>
        <w:tc>
          <w:tcPr>
            <w:tcW w:w="200" w:type="dxa"/>
            <w:vAlign w:val="bottom"/>
            <w:tcBorders>
              <w:bottom w:val="single" w:sz="8" w:color="62259D"/>
            </w:tcBorders>
            <w:shd w:val="clear" w:color="auto" w:fill="F2F2F2"/>
          </w:tcPr>
          <w:p>
            <w:pPr>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62259D"/>
            </w:tcBorders>
            <w:shd w:val="clear" w:color="auto" w:fill="F2F2F2"/>
          </w:tcPr>
          <w:p>
            <w:pPr>
              <w:jc w:val="center"/>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200" w:type="dxa"/>
            <w:vAlign w:val="bottom"/>
            <w:tcBorders>
              <w:bottom w:val="single" w:sz="8" w:color="62259D"/>
            </w:tcBorders>
            <w:shd w:val="clear" w:color="auto" w:fill="F2F2F2"/>
          </w:tcPr>
          <w:p>
            <w:pPr>
              <w:ind w:left="20"/>
              <w:spacing w:after="0"/>
              <w:rPr>
                <w:sz w:val="20"/>
                <w:szCs w:val="20"/>
                <w:color w:val="auto"/>
              </w:rPr>
            </w:pPr>
            <w:r>
              <w:rPr>
                <w:rFonts w:ascii="Arial" w:cs="Arial" w:eastAsia="Arial" w:hAnsi="Arial"/>
                <w:sz w:val="15"/>
                <w:szCs w:val="15"/>
                <w:color w:val="auto"/>
              </w:rPr>
              <w:t>​​ ​</w:t>
            </w:r>
          </w:p>
        </w:tc>
        <w:tc>
          <w:tcPr>
            <w:tcW w:w="1300" w:type="dxa"/>
            <w:vAlign w:val="bottom"/>
            <w:tcBorders>
              <w:bottom w:val="single" w:sz="8" w:color="62259D"/>
            </w:tcBorders>
            <w:gridSpan w:val="2"/>
            <w:shd w:val="clear" w:color="auto" w:fill="F2F2F2"/>
          </w:tcPr>
          <w:p>
            <w:pPr>
              <w:jc w:val="right"/>
              <w:ind w:right="244"/>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382,193</w:t>
            </w:r>
          </w:p>
        </w:tc>
        <w:tc>
          <w:tcPr>
            <w:tcW w:w="220" w:type="dxa"/>
            <w:vAlign w:val="bottom"/>
            <w:tcBorders>
              <w:bottom w:val="single" w:sz="8" w:color="62259D"/>
            </w:tcBorders>
            <w:shd w:val="clear" w:color="auto" w:fill="F2F2F2"/>
          </w:tcPr>
          <w:p>
            <w:pPr>
              <w:spacing w:after="0"/>
              <w:rPr>
                <w:sz w:val="20"/>
                <w:szCs w:val="20"/>
                <w:color w:val="auto"/>
              </w:rPr>
            </w:pPr>
            <w:r>
              <w:rPr>
                <w:rFonts w:ascii="Arial" w:cs="Arial" w:eastAsia="Arial" w:hAnsi="Arial"/>
                <w:sz w:val="15"/>
                <w:szCs w:val="15"/>
                <w:color w:val="auto"/>
              </w:rPr>
              <w:t>​​ ​</w:t>
            </w:r>
          </w:p>
        </w:tc>
        <w:tc>
          <w:tcPr>
            <w:tcW w:w="1440" w:type="dxa"/>
            <w:vAlign w:val="bottom"/>
            <w:tcBorders>
              <w:bottom w:val="single" w:sz="8" w:color="62259D"/>
            </w:tcBorders>
            <w:gridSpan w:val="2"/>
            <w:shd w:val="clear" w:color="auto" w:fill="F2F2F2"/>
          </w:tcPr>
          <w:p>
            <w:pPr>
              <w:jc w:val="right"/>
              <w:ind w:right="264"/>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​1,796,900</w:t>
            </w:r>
          </w:p>
        </w:tc>
        <w:tc>
          <w:tcPr>
            <w:tcW w:w="140" w:type="dxa"/>
            <w:vAlign w:val="bottom"/>
            <w:tcBorders>
              <w:bottom w:val="single" w:sz="8" w:color="62259D"/>
            </w:tcBorders>
            <w:shd w:val="clear" w:color="auto" w:fill="F2F2F2"/>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400" w:hanging="368"/>
        <w:spacing w:after="0"/>
        <w:tabs>
          <w:tab w:leader="none" w:pos="14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Represents the severance benefits that the NEO would be eligible to receive absent a change in control.</w:t>
      </w:r>
    </w:p>
    <w:p>
      <w:pPr>
        <w:spacing w:after="0" w:line="55" w:lineRule="exact"/>
        <w:rPr>
          <w:rFonts w:ascii="Arial" w:cs="Arial" w:eastAsia="Arial" w:hAnsi="Arial"/>
          <w:sz w:val="14"/>
          <w:szCs w:val="14"/>
          <w:color w:val="auto"/>
        </w:rPr>
      </w:pPr>
    </w:p>
    <w:p>
      <w:pPr>
        <w:ind w:left="1400" w:right="459" w:hanging="368"/>
        <w:spacing w:after="0" w:line="269" w:lineRule="auto"/>
        <w:tabs>
          <w:tab w:leader="none" w:pos="14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These amounts represent the gains that would be realized on the acceleration of unvested restricted share units and performance-based stock units in accordance with the NEOs’ respective employment and/or grant agreements. The gains were calculated by multiplying our closing stock price of 2.90 on December 29, 2023 by the number of shares (or shares underlying PSUs) that would accelerate.</w:t>
      </w:r>
    </w:p>
    <w:p>
      <w:pPr>
        <w:spacing w:after="0" w:line="7" w:lineRule="exact"/>
        <w:rPr>
          <w:rFonts w:ascii="Arial" w:cs="Arial" w:eastAsia="Arial" w:hAnsi="Arial"/>
          <w:sz w:val="14"/>
          <w:szCs w:val="14"/>
          <w:color w:val="auto"/>
        </w:rPr>
      </w:pPr>
    </w:p>
    <w:p>
      <w:pPr>
        <w:ind w:left="1400" w:right="159"/>
        <w:spacing w:after="0" w:line="285" w:lineRule="auto"/>
        <w:rPr>
          <w:rFonts w:ascii="Arial" w:cs="Arial" w:eastAsia="Arial" w:hAnsi="Arial"/>
          <w:sz w:val="14"/>
          <w:szCs w:val="14"/>
          <w:color w:val="auto"/>
        </w:rPr>
      </w:pPr>
      <w:r>
        <w:rPr>
          <w:rFonts w:ascii="Arial" w:cs="Arial" w:eastAsia="Arial" w:hAnsi="Arial"/>
          <w:sz w:val="14"/>
          <w:szCs w:val="14"/>
          <w:color w:val="auto"/>
        </w:rPr>
        <w:t>For Mr. Townsend, the closing stock price of $4.16 on December 31, 2024 was used to determine any vesting of his Townsend Sign-On PSUs.</w:t>
      </w:r>
    </w:p>
    <w:p>
      <w:pPr>
        <w:spacing w:after="0" w:line="25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CEO Pay Ratio</w:t>
      </w:r>
    </w:p>
    <w:p>
      <w:pPr>
        <w:spacing w:after="0" w:line="145" w:lineRule="exact"/>
        <w:rPr>
          <w:sz w:val="20"/>
          <w:szCs w:val="20"/>
          <w:color w:val="auto"/>
        </w:rPr>
      </w:pPr>
    </w:p>
    <w:p>
      <w:pPr>
        <w:ind w:left="920" w:right="219"/>
        <w:spacing w:after="0" w:line="245" w:lineRule="auto"/>
        <w:rPr>
          <w:sz w:val="20"/>
          <w:szCs w:val="20"/>
          <w:color w:val="auto"/>
        </w:rPr>
      </w:pPr>
      <w:r>
        <w:rPr>
          <w:rFonts w:ascii="Arial" w:cs="Arial" w:eastAsia="Arial" w:hAnsi="Arial"/>
          <w:sz w:val="18"/>
          <w:szCs w:val="18"/>
          <w:color w:val="auto"/>
        </w:rPr>
        <w:t>To determine the median annual compensation for all employees other than the CEO, a median employee was identified from the worldwide population (including full-time, part-time, seasonal and temporary</w:t>
      </w:r>
    </w:p>
    <w:p>
      <w:pPr>
        <w:ind w:left="920" w:right="239"/>
        <w:spacing w:after="0" w:line="237" w:lineRule="auto"/>
        <w:rPr>
          <w:sz w:val="20"/>
          <w:szCs w:val="20"/>
          <w:color w:val="auto"/>
        </w:rPr>
      </w:pPr>
      <w:r>
        <w:rPr>
          <w:rFonts w:ascii="Arial" w:cs="Arial" w:eastAsia="Arial" w:hAnsi="Arial"/>
          <w:sz w:val="18"/>
          <w:szCs w:val="18"/>
          <w:color w:val="auto"/>
        </w:rPr>
        <w:t>employees, but excluding interns). This determination was done as of November 30, 2024. No employees were excluded from the employee population due to data privacy issues.</w:t>
      </w:r>
    </w:p>
    <w:p>
      <w:pPr>
        <w:spacing w:after="0" w:line="113" w:lineRule="exact"/>
        <w:rPr>
          <w:sz w:val="20"/>
          <w:szCs w:val="20"/>
          <w:color w:val="auto"/>
        </w:rPr>
      </w:pPr>
    </w:p>
    <w:p>
      <w:pPr>
        <w:ind w:left="920" w:right="259"/>
        <w:spacing w:after="0" w:line="256" w:lineRule="auto"/>
        <w:rPr>
          <w:sz w:val="20"/>
          <w:szCs w:val="20"/>
          <w:color w:val="auto"/>
        </w:rPr>
      </w:pPr>
      <w:r>
        <w:rPr>
          <w:rFonts w:ascii="Arial" w:cs="Arial" w:eastAsia="Arial" w:hAnsi="Arial"/>
          <w:sz w:val="18"/>
          <w:szCs w:val="18"/>
          <w:color w:val="auto"/>
        </w:rPr>
        <w:t>To determine the median employee, we utilized the “regular earnings” of the applicable employees, which represents cash compensation excluding bonus, commissions and other similar incentive</w:t>
      </w:r>
    </w:p>
    <w:p>
      <w:pPr>
        <w:spacing w:after="0" w:line="166"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right="219"/>
        <w:spacing w:after="0" w:line="252" w:lineRule="auto"/>
        <w:rPr>
          <w:sz w:val="20"/>
          <w:szCs w:val="20"/>
          <w:color w:val="auto"/>
        </w:rPr>
      </w:pPr>
      <w:r>
        <w:rPr>
          <w:rFonts w:ascii="Arial" w:cs="Arial" w:eastAsia="Arial" w:hAnsi="Arial"/>
          <w:sz w:val="18"/>
          <w:szCs w:val="18"/>
          <w:color w:val="auto"/>
        </w:rPr>
        <w:t>compensation. The Company did not utilize any cost of living or other material adjustments. In connection with our analysis, we utilized the foreign currency exchange rate used for our internal financial accounting purposes. Based on the foregoing, the median employee was determined to be a Software Engineering Architect working on a full-time basis in India.</w:t>
      </w:r>
    </w:p>
    <w:p>
      <w:pPr>
        <w:spacing w:after="0" w:line="103" w:lineRule="exact"/>
        <w:rPr>
          <w:sz w:val="20"/>
          <w:szCs w:val="20"/>
          <w:color w:val="auto"/>
        </w:rPr>
      </w:pPr>
    </w:p>
    <w:p>
      <w:pPr>
        <w:ind w:left="920" w:right="239"/>
        <w:spacing w:after="0" w:line="244" w:lineRule="auto"/>
        <w:rPr>
          <w:sz w:val="20"/>
          <w:szCs w:val="20"/>
          <w:color w:val="auto"/>
        </w:rPr>
      </w:pPr>
      <w:r>
        <w:rPr>
          <w:rFonts w:ascii="Arial" w:cs="Arial" w:eastAsia="Arial" w:hAnsi="Arial"/>
          <w:sz w:val="18"/>
          <w:szCs w:val="18"/>
          <w:color w:val="auto"/>
        </w:rPr>
        <w:t>For 2024, the annual total compensation for the median employee was $68,453 and the annual total compensation for our CEO was $4,453,002, which reflects the total compensation paid to Mr. McClelland, the Chief Executive Officer for 2024. Based on the calculation of the annual total compensation for both the CEO and the median employee (as described above), the ratio of CEO pay to the median employee pay is approximately 65:1 The pay ratio provided is a reasonable estimate. Because the SEC rules for identifying the median employee and calculating the pay ratio allow companies to use different methodologies, exemptions, estimates and assumptions, our pay ratio may not be comparable to the pay ratio reported by other companies or our pay ratio in any future year.</w:t>
      </w:r>
    </w:p>
    <w:p>
      <w:pPr>
        <w:spacing w:after="0" w:line="158"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3720" w:type="dxa"/>
            <w:vAlign w:val="bottom"/>
            <w:shd w:val="clear" w:color="auto" w:fill="62259D"/>
          </w:tcPr>
          <w:p>
            <w:pPr>
              <w:spacing w:after="0"/>
              <w:rPr>
                <w:sz w:val="17"/>
                <w:szCs w:val="17"/>
                <w:color w:val="auto"/>
              </w:rPr>
            </w:pPr>
          </w:p>
        </w:tc>
        <w:tc>
          <w:tcPr>
            <w:tcW w:w="340" w:type="dxa"/>
            <w:vAlign w:val="bottom"/>
            <w:shd w:val="clear" w:color="auto" w:fill="62259D"/>
          </w:tcPr>
          <w:p>
            <w:pPr>
              <w:spacing w:after="0"/>
              <w:rPr>
                <w:sz w:val="17"/>
                <w:szCs w:val="17"/>
                <w:color w:val="auto"/>
              </w:rPr>
            </w:pPr>
          </w:p>
        </w:tc>
        <w:tc>
          <w:tcPr>
            <w:tcW w:w="1360" w:type="dxa"/>
            <w:vAlign w:val="bottom"/>
            <w:gridSpan w:val="2"/>
            <w:shd w:val="clear" w:color="auto" w:fill="62259D"/>
          </w:tcPr>
          <w:p>
            <w:pPr>
              <w:jc w:val="right"/>
              <w:spacing w:after="0"/>
              <w:rPr>
                <w:sz w:val="20"/>
                <w:szCs w:val="20"/>
                <w:color w:val="auto"/>
              </w:rPr>
            </w:pPr>
            <w:r>
              <w:rPr>
                <w:rFonts w:ascii="Arial" w:cs="Arial" w:eastAsia="Arial" w:hAnsi="Arial"/>
                <w:sz w:val="14"/>
                <w:szCs w:val="14"/>
                <w:b w:val="1"/>
                <w:bCs w:val="1"/>
                <w:color w:val="FEFEFE"/>
              </w:rPr>
              <w:t>2024 Annual Total</w:t>
            </w:r>
          </w:p>
        </w:tc>
        <w:tc>
          <w:tcPr>
            <w:tcW w:w="420" w:type="dxa"/>
            <w:vAlign w:val="bottom"/>
            <w:shd w:val="clear" w:color="auto" w:fill="62259D"/>
          </w:tcPr>
          <w:p>
            <w:pPr>
              <w:spacing w:after="0"/>
              <w:rPr>
                <w:sz w:val="17"/>
                <w:szCs w:val="17"/>
                <w:color w:val="auto"/>
              </w:rPr>
            </w:pPr>
          </w:p>
        </w:tc>
        <w:tc>
          <w:tcPr>
            <w:tcW w:w="320" w:type="dxa"/>
            <w:vAlign w:val="bottom"/>
            <w:shd w:val="clear" w:color="auto" w:fill="62259D"/>
          </w:tcPr>
          <w:p>
            <w:pPr>
              <w:spacing w:after="0"/>
              <w:rPr>
                <w:sz w:val="17"/>
                <w:szCs w:val="17"/>
                <w:color w:val="auto"/>
              </w:rPr>
            </w:pPr>
          </w:p>
        </w:tc>
        <w:tc>
          <w:tcPr>
            <w:tcW w:w="820" w:type="dxa"/>
            <w:vAlign w:val="bottom"/>
            <w:vMerge w:val="restart"/>
            <w:shd w:val="clear" w:color="auto" w:fill="62259D"/>
          </w:tcPr>
          <w:p>
            <w:pPr>
              <w:jc w:val="center"/>
              <w:spacing w:after="0"/>
              <w:rPr>
                <w:sz w:val="20"/>
                <w:szCs w:val="20"/>
                <w:color w:val="auto"/>
              </w:rPr>
            </w:pPr>
            <w:r>
              <w:rPr>
                <w:rFonts w:ascii="Arial" w:cs="Arial" w:eastAsia="Arial" w:hAnsi="Arial"/>
                <w:sz w:val="14"/>
                <w:szCs w:val="14"/>
                <w:b w:val="1"/>
                <w:bCs w:val="1"/>
                <w:color w:val="FEFEFE"/>
              </w:rPr>
              <w:t>Pay Ratio</w:t>
            </w:r>
          </w:p>
        </w:tc>
        <w:tc>
          <w:tcPr>
            <w:tcW w:w="420" w:type="dxa"/>
            <w:vAlign w:val="bottom"/>
            <w:shd w:val="clear" w:color="auto" w:fill="62259D"/>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62259D"/>
          </w:tcPr>
          <w:p>
            <w:pPr>
              <w:spacing w:after="0"/>
              <w:rPr>
                <w:sz w:val="14"/>
                <w:szCs w:val="14"/>
                <w:color w:val="auto"/>
              </w:rPr>
            </w:pPr>
          </w:p>
        </w:tc>
        <w:tc>
          <w:tcPr>
            <w:tcW w:w="340" w:type="dxa"/>
            <w:vAlign w:val="bottom"/>
            <w:shd w:val="clear" w:color="auto" w:fill="62259D"/>
          </w:tcPr>
          <w:p>
            <w:pPr>
              <w:spacing w:after="0"/>
              <w:rPr>
                <w:sz w:val="14"/>
                <w:szCs w:val="14"/>
                <w:color w:val="auto"/>
              </w:rPr>
            </w:pPr>
          </w:p>
        </w:tc>
        <w:tc>
          <w:tcPr>
            <w:tcW w:w="1360" w:type="dxa"/>
            <w:vAlign w:val="bottom"/>
            <w:gridSpan w:val="2"/>
            <w:shd w:val="clear" w:color="auto" w:fill="62259D"/>
          </w:tcPr>
          <w:p>
            <w:pPr>
              <w:jc w:val="right"/>
              <w:ind w:right="64"/>
              <w:spacing w:after="0"/>
              <w:rPr>
                <w:sz w:val="20"/>
                <w:szCs w:val="20"/>
                <w:color w:val="auto"/>
              </w:rPr>
            </w:pPr>
            <w:r>
              <w:rPr>
                <w:rFonts w:ascii="Arial" w:cs="Arial" w:eastAsia="Arial" w:hAnsi="Arial"/>
                <w:sz w:val="14"/>
                <w:szCs w:val="14"/>
                <w:b w:val="1"/>
                <w:bCs w:val="1"/>
                <w:color w:val="FEFEFE"/>
              </w:rPr>
              <w:t>Compensation</w:t>
            </w:r>
          </w:p>
        </w:tc>
        <w:tc>
          <w:tcPr>
            <w:tcW w:w="420" w:type="dxa"/>
            <w:vAlign w:val="bottom"/>
            <w:shd w:val="clear" w:color="auto" w:fill="62259D"/>
          </w:tcPr>
          <w:p>
            <w:pPr>
              <w:spacing w:after="0"/>
              <w:rPr>
                <w:sz w:val="14"/>
                <w:szCs w:val="14"/>
                <w:color w:val="auto"/>
              </w:rPr>
            </w:pPr>
          </w:p>
        </w:tc>
        <w:tc>
          <w:tcPr>
            <w:tcW w:w="320" w:type="dxa"/>
            <w:vAlign w:val="bottom"/>
            <w:shd w:val="clear" w:color="auto" w:fill="62259D"/>
          </w:tcPr>
          <w:p>
            <w:pPr>
              <w:spacing w:after="0"/>
              <w:rPr>
                <w:sz w:val="14"/>
                <w:szCs w:val="14"/>
                <w:color w:val="auto"/>
              </w:rPr>
            </w:pPr>
          </w:p>
        </w:tc>
        <w:tc>
          <w:tcPr>
            <w:tcW w:w="820" w:type="dxa"/>
            <w:vAlign w:val="bottom"/>
            <w:vMerge w:val="continue"/>
            <w:shd w:val="clear" w:color="auto" w:fill="62259D"/>
          </w:tcPr>
          <w:p>
            <w:pPr>
              <w:spacing w:after="0"/>
              <w:rPr>
                <w:sz w:val="14"/>
                <w:szCs w:val="14"/>
                <w:color w:val="auto"/>
              </w:rPr>
            </w:pPr>
          </w:p>
        </w:tc>
        <w:tc>
          <w:tcPr>
            <w:tcW w:w="420" w:type="dxa"/>
            <w:vAlign w:val="bottom"/>
            <w:shd w:val="clear" w:color="auto" w:fill="62259D"/>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62259D"/>
          </w:tcPr>
          <w:p>
            <w:pPr>
              <w:ind w:left="40"/>
              <w:spacing w:after="0" w:line="212" w:lineRule="exact"/>
              <w:rPr>
                <w:sz w:val="20"/>
                <w:szCs w:val="20"/>
                <w:color w:val="auto"/>
              </w:rPr>
            </w:pPr>
            <w:r>
              <w:rPr>
                <w:rFonts w:ascii="Arial" w:cs="Arial" w:eastAsia="Arial" w:hAnsi="Arial"/>
                <w:sz w:val="24"/>
                <w:szCs w:val="24"/>
                <w:b w:val="1"/>
                <w:bCs w:val="1"/>
                <w:color w:val="FEFEFE"/>
                <w:vertAlign w:val="subscript"/>
              </w:rPr>
              <w:t>​</w:t>
            </w:r>
            <w:r>
              <w:rPr>
                <w:rFonts w:ascii="Arial" w:cs="Arial" w:eastAsia="Arial" w:hAnsi="Arial"/>
                <w:sz w:val="13"/>
                <w:szCs w:val="13"/>
                <w:b w:val="1"/>
                <w:bCs w:val="1"/>
                <w:color w:val="FEFEFE"/>
              </w:rPr>
              <w:t>Employee</w:t>
            </w:r>
          </w:p>
        </w:tc>
        <w:tc>
          <w:tcPr>
            <w:tcW w:w="340" w:type="dxa"/>
            <w:vAlign w:val="bottom"/>
            <w:shd w:val="clear" w:color="auto" w:fill="62259D"/>
          </w:tcPr>
          <w:p>
            <w:pPr>
              <w:ind w:left="200"/>
              <w:spacing w:after="0"/>
              <w:rPr>
                <w:sz w:val="20"/>
                <w:szCs w:val="20"/>
                <w:color w:val="auto"/>
              </w:rPr>
            </w:pPr>
            <w:r>
              <w:rPr>
                <w:rFonts w:ascii="Arial" w:cs="Arial" w:eastAsia="Arial" w:hAnsi="Arial"/>
                <w:sz w:val="14"/>
                <w:szCs w:val="14"/>
                <w:b w:val="1"/>
                <w:bCs w:val="1"/>
                <w:color w:val="FEFEFE"/>
              </w:rPr>
              <w:t>​ ​</w:t>
            </w:r>
          </w:p>
        </w:tc>
        <w:tc>
          <w:tcPr>
            <w:tcW w:w="480" w:type="dxa"/>
            <w:vAlign w:val="bottom"/>
            <w:shd w:val="clear" w:color="auto" w:fill="62259D"/>
          </w:tcPr>
          <w:p>
            <w:pPr>
              <w:spacing w:after="0"/>
              <w:rPr>
                <w:sz w:val="18"/>
                <w:szCs w:val="18"/>
                <w:color w:val="auto"/>
              </w:rPr>
            </w:pPr>
          </w:p>
        </w:tc>
        <w:tc>
          <w:tcPr>
            <w:tcW w:w="880" w:type="dxa"/>
            <w:vAlign w:val="bottom"/>
            <w:shd w:val="clear" w:color="auto" w:fill="62259D"/>
          </w:tcPr>
          <w:p>
            <w:pPr>
              <w:jc w:val="right"/>
              <w:ind w:right="484"/>
              <w:spacing w:after="0"/>
              <w:rPr>
                <w:sz w:val="20"/>
                <w:szCs w:val="20"/>
                <w:color w:val="auto"/>
              </w:rPr>
            </w:pPr>
            <w:r>
              <w:rPr>
                <w:rFonts w:ascii="Arial" w:cs="Arial" w:eastAsia="Arial" w:hAnsi="Arial"/>
                <w:sz w:val="14"/>
                <w:szCs w:val="14"/>
                <w:b w:val="1"/>
                <w:bCs w:val="1"/>
                <w:color w:val="FEFEFE"/>
              </w:rPr>
              <w:t>($)</w:t>
            </w:r>
          </w:p>
        </w:tc>
        <w:tc>
          <w:tcPr>
            <w:tcW w:w="420" w:type="dxa"/>
            <w:vAlign w:val="bottom"/>
            <w:shd w:val="clear" w:color="auto" w:fill="62259D"/>
          </w:tcPr>
          <w:p>
            <w:pPr>
              <w:ind w:left="240"/>
              <w:spacing w:after="0"/>
              <w:rPr>
                <w:sz w:val="20"/>
                <w:szCs w:val="20"/>
                <w:color w:val="auto"/>
              </w:rPr>
            </w:pPr>
            <w:r>
              <w:rPr>
                <w:rFonts w:ascii="Arial" w:cs="Arial" w:eastAsia="Arial" w:hAnsi="Arial"/>
                <w:sz w:val="14"/>
                <w:szCs w:val="14"/>
                <w:b w:val="1"/>
                <w:bCs w:val="1"/>
                <w:color w:val="FEFEFE"/>
              </w:rPr>
              <w:t>​</w:t>
            </w:r>
          </w:p>
        </w:tc>
        <w:tc>
          <w:tcPr>
            <w:tcW w:w="320" w:type="dxa"/>
            <w:vAlign w:val="bottom"/>
            <w:shd w:val="clear" w:color="auto" w:fill="62259D"/>
          </w:tcPr>
          <w:p>
            <w:pPr>
              <w:ind w:left="200"/>
              <w:spacing w:after="0"/>
              <w:rPr>
                <w:sz w:val="20"/>
                <w:szCs w:val="20"/>
                <w:color w:val="auto"/>
              </w:rPr>
            </w:pPr>
            <w:r>
              <w:rPr>
                <w:rFonts w:ascii="Arial" w:cs="Arial" w:eastAsia="Arial" w:hAnsi="Arial"/>
                <w:sz w:val="14"/>
                <w:szCs w:val="14"/>
                <w:b w:val="1"/>
                <w:bCs w:val="1"/>
                <w:color w:val="FEFEFE"/>
              </w:rPr>
              <w:t>​</w:t>
            </w:r>
          </w:p>
        </w:tc>
        <w:tc>
          <w:tcPr>
            <w:tcW w:w="820" w:type="dxa"/>
            <w:vAlign w:val="bottom"/>
            <w:shd w:val="clear" w:color="auto" w:fill="62259D"/>
          </w:tcPr>
          <w:p>
            <w:pPr>
              <w:ind w:left="140"/>
              <w:spacing w:after="0"/>
              <w:rPr>
                <w:sz w:val="20"/>
                <w:szCs w:val="20"/>
                <w:color w:val="auto"/>
              </w:rPr>
            </w:pPr>
            <w:r>
              <w:rPr>
                <w:rFonts w:ascii="Arial" w:cs="Arial" w:eastAsia="Arial" w:hAnsi="Arial"/>
                <w:sz w:val="14"/>
                <w:szCs w:val="14"/>
                <w:b w:val="1"/>
                <w:bCs w:val="1"/>
                <w:color w:val="FEFEFE"/>
              </w:rPr>
              <w:t>Estimate</w:t>
            </w:r>
          </w:p>
        </w:tc>
        <w:tc>
          <w:tcPr>
            <w:tcW w:w="420" w:type="dxa"/>
            <w:vAlign w:val="bottom"/>
            <w:shd w:val="clear" w:color="auto" w:fill="62259D"/>
          </w:tcPr>
          <w:p>
            <w:pPr>
              <w:ind w:left="240"/>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310"/>
        </w:trPr>
        <w:tc>
          <w:tcPr>
            <w:tcW w:w="3720" w:type="dxa"/>
            <w:vAlign w:val="bottom"/>
            <w:tcBorders>
              <w:bottom w:val="single" w:sz="8" w:color="E7417A"/>
            </w:tcBorders>
          </w:tcPr>
          <w:p>
            <w:pPr>
              <w:spacing w:after="0" w:line="31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xml:space="preserve"> Mr. McClelland, our Chief Executive Officer</w:t>
            </w:r>
          </w:p>
        </w:tc>
        <w:tc>
          <w:tcPr>
            <w:tcW w:w="34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7417A"/>
            </w:tcBorders>
            <w:gridSpan w:val="2"/>
          </w:tcPr>
          <w:p>
            <w:pPr>
              <w:jc w:val="right"/>
              <w:ind w:right="144"/>
              <w:spacing w:after="0" w:line="31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$ 4,453,002</w:t>
            </w:r>
          </w:p>
        </w:tc>
        <w:tc>
          <w:tcPr>
            <w:tcW w:w="42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F2F2F2"/>
            </w:tcBorders>
            <w:shd w:val="clear" w:color="auto" w:fill="F2F2F2"/>
          </w:tcPr>
          <w:p>
            <w:pPr>
              <w:spacing w:after="0"/>
              <w:rPr>
                <w:sz w:val="24"/>
                <w:szCs w:val="24"/>
                <w:color w:val="auto"/>
              </w:rPr>
            </w:pPr>
          </w:p>
        </w:tc>
        <w:tc>
          <w:tcPr>
            <w:tcW w:w="820" w:type="dxa"/>
            <w:vAlign w:val="bottom"/>
            <w:tcBorders>
              <w:bottom w:val="single" w:sz="8" w:color="F2F2F2"/>
            </w:tcBorders>
            <w:vMerge w:val="restart"/>
            <w:shd w:val="clear" w:color="auto" w:fill="F2F2F2"/>
          </w:tcPr>
          <w:p>
            <w:pPr>
              <w:jc w:val="center"/>
              <w:ind w:left="19"/>
              <w:spacing w:after="0"/>
              <w:rPr>
                <w:sz w:val="20"/>
                <w:szCs w:val="20"/>
                <w:color w:val="auto"/>
              </w:rPr>
            </w:pPr>
            <w:r>
              <w:rPr>
                <w:rFonts w:ascii="Arial" w:cs="Arial" w:eastAsia="Arial" w:hAnsi="Arial"/>
                <w:sz w:val="20"/>
                <w:szCs w:val="20"/>
                <w:b w:val="1"/>
                <w:bCs w:val="1"/>
                <w:color w:val="auto"/>
              </w:rPr>
              <w:t>​65:1</w:t>
            </w:r>
          </w:p>
        </w:tc>
        <w:tc>
          <w:tcPr>
            <w:tcW w:w="420" w:type="dxa"/>
            <w:vAlign w:val="bottom"/>
            <w:tcBorders>
              <w:bottom w:val="single" w:sz="8" w:color="F2F2F2"/>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20" w:type="dxa"/>
            <w:vAlign w:val="bottom"/>
          </w:tcPr>
          <w:p>
            <w:pPr>
              <w:ind w:left="80"/>
              <w:spacing w:after="0"/>
              <w:rPr>
                <w:sz w:val="20"/>
                <w:szCs w:val="20"/>
                <w:color w:val="auto"/>
              </w:rPr>
            </w:pPr>
            <w:r>
              <w:rPr>
                <w:rFonts w:ascii="Arial" w:cs="Arial" w:eastAsia="Arial" w:hAnsi="Arial"/>
                <w:sz w:val="16"/>
                <w:szCs w:val="16"/>
                <w:color w:val="auto"/>
              </w:rPr>
              <w:t>Our median employee (excluding our CEO and</w:t>
            </w: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820" w:type="dxa"/>
            <w:vAlign w:val="bottom"/>
            <w:vMerge w:val="continue"/>
            <w:shd w:val="clear" w:color="auto" w:fill="F2F2F2"/>
          </w:tcPr>
          <w:p>
            <w:pPr>
              <w:spacing w:after="0"/>
              <w:rPr>
                <w:sz w:val="16"/>
                <w:szCs w:val="16"/>
                <w:color w:val="auto"/>
              </w:rPr>
            </w:pPr>
          </w:p>
        </w:tc>
        <w:tc>
          <w:tcPr>
            <w:tcW w:w="42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62259D"/>
            </w:tcBorders>
          </w:tcPr>
          <w:p>
            <w:pPr>
              <w:spacing w:after="0"/>
              <w:rPr>
                <w:sz w:val="20"/>
                <w:szCs w:val="20"/>
                <w:color w:val="auto"/>
              </w:rPr>
            </w:pPr>
            <w:r>
              <w:rPr>
                <w:rFonts w:ascii="Arial" w:cs="Arial" w:eastAsia="Arial" w:hAnsi="Arial"/>
                <w:sz w:val="16"/>
                <w:szCs w:val="16"/>
                <w:color w:val="auto"/>
              </w:rPr>
              <w:t>​ certain non-U.S. employees)</w:t>
            </w:r>
          </w:p>
        </w:tc>
        <w:tc>
          <w:tcPr>
            <w:tcW w:w="340" w:type="dxa"/>
            <w:vAlign w:val="bottom"/>
            <w:tcBorders>
              <w:bottom w:val="single" w:sz="8" w:color="62259D"/>
            </w:tcBorders>
          </w:tcPr>
          <w:p>
            <w:pPr>
              <w:ind w:left="140"/>
              <w:spacing w:after="0"/>
              <w:rPr>
                <w:sz w:val="20"/>
                <w:szCs w:val="20"/>
                <w:color w:val="auto"/>
              </w:rPr>
            </w:pPr>
            <w:r>
              <w:rPr>
                <w:rFonts w:ascii="Arial" w:cs="Arial" w:eastAsia="Arial" w:hAnsi="Arial"/>
                <w:sz w:val="16"/>
                <w:szCs w:val="16"/>
                <w:color w:val="auto"/>
              </w:rPr>
              <w:t>​ ​</w:t>
            </w:r>
          </w:p>
        </w:tc>
        <w:tc>
          <w:tcPr>
            <w:tcW w:w="480" w:type="dxa"/>
            <w:vAlign w:val="bottom"/>
            <w:tcBorders>
              <w:bottom w:val="single" w:sz="8" w:color="62259D"/>
            </w:tcBorders>
          </w:tcPr>
          <w:p>
            <w:pPr>
              <w:ind w:lef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62259D"/>
            </w:tcBorders>
          </w:tcPr>
          <w:p>
            <w:pPr>
              <w:jc w:val="right"/>
              <w:ind w:right="144"/>
              <w:spacing w:after="0"/>
              <w:rPr>
                <w:sz w:val="20"/>
                <w:szCs w:val="20"/>
                <w:color w:val="auto"/>
              </w:rPr>
            </w:pPr>
            <w:r>
              <w:rPr>
                <w:rFonts w:ascii="Arial" w:cs="Arial" w:eastAsia="Arial" w:hAnsi="Arial"/>
                <w:sz w:val="16"/>
                <w:szCs w:val="16"/>
                <w:color w:val="auto"/>
              </w:rPr>
              <w:t>68,453</w:t>
            </w:r>
          </w:p>
        </w:tc>
        <w:tc>
          <w:tcPr>
            <w:tcW w:w="420" w:type="dxa"/>
            <w:vAlign w:val="bottom"/>
            <w:tcBorders>
              <w:bottom w:val="single" w:sz="8" w:color="62259D"/>
            </w:tcBorders>
          </w:tcPr>
          <w:p>
            <w:pPr>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62259D"/>
            </w:tcBorders>
            <w:shd w:val="clear" w:color="auto" w:fill="F2F2F2"/>
          </w:tcPr>
          <w:p>
            <w:pPr>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62259D"/>
            </w:tcBorders>
            <w:shd w:val="clear" w:color="auto" w:fill="F2F2F2"/>
          </w:tcPr>
          <w:p>
            <w:pPr>
              <w:ind w:lef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62259D"/>
            </w:tcBorders>
            <w:shd w:val="clear" w:color="auto" w:fill="F2F2F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62</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Pay Versus Performance Disclosures</w:t>
      </w:r>
    </w:p>
    <w:p>
      <w:pPr>
        <w:spacing w:after="0" w:line="158" w:lineRule="exact"/>
        <w:rPr>
          <w:sz w:val="20"/>
          <w:szCs w:val="20"/>
          <w:color w:val="auto"/>
        </w:rPr>
      </w:pPr>
    </w:p>
    <w:p>
      <w:pPr>
        <w:ind w:left="920" w:right="660"/>
        <w:spacing w:after="0" w:line="248" w:lineRule="auto"/>
        <w:rPr>
          <w:sz w:val="20"/>
          <w:szCs w:val="20"/>
          <w:color w:val="auto"/>
        </w:rPr>
      </w:pPr>
      <w:r>
        <w:rPr>
          <w:rFonts w:ascii="Arial" w:cs="Arial" w:eastAsia="Arial" w:hAnsi="Arial"/>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For further information concerning the Company’s variable pay -for-performance philosophy and how the Company’s aligns executive compensation with the Company’s performance, refer to “Executive Compensation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123190</wp:posOffset>
            </wp:positionV>
            <wp:extent cx="6180455" cy="55753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180455" cy="557530"/>
                    </a:xfrm>
                    <a:prstGeom prst="rect">
                      <a:avLst/>
                    </a:prstGeom>
                    <a:noFill/>
                  </pic:spPr>
                </pic:pic>
              </a:graphicData>
            </a:graphic>
          </wp:anchor>
        </w:drawing>
      </w:r>
    </w:p>
    <w:p>
      <w:pPr>
        <w:spacing w:after="0" w:line="174" w:lineRule="exact"/>
        <w:rPr>
          <w:sz w:val="20"/>
          <w:szCs w:val="20"/>
          <w:color w:val="auto"/>
        </w:rPr>
      </w:pPr>
    </w:p>
    <w:tbl>
      <w:tblPr>
        <w:tblLayout w:type="fixed"/>
        <w:tblInd w:w="480" w:type="dxa"/>
        <w:tblCellMar>
          <w:top w:w="0" w:type="dxa"/>
          <w:left w:w="0" w:type="dxa"/>
          <w:bottom w:w="0" w:type="dxa"/>
          <w:right w:w="0" w:type="dxa"/>
        </w:tblCellMar>
      </w:tblPr>
      <w:tr>
        <w:trPr>
          <w:trHeight w:val="130"/>
        </w:trPr>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0"/>
                <w:szCs w:val="10"/>
                <w:b w:val="1"/>
                <w:bCs w:val="1"/>
                <w:color w:val="FEFEFE"/>
                <w:w w:val="96"/>
              </w:rPr>
              <w:t>Average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restart"/>
          </w:tcPr>
          <w:p>
            <w:pPr>
              <w:jc w:val="center"/>
              <w:ind w:right="111"/>
              <w:spacing w:after="0"/>
              <w:rPr>
                <w:sz w:val="20"/>
                <w:szCs w:val="20"/>
                <w:color w:val="auto"/>
              </w:rPr>
            </w:pPr>
            <w:r>
              <w:rPr>
                <w:rFonts w:ascii="Arial" w:cs="Arial" w:eastAsia="Arial" w:hAnsi="Arial"/>
                <w:sz w:val="10"/>
                <w:szCs w:val="10"/>
                <w:b w:val="1"/>
                <w:bCs w:val="1"/>
                <w:color w:val="FEFEFE"/>
                <w:w w:val="96"/>
              </w:rPr>
              <w:t>Average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5"/>
          </w:tcPr>
          <w:p>
            <w:pPr>
              <w:jc w:val="center"/>
              <w:spacing w:after="0"/>
              <w:rPr>
                <w:sz w:val="20"/>
                <w:szCs w:val="20"/>
                <w:color w:val="auto"/>
              </w:rPr>
            </w:pPr>
            <w:r>
              <w:rPr>
                <w:rFonts w:ascii="Arial" w:cs="Arial" w:eastAsia="Arial" w:hAnsi="Arial"/>
                <w:sz w:val="10"/>
                <w:szCs w:val="10"/>
                <w:b w:val="1"/>
                <w:bCs w:val="1"/>
                <w:color w:val="FEFEFE"/>
                <w:w w:val="98"/>
              </w:rPr>
              <w:t>Value of Initial Fixed $100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FEFEFE"/>
              </w:rPr>
              <w:t>​</w:t>
            </w:r>
          </w:p>
        </w:tc>
        <w:tc>
          <w:tcPr>
            <w:tcW w:w="1280" w:type="dxa"/>
            <w:vAlign w:val="bottom"/>
            <w:gridSpan w:val="5"/>
          </w:tcPr>
          <w:p>
            <w:pPr>
              <w:jc w:val="center"/>
              <w:spacing w:after="0" w:line="100" w:lineRule="exact"/>
              <w:rPr>
                <w:sz w:val="20"/>
                <w:szCs w:val="20"/>
                <w:color w:val="auto"/>
              </w:rPr>
            </w:pPr>
            <w:r>
              <w:rPr>
                <w:rFonts w:ascii="Arial" w:cs="Arial" w:eastAsia="Arial" w:hAnsi="Arial"/>
                <w:sz w:val="10"/>
                <w:szCs w:val="10"/>
                <w:b w:val="1"/>
                <w:bCs w:val="1"/>
                <w:color w:val="FEFEFE"/>
                <w:w w:val="98"/>
              </w:rPr>
              <w:t>Investment Based On:</w:t>
            </w:r>
          </w:p>
        </w:tc>
        <w:tc>
          <w:tcPr>
            <w:tcW w:w="20" w:type="dxa"/>
            <w:vAlign w:val="bottom"/>
          </w:tcPr>
          <w:p>
            <w:pPr>
              <w:spacing w:after="0"/>
              <w:rPr>
                <w:sz w:val="8"/>
                <w:szCs w:val="8"/>
                <w:color w:val="auto"/>
              </w:rPr>
            </w:pPr>
          </w:p>
        </w:tc>
        <w:tc>
          <w:tcPr>
            <w:tcW w:w="180" w:type="dxa"/>
            <w:vAlign w:val="bottom"/>
            <w:vMerge w:val="restart"/>
          </w:tcPr>
          <w:p>
            <w:pPr>
              <w:ind w:left="20"/>
              <w:spacing w:after="0"/>
              <w:rPr>
                <w:sz w:val="20"/>
                <w:szCs w:val="20"/>
                <w:color w:val="auto"/>
              </w:rPr>
            </w:pPr>
            <w:r>
              <w:rPr>
                <w:rFonts w:ascii="Arial" w:cs="Arial" w:eastAsia="Arial" w:hAnsi="Arial"/>
                <w:sz w:val="10"/>
                <w:szCs w:val="10"/>
                <w:b w:val="1"/>
                <w:bCs w:val="1"/>
                <w:color w:val="FEFEFE"/>
              </w:rPr>
              <w:t>​</w:t>
            </w: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tcPr>
          <w:p>
            <w:pPr>
              <w:jc w:val="center"/>
              <w:spacing w:after="0" w:line="97" w:lineRule="exact"/>
              <w:rPr>
                <w:sz w:val="20"/>
                <w:szCs w:val="20"/>
                <w:color w:val="auto"/>
              </w:rPr>
            </w:pPr>
            <w:r>
              <w:rPr>
                <w:rFonts w:ascii="Arial" w:cs="Arial" w:eastAsia="Arial" w:hAnsi="Arial"/>
                <w:sz w:val="10"/>
                <w:szCs w:val="10"/>
                <w:b w:val="1"/>
                <w:bCs w:val="1"/>
                <w:color w:val="FEFEFE"/>
                <w:w w:val="96"/>
              </w:rPr>
              <w:t>Summary</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tcPr>
          <w:p>
            <w:pPr>
              <w:jc w:val="center"/>
              <w:ind w:right="31"/>
              <w:spacing w:after="0" w:line="97" w:lineRule="exact"/>
              <w:rPr>
                <w:sz w:val="20"/>
                <w:szCs w:val="20"/>
                <w:color w:val="auto"/>
              </w:rPr>
            </w:pPr>
            <w:r>
              <w:rPr>
                <w:rFonts w:ascii="Arial" w:cs="Arial" w:eastAsia="Arial" w:hAnsi="Arial"/>
                <w:sz w:val="10"/>
                <w:szCs w:val="10"/>
                <w:b w:val="1"/>
                <w:bCs w:val="1"/>
                <w:color w:val="FEFEFE"/>
              </w:rPr>
              <w:t>Summary</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center"/>
              <w:ind w:right="71"/>
              <w:spacing w:after="0" w:line="97" w:lineRule="exact"/>
              <w:rPr>
                <w:sz w:val="20"/>
                <w:szCs w:val="20"/>
                <w:color w:val="auto"/>
              </w:rPr>
            </w:pPr>
            <w:r>
              <w:rPr>
                <w:rFonts w:ascii="Arial" w:cs="Arial" w:eastAsia="Arial" w:hAnsi="Arial"/>
                <w:sz w:val="10"/>
                <w:szCs w:val="10"/>
                <w:b w:val="1"/>
                <w:bCs w:val="1"/>
                <w:color w:val="FEFEFE"/>
                <w:w w:val="96"/>
              </w:rPr>
              <w:t>Summary</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center"/>
              <w:spacing w:after="0" w:line="97" w:lineRule="exact"/>
              <w:rPr>
                <w:sz w:val="20"/>
                <w:szCs w:val="20"/>
                <w:color w:val="auto"/>
              </w:rPr>
            </w:pPr>
            <w:r>
              <w:rPr>
                <w:rFonts w:ascii="Arial" w:cs="Arial" w:eastAsia="Arial" w:hAnsi="Arial"/>
                <w:sz w:val="10"/>
                <w:szCs w:val="10"/>
                <w:b w:val="1"/>
                <w:bCs w:val="1"/>
                <w:color w:val="FEFEFE"/>
              </w:rPr>
              <w:t>Summary</w:t>
            </w:r>
          </w:p>
        </w:tc>
        <w:tc>
          <w:tcPr>
            <w:tcW w:w="100" w:type="dxa"/>
            <w:vAlign w:val="bottom"/>
          </w:tcPr>
          <w:p>
            <w:pPr>
              <w:spacing w:after="0"/>
              <w:rPr>
                <w:sz w:val="8"/>
                <w:szCs w:val="8"/>
                <w:color w:val="auto"/>
              </w:rPr>
            </w:pPr>
          </w:p>
        </w:tc>
        <w:tc>
          <w:tcPr>
            <w:tcW w:w="700" w:type="dxa"/>
            <w:vAlign w:val="bottom"/>
            <w:gridSpan w:val="2"/>
          </w:tcPr>
          <w:p>
            <w:pPr>
              <w:jc w:val="center"/>
              <w:spacing w:after="0" w:line="97" w:lineRule="exact"/>
              <w:rPr>
                <w:sz w:val="20"/>
                <w:szCs w:val="20"/>
                <w:color w:val="auto"/>
              </w:rPr>
            </w:pPr>
            <w:r>
              <w:rPr>
                <w:rFonts w:ascii="Arial" w:cs="Arial" w:eastAsia="Arial" w:hAnsi="Arial"/>
                <w:sz w:val="10"/>
                <w:szCs w:val="10"/>
                <w:b w:val="1"/>
                <w:bCs w:val="1"/>
                <w:color w:val="FEFEFE"/>
              </w:rPr>
              <w:t>Compensation</w:t>
            </w:r>
          </w:p>
        </w:tc>
        <w:tc>
          <w:tcPr>
            <w:tcW w:w="40" w:type="dxa"/>
            <w:vAlign w:val="bottom"/>
          </w:tcPr>
          <w:p>
            <w:pPr>
              <w:spacing w:after="0"/>
              <w:rPr>
                <w:sz w:val="8"/>
                <w:szCs w:val="8"/>
                <w:color w:val="auto"/>
              </w:rPr>
            </w:pPr>
          </w:p>
        </w:tc>
        <w:tc>
          <w:tcPr>
            <w:tcW w:w="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80" w:type="dxa"/>
            <w:vAlign w:val="bottom"/>
            <w:gridSpan w:val="17"/>
          </w:tcPr>
          <w:p>
            <w:pPr>
              <w:jc w:val="center"/>
              <w:spacing w:after="0" w:line="113" w:lineRule="exact"/>
              <w:rPr>
                <w:sz w:val="20"/>
                <w:szCs w:val="20"/>
                <w:color w:val="auto"/>
              </w:rPr>
            </w:pPr>
            <w:r>
              <w:rPr>
                <w:rFonts w:ascii="Arial" w:cs="Arial" w:eastAsia="Arial" w:hAnsi="Arial"/>
                <w:sz w:val="10"/>
                <w:szCs w:val="10"/>
                <w:b w:val="1"/>
                <w:bCs w:val="1"/>
                <w:color w:val="FEFEFE"/>
              </w:rPr>
              <w:t>Compensation  Compensation  Compensation  Compensation  Compensation</w:t>
            </w:r>
          </w:p>
        </w:tc>
        <w:tc>
          <w:tcPr>
            <w:tcW w:w="80" w:type="dxa"/>
            <w:vAlign w:val="bottom"/>
          </w:tcPr>
          <w:p>
            <w:pPr>
              <w:spacing w:after="0"/>
              <w:rPr>
                <w:sz w:val="9"/>
                <w:szCs w:val="9"/>
                <w:color w:val="auto"/>
              </w:rPr>
            </w:pPr>
          </w:p>
        </w:tc>
        <w:tc>
          <w:tcPr>
            <w:tcW w:w="720" w:type="dxa"/>
            <w:vAlign w:val="bottom"/>
            <w:gridSpan w:val="3"/>
          </w:tcPr>
          <w:p>
            <w:pPr>
              <w:jc w:val="center"/>
              <w:spacing w:after="0" w:line="113" w:lineRule="exact"/>
              <w:rPr>
                <w:sz w:val="20"/>
                <w:szCs w:val="20"/>
                <w:color w:val="auto"/>
              </w:rPr>
            </w:pPr>
            <w:r>
              <w:rPr>
                <w:rFonts w:ascii="Arial" w:cs="Arial" w:eastAsia="Arial" w:hAnsi="Arial"/>
                <w:sz w:val="10"/>
                <w:szCs w:val="10"/>
                <w:b w:val="1"/>
                <w:bCs w:val="1"/>
                <w:color w:val="FEFEFE"/>
                <w:w w:val="97"/>
              </w:rPr>
              <w:t>Compensation</w:t>
            </w:r>
          </w:p>
        </w:tc>
        <w:tc>
          <w:tcPr>
            <w:tcW w:w="80" w:type="dxa"/>
            <w:vAlign w:val="bottom"/>
          </w:tcPr>
          <w:p>
            <w:pPr>
              <w:spacing w:after="0"/>
              <w:rPr>
                <w:sz w:val="9"/>
                <w:szCs w:val="9"/>
                <w:color w:val="auto"/>
              </w:rPr>
            </w:pPr>
          </w:p>
        </w:tc>
        <w:tc>
          <w:tcPr>
            <w:tcW w:w="700" w:type="dxa"/>
            <w:vAlign w:val="bottom"/>
          </w:tcPr>
          <w:p>
            <w:pPr>
              <w:jc w:val="center"/>
              <w:spacing w:after="0" w:line="113" w:lineRule="exact"/>
              <w:rPr>
                <w:sz w:val="20"/>
                <w:szCs w:val="20"/>
                <w:color w:val="auto"/>
              </w:rPr>
            </w:pPr>
            <w:r>
              <w:rPr>
                <w:rFonts w:ascii="Arial" w:cs="Arial" w:eastAsia="Arial" w:hAnsi="Arial"/>
                <w:sz w:val="10"/>
                <w:szCs w:val="10"/>
                <w:b w:val="1"/>
                <w:bCs w:val="1"/>
                <w:color w:val="FEFEFE"/>
                <w:w w:val="97"/>
              </w:rPr>
              <w:t>Compensation</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center"/>
              <w:ind w:right="111"/>
              <w:spacing w:after="0" w:line="113" w:lineRule="exact"/>
              <w:rPr>
                <w:sz w:val="20"/>
                <w:szCs w:val="20"/>
                <w:color w:val="auto"/>
              </w:rPr>
            </w:pPr>
            <w:r>
              <w:rPr>
                <w:rFonts w:ascii="Arial" w:cs="Arial" w:eastAsia="Arial" w:hAnsi="Arial"/>
                <w:sz w:val="10"/>
                <w:szCs w:val="10"/>
                <w:b w:val="1"/>
                <w:bCs w:val="1"/>
                <w:color w:val="FEFEFE"/>
                <w:w w:val="97"/>
              </w:rPr>
              <w:t>Actually</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top w:val="single" w:sz="8" w:color="FEFEFE"/>
            </w:tcBorders>
          </w:tcPr>
          <w:p>
            <w:pPr>
              <w:spacing w:after="0"/>
              <w:rPr>
                <w:sz w:val="9"/>
                <w:szCs w:val="9"/>
                <w:color w:val="auto"/>
              </w:rPr>
            </w:pPr>
          </w:p>
        </w:tc>
        <w:tc>
          <w:tcPr>
            <w:tcW w:w="180" w:type="dxa"/>
            <w:vAlign w:val="bottom"/>
            <w:tcBorders>
              <w:top w:val="single" w:sz="8" w:color="FEFEFE"/>
            </w:tcBorders>
          </w:tcPr>
          <w:p>
            <w:pPr>
              <w:spacing w:after="0"/>
              <w:rPr>
                <w:sz w:val="9"/>
                <w:szCs w:val="9"/>
                <w:color w:val="auto"/>
              </w:rPr>
            </w:pPr>
          </w:p>
        </w:tc>
        <w:tc>
          <w:tcPr>
            <w:tcW w:w="420" w:type="dxa"/>
            <w:vAlign w:val="bottom"/>
            <w:tcBorders>
              <w:top w:val="single" w:sz="8" w:color="FEFEFE"/>
            </w:tcBorders>
            <w:vMerge w:val="restart"/>
          </w:tcPr>
          <w:p>
            <w:pPr>
              <w:jc w:val="right"/>
              <w:ind w:right="151"/>
              <w:spacing w:after="0"/>
              <w:rPr>
                <w:sz w:val="20"/>
                <w:szCs w:val="20"/>
                <w:color w:val="auto"/>
              </w:rPr>
            </w:pPr>
            <w:r>
              <w:rPr>
                <w:rFonts w:ascii="Arial" w:cs="Arial" w:eastAsia="Arial" w:hAnsi="Arial"/>
                <w:sz w:val="10"/>
                <w:szCs w:val="10"/>
                <w:b w:val="1"/>
                <w:bCs w:val="1"/>
                <w:color w:val="FEFEFE"/>
                <w:w w:val="83"/>
              </w:rPr>
              <w:t>Total</w:t>
            </w:r>
          </w:p>
        </w:tc>
        <w:tc>
          <w:tcPr>
            <w:tcW w:w="80" w:type="dxa"/>
            <w:vAlign w:val="bottom"/>
            <w:tcBorders>
              <w:top w:val="single" w:sz="8" w:color="FEFEFE"/>
            </w:tcBorders>
          </w:tcPr>
          <w:p>
            <w:pPr>
              <w:spacing w:after="0"/>
              <w:rPr>
                <w:sz w:val="9"/>
                <w:szCs w:val="9"/>
                <w:color w:val="auto"/>
              </w:rPr>
            </w:pPr>
          </w:p>
        </w:tc>
        <w:tc>
          <w:tcPr>
            <w:tcW w:w="600" w:type="dxa"/>
            <w:vAlign w:val="bottom"/>
            <w:tcBorders>
              <w:top w:val="single" w:sz="8" w:color="FEFEFE"/>
            </w:tcBorders>
            <w:gridSpan w:val="2"/>
          </w:tcPr>
          <w:p>
            <w:pPr>
              <w:jc w:val="center"/>
              <w:spacing w:after="0" w:line="113" w:lineRule="exact"/>
              <w:rPr>
                <w:sz w:val="20"/>
                <w:szCs w:val="20"/>
                <w:color w:val="auto"/>
              </w:rPr>
            </w:pPr>
            <w:r>
              <w:rPr>
                <w:rFonts w:ascii="Arial" w:cs="Arial" w:eastAsia="Arial" w:hAnsi="Arial"/>
                <w:sz w:val="10"/>
                <w:szCs w:val="10"/>
                <w:b w:val="1"/>
                <w:bCs w:val="1"/>
                <w:color w:val="FEFEFE"/>
                <w:w w:val="99"/>
              </w:rPr>
              <w:t>Peer Group</w:t>
            </w:r>
          </w:p>
        </w:tc>
        <w:tc>
          <w:tcPr>
            <w:tcW w:w="20" w:type="dxa"/>
            <w:vAlign w:val="bottom"/>
            <w:tcBorders>
              <w:top w:val="single" w:sz="8" w:color="FEFEFE"/>
            </w:tcBorders>
          </w:tcPr>
          <w:p>
            <w:pPr>
              <w:spacing w:after="0"/>
              <w:rPr>
                <w:sz w:val="9"/>
                <w:szCs w:val="9"/>
                <w:color w:val="auto"/>
              </w:rPr>
            </w:pPr>
          </w:p>
        </w:tc>
        <w:tc>
          <w:tcPr>
            <w:tcW w:w="740" w:type="dxa"/>
            <w:vAlign w:val="bottom"/>
            <w:gridSpan w:val="2"/>
            <w:vMerge w:val="restart"/>
          </w:tcPr>
          <w:p>
            <w:pPr>
              <w:jc w:val="right"/>
              <w:ind w:right="111"/>
              <w:spacing w:after="0"/>
              <w:rPr>
                <w:sz w:val="20"/>
                <w:szCs w:val="20"/>
                <w:color w:val="auto"/>
              </w:rPr>
            </w:pPr>
            <w:r>
              <w:rPr>
                <w:rFonts w:ascii="Arial" w:cs="Arial" w:eastAsia="Arial" w:hAnsi="Arial"/>
                <w:sz w:val="10"/>
                <w:szCs w:val="10"/>
                <w:b w:val="1"/>
                <w:bCs w:val="1"/>
                <w:color w:val="FEFEFE"/>
              </w:rPr>
              <w:t>Net (Loss)</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jc w:val="center"/>
              <w:ind w:right="71"/>
              <w:spacing w:after="0"/>
              <w:rPr>
                <w:sz w:val="20"/>
                <w:szCs w:val="20"/>
                <w:color w:val="auto"/>
              </w:rPr>
            </w:pPr>
            <w:r>
              <w:rPr>
                <w:rFonts w:ascii="Arial" w:cs="Arial" w:eastAsia="Arial" w:hAnsi="Arial"/>
                <w:sz w:val="10"/>
                <w:szCs w:val="10"/>
                <w:b w:val="1"/>
                <w:bCs w:val="1"/>
                <w:color w:val="FEFEFE"/>
                <w:w w:val="91"/>
              </w:rPr>
              <w:t>Table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51"/>
              <w:spacing w:after="0"/>
              <w:rPr>
                <w:sz w:val="20"/>
                <w:szCs w:val="20"/>
                <w:color w:val="auto"/>
              </w:rPr>
            </w:pPr>
            <w:r>
              <w:rPr>
                <w:rFonts w:ascii="Arial" w:cs="Arial" w:eastAsia="Arial" w:hAnsi="Arial"/>
                <w:sz w:val="10"/>
                <w:szCs w:val="10"/>
                <w:b w:val="1"/>
                <w:bCs w:val="1"/>
                <w:color w:val="FEFEFE"/>
                <w:w w:val="97"/>
              </w:rPr>
              <w:t>Actually</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center"/>
              <w:ind w:right="111"/>
              <w:spacing w:after="0"/>
              <w:rPr>
                <w:sz w:val="20"/>
                <w:szCs w:val="20"/>
                <w:color w:val="auto"/>
              </w:rPr>
            </w:pPr>
            <w:r>
              <w:rPr>
                <w:rFonts w:ascii="Arial" w:cs="Arial" w:eastAsia="Arial" w:hAnsi="Arial"/>
                <w:sz w:val="10"/>
                <w:szCs w:val="10"/>
                <w:b w:val="1"/>
                <w:bCs w:val="1"/>
                <w:color w:val="FEFEFE"/>
                <w:w w:val="99"/>
              </w:rPr>
              <w:t>Table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ind w:left="40"/>
              <w:spacing w:after="0"/>
              <w:rPr>
                <w:sz w:val="20"/>
                <w:szCs w:val="20"/>
                <w:color w:val="auto"/>
              </w:rPr>
            </w:pPr>
            <w:r>
              <w:rPr>
                <w:rFonts w:ascii="Arial" w:cs="Arial" w:eastAsia="Arial" w:hAnsi="Arial"/>
                <w:sz w:val="10"/>
                <w:szCs w:val="10"/>
                <w:b w:val="1"/>
                <w:bCs w:val="1"/>
                <w:color w:val="FEFEFE"/>
              </w:rPr>
              <w:t>Actually</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171"/>
              <w:spacing w:after="0"/>
              <w:rPr>
                <w:sz w:val="20"/>
                <w:szCs w:val="20"/>
                <w:color w:val="auto"/>
              </w:rPr>
            </w:pPr>
            <w:r>
              <w:rPr>
                <w:rFonts w:ascii="Arial" w:cs="Arial" w:eastAsia="Arial" w:hAnsi="Arial"/>
                <w:sz w:val="10"/>
                <w:szCs w:val="10"/>
                <w:b w:val="1"/>
                <w:bCs w:val="1"/>
                <w:color w:val="FEFEFE"/>
                <w:w w:val="91"/>
              </w:rPr>
              <w:t>Table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ind w:left="40"/>
              <w:spacing w:after="0"/>
              <w:rPr>
                <w:sz w:val="20"/>
                <w:szCs w:val="20"/>
                <w:color w:val="auto"/>
              </w:rPr>
            </w:pPr>
            <w:r>
              <w:rPr>
                <w:rFonts w:ascii="Arial" w:cs="Arial" w:eastAsia="Arial" w:hAnsi="Arial"/>
                <w:sz w:val="10"/>
                <w:szCs w:val="10"/>
                <w:b w:val="1"/>
                <w:bCs w:val="1"/>
                <w:color w:val="FEFEFE"/>
              </w:rPr>
              <w:t>Actually</w:t>
            </w:r>
          </w:p>
        </w:tc>
        <w:tc>
          <w:tcPr>
            <w:tcW w:w="8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Arial" w:cs="Arial" w:eastAsia="Arial" w:hAnsi="Arial"/>
                <w:sz w:val="10"/>
                <w:szCs w:val="10"/>
                <w:b w:val="1"/>
                <w:bCs w:val="1"/>
                <w:color w:val="FEFEFE"/>
                <w:w w:val="95"/>
              </w:rPr>
              <w:t>Table Total for</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center"/>
              <w:ind w:right="111"/>
              <w:spacing w:after="0"/>
              <w:rPr>
                <w:sz w:val="20"/>
                <w:szCs w:val="20"/>
                <w:color w:val="auto"/>
              </w:rPr>
            </w:pPr>
            <w:r>
              <w:rPr>
                <w:rFonts w:ascii="Arial" w:cs="Arial" w:eastAsia="Arial" w:hAnsi="Arial"/>
                <w:sz w:val="10"/>
                <w:szCs w:val="10"/>
                <w:b w:val="1"/>
                <w:bCs w:val="1"/>
                <w:color w:val="FEFEFE"/>
              </w:rPr>
              <w:t>Paid to</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jc w:val="center"/>
              <w:ind w:right="131"/>
              <w:spacing w:after="0"/>
              <w:rPr>
                <w:sz w:val="20"/>
                <w:szCs w:val="20"/>
                <w:color w:val="auto"/>
              </w:rPr>
            </w:pPr>
            <w:r>
              <w:rPr>
                <w:rFonts w:ascii="Arial" w:cs="Arial" w:eastAsia="Arial" w:hAnsi="Arial"/>
                <w:sz w:val="10"/>
                <w:szCs w:val="10"/>
                <w:b w:val="1"/>
                <w:bCs w:val="1"/>
                <w:color w:val="FEFEFE"/>
              </w:rPr>
              <w:t>Total</w:t>
            </w:r>
          </w:p>
        </w:tc>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440" w:type="dxa"/>
            <w:vAlign w:val="bottom"/>
            <w:vMerge w:val="restart"/>
          </w:tcPr>
          <w:p>
            <w:pPr>
              <w:jc w:val="right"/>
              <w:ind w:right="11"/>
              <w:spacing w:after="0"/>
              <w:rPr>
                <w:sz w:val="20"/>
                <w:szCs w:val="20"/>
                <w:color w:val="auto"/>
              </w:rPr>
            </w:pPr>
            <w:r>
              <w:rPr>
                <w:rFonts w:ascii="Arial" w:cs="Arial" w:eastAsia="Arial" w:hAnsi="Arial"/>
                <w:sz w:val="19"/>
                <w:szCs w:val="19"/>
                <w:b w:val="1"/>
                <w:bCs w:val="1"/>
                <w:color w:val="FEFEFE"/>
                <w:w w:val="95"/>
                <w:vertAlign w:val="subscript"/>
              </w:rPr>
              <w:t>​</w:t>
            </w:r>
            <w:r>
              <w:rPr>
                <w:rFonts w:ascii="Arial" w:cs="Arial" w:eastAsia="Arial" w:hAnsi="Arial"/>
                <w:sz w:val="10"/>
                <w:szCs w:val="10"/>
                <w:b w:val="1"/>
                <w:bCs w:val="1"/>
                <w:color w:val="FEFEFE"/>
                <w:w w:val="95"/>
              </w:rPr>
              <w:t xml:space="preserve"> Year</w:t>
            </w:r>
            <w:r>
              <w:rPr>
                <w:rFonts w:ascii="Arial" w:cs="Arial" w:eastAsia="Arial" w:hAnsi="Arial"/>
                <w:sz w:val="16"/>
                <w:szCs w:val="16"/>
                <w:b w:val="1"/>
                <w:bCs w:val="1"/>
                <w:color w:val="FEFEFE"/>
                <w:w w:val="95"/>
                <w:vertAlign w:val="superscript"/>
              </w:rPr>
              <w:t>(1)</w:t>
            </w:r>
          </w:p>
        </w:tc>
        <w:tc>
          <w:tcPr>
            <w:tcW w:w="140" w:type="dxa"/>
            <w:vAlign w:val="bottom"/>
          </w:tcPr>
          <w:p>
            <w:pPr>
              <w:spacing w:after="0"/>
              <w:rPr>
                <w:sz w:val="9"/>
                <w:szCs w:val="9"/>
                <w:color w:val="auto"/>
              </w:rPr>
            </w:pPr>
          </w:p>
        </w:tc>
        <w:tc>
          <w:tcPr>
            <w:tcW w:w="640" w:type="dxa"/>
            <w:vAlign w:val="bottom"/>
            <w:gridSpan w:val="2"/>
          </w:tcPr>
          <w:p>
            <w:pPr>
              <w:jc w:val="center"/>
              <w:spacing w:after="0" w:line="113" w:lineRule="exact"/>
              <w:rPr>
                <w:sz w:val="20"/>
                <w:szCs w:val="20"/>
                <w:color w:val="auto"/>
              </w:rPr>
            </w:pPr>
            <w:r>
              <w:rPr>
                <w:rFonts w:ascii="Arial" w:cs="Arial" w:eastAsia="Arial" w:hAnsi="Arial"/>
                <w:sz w:val="10"/>
                <w:szCs w:val="10"/>
                <w:b w:val="1"/>
                <w:bCs w:val="1"/>
                <w:color w:val="FEFEFE"/>
                <w:w w:val="99"/>
              </w:rPr>
              <w:t>Total for</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center"/>
              <w:ind w:right="51"/>
              <w:spacing w:after="0" w:line="113" w:lineRule="exact"/>
              <w:rPr>
                <w:sz w:val="20"/>
                <w:szCs w:val="20"/>
                <w:color w:val="auto"/>
              </w:rPr>
            </w:pPr>
            <w:r>
              <w:rPr>
                <w:rFonts w:ascii="Arial" w:cs="Arial" w:eastAsia="Arial" w:hAnsi="Arial"/>
                <w:sz w:val="10"/>
                <w:szCs w:val="10"/>
                <w:b w:val="1"/>
                <w:bCs w:val="1"/>
                <w:color w:val="FEFEFE"/>
              </w:rPr>
              <w:t>Paid to</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FEFEFE"/>
              </w:rPr>
              <w:t>Total for</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ind w:right="111"/>
              <w:spacing w:after="0" w:line="113" w:lineRule="exact"/>
              <w:rPr>
                <w:sz w:val="20"/>
                <w:szCs w:val="20"/>
                <w:color w:val="auto"/>
              </w:rPr>
            </w:pPr>
            <w:r>
              <w:rPr>
                <w:rFonts w:ascii="Arial" w:cs="Arial" w:eastAsia="Arial" w:hAnsi="Arial"/>
                <w:sz w:val="10"/>
                <w:szCs w:val="10"/>
                <w:b w:val="1"/>
                <w:bCs w:val="1"/>
                <w:color w:val="FEFEFE"/>
                <w:w w:val="89"/>
              </w:rPr>
              <w:t>Paid to</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FEFEFE"/>
              </w:rPr>
              <w:t>Total for</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center"/>
              <w:ind w:right="151"/>
              <w:spacing w:after="0" w:line="113" w:lineRule="exact"/>
              <w:rPr>
                <w:sz w:val="20"/>
                <w:szCs w:val="20"/>
                <w:color w:val="auto"/>
              </w:rPr>
            </w:pPr>
            <w:r>
              <w:rPr>
                <w:rFonts w:ascii="Arial" w:cs="Arial" w:eastAsia="Arial" w:hAnsi="Arial"/>
                <w:sz w:val="10"/>
                <w:szCs w:val="10"/>
                <w:b w:val="1"/>
                <w:bCs w:val="1"/>
                <w:color w:val="FEFEFE"/>
                <w:w w:val="95"/>
              </w:rPr>
              <w:t>Paid to</w:t>
            </w:r>
          </w:p>
        </w:tc>
        <w:tc>
          <w:tcPr>
            <w:tcW w:w="80" w:type="dxa"/>
            <w:vAlign w:val="bottom"/>
          </w:tcPr>
          <w:p>
            <w:pPr>
              <w:spacing w:after="0"/>
              <w:rPr>
                <w:sz w:val="9"/>
                <w:szCs w:val="9"/>
                <w:color w:val="auto"/>
              </w:rPr>
            </w:pPr>
          </w:p>
        </w:tc>
        <w:tc>
          <w:tcPr>
            <w:tcW w:w="700" w:type="dxa"/>
            <w:vAlign w:val="bottom"/>
          </w:tcPr>
          <w:p>
            <w:pPr>
              <w:jc w:val="center"/>
              <w:spacing w:after="0" w:line="113" w:lineRule="exact"/>
              <w:rPr>
                <w:sz w:val="20"/>
                <w:szCs w:val="20"/>
                <w:color w:val="auto"/>
              </w:rPr>
            </w:pPr>
            <w:r>
              <w:rPr>
                <w:rFonts w:ascii="Arial" w:cs="Arial" w:eastAsia="Arial" w:hAnsi="Arial"/>
                <w:sz w:val="10"/>
                <w:szCs w:val="10"/>
                <w:b w:val="1"/>
                <w:bCs w:val="1"/>
                <w:color w:val="FEFEFE"/>
              </w:rPr>
              <w:t>Non-PEO</w:t>
            </w:r>
          </w:p>
        </w:tc>
        <w:tc>
          <w:tcPr>
            <w:tcW w:w="100" w:type="dxa"/>
            <w:vAlign w:val="bottom"/>
          </w:tcPr>
          <w:p>
            <w:pPr>
              <w:spacing w:after="0"/>
              <w:rPr>
                <w:sz w:val="9"/>
                <w:szCs w:val="9"/>
                <w:color w:val="auto"/>
              </w:rPr>
            </w:pPr>
          </w:p>
        </w:tc>
        <w:tc>
          <w:tcPr>
            <w:tcW w:w="700" w:type="dxa"/>
            <w:vAlign w:val="bottom"/>
            <w:gridSpan w:val="2"/>
          </w:tcPr>
          <w:p>
            <w:pPr>
              <w:jc w:val="center"/>
              <w:spacing w:after="0" w:line="113" w:lineRule="exact"/>
              <w:rPr>
                <w:sz w:val="20"/>
                <w:szCs w:val="20"/>
                <w:color w:val="auto"/>
              </w:rPr>
            </w:pPr>
            <w:r>
              <w:rPr>
                <w:rFonts w:ascii="Arial" w:cs="Arial" w:eastAsia="Arial" w:hAnsi="Arial"/>
                <w:sz w:val="10"/>
                <w:szCs w:val="10"/>
                <w:b w:val="1"/>
                <w:bCs w:val="1"/>
                <w:color w:val="FEFEFE"/>
                <w:w w:val="95"/>
              </w:rPr>
              <w:t>Non-PEO</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spacing w:after="0" w:line="113" w:lineRule="exact"/>
              <w:rPr>
                <w:sz w:val="20"/>
                <w:szCs w:val="20"/>
                <w:color w:val="auto"/>
              </w:rPr>
            </w:pPr>
            <w:r>
              <w:rPr>
                <w:rFonts w:ascii="Arial" w:cs="Arial" w:eastAsia="Arial" w:hAnsi="Arial"/>
                <w:sz w:val="10"/>
                <w:szCs w:val="10"/>
                <w:b w:val="1"/>
                <w:bCs w:val="1"/>
                <w:color w:val="FEFEFE"/>
                <w:w w:val="99"/>
              </w:rPr>
              <w:t>Shareholder</w:t>
            </w:r>
          </w:p>
        </w:tc>
        <w:tc>
          <w:tcPr>
            <w:tcW w:w="80" w:type="dxa"/>
            <w:vAlign w:val="bottom"/>
          </w:tcPr>
          <w:p>
            <w:pPr>
              <w:spacing w:after="0"/>
              <w:rPr>
                <w:sz w:val="9"/>
                <w:szCs w:val="9"/>
                <w:color w:val="auto"/>
              </w:rPr>
            </w:pPr>
          </w:p>
        </w:tc>
        <w:tc>
          <w:tcPr>
            <w:tcW w:w="600" w:type="dxa"/>
            <w:vAlign w:val="bottom"/>
            <w:gridSpan w:val="2"/>
          </w:tcPr>
          <w:p>
            <w:pPr>
              <w:jc w:val="center"/>
              <w:spacing w:after="0" w:line="113" w:lineRule="exact"/>
              <w:rPr>
                <w:sz w:val="20"/>
                <w:szCs w:val="20"/>
                <w:color w:val="auto"/>
              </w:rPr>
            </w:pPr>
            <w:r>
              <w:rPr>
                <w:rFonts w:ascii="Arial" w:cs="Arial" w:eastAsia="Arial" w:hAnsi="Arial"/>
                <w:sz w:val="10"/>
                <w:szCs w:val="10"/>
                <w:b w:val="1"/>
                <w:bCs w:val="1"/>
                <w:color w:val="FEFEFE"/>
                <w:w w:val="99"/>
              </w:rPr>
              <w:t>Shareholder</w:t>
            </w:r>
          </w:p>
        </w:tc>
        <w:tc>
          <w:tcPr>
            <w:tcW w:w="20" w:type="dxa"/>
            <w:vAlign w:val="bottom"/>
          </w:tcPr>
          <w:p>
            <w:pPr>
              <w:spacing w:after="0"/>
              <w:rPr>
                <w:sz w:val="9"/>
                <w:szCs w:val="9"/>
                <w:color w:val="auto"/>
              </w:rPr>
            </w:pPr>
          </w:p>
        </w:tc>
        <w:tc>
          <w:tcPr>
            <w:tcW w:w="740" w:type="dxa"/>
            <w:vAlign w:val="bottom"/>
            <w:gridSpan w:val="2"/>
          </w:tcPr>
          <w:p>
            <w:pPr>
              <w:jc w:val="right"/>
              <w:ind w:right="91"/>
              <w:spacing w:after="0" w:line="113" w:lineRule="exact"/>
              <w:rPr>
                <w:sz w:val="20"/>
                <w:szCs w:val="20"/>
                <w:color w:val="auto"/>
              </w:rPr>
            </w:pPr>
            <w:r>
              <w:rPr>
                <w:rFonts w:ascii="Arial" w:cs="Arial" w:eastAsia="Arial" w:hAnsi="Arial"/>
                <w:sz w:val="10"/>
                <w:szCs w:val="10"/>
                <w:b w:val="1"/>
                <w:bCs w:val="1"/>
                <w:color w:val="FEFEFE"/>
              </w:rPr>
              <w:t>Income (in</w:t>
            </w:r>
          </w:p>
        </w:tc>
        <w:tc>
          <w:tcPr>
            <w:tcW w:w="560" w:type="dxa"/>
            <w:vAlign w:val="bottom"/>
          </w:tcPr>
          <w:p>
            <w:pPr>
              <w:jc w:val="center"/>
              <w:spacing w:after="0" w:line="113" w:lineRule="exact"/>
              <w:rPr>
                <w:sz w:val="20"/>
                <w:szCs w:val="20"/>
                <w:color w:val="auto"/>
              </w:rPr>
            </w:pPr>
            <w:r>
              <w:rPr>
                <w:rFonts w:ascii="Arial" w:cs="Arial" w:eastAsia="Arial" w:hAnsi="Arial"/>
                <w:sz w:val="10"/>
                <w:szCs w:val="10"/>
                <w:b w:val="1"/>
                <w:bCs w:val="1"/>
                <w:color w:val="FEFEFE"/>
                <w:w w:val="95"/>
              </w:rPr>
              <w:t>Revenue</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40" w:type="dxa"/>
            <w:vAlign w:val="bottom"/>
          </w:tcPr>
          <w:p>
            <w:pPr>
              <w:ind w:left="80"/>
              <w:spacing w:after="0"/>
              <w:rPr>
                <w:sz w:val="20"/>
                <w:szCs w:val="20"/>
                <w:color w:val="auto"/>
              </w:rPr>
            </w:pPr>
            <w:r>
              <w:rPr>
                <w:rFonts w:ascii="Arial" w:cs="Arial" w:eastAsia="Arial" w:hAnsi="Arial"/>
                <w:sz w:val="10"/>
                <w:szCs w:val="10"/>
                <w:b w:val="1"/>
                <w:bCs w:val="1"/>
                <w:color w:val="FEFEFE"/>
              </w:rPr>
              <w:t>​​</w:t>
            </w:r>
          </w:p>
        </w:tc>
        <w:tc>
          <w:tcPr>
            <w:tcW w:w="160" w:type="dxa"/>
            <w:vAlign w:val="bottom"/>
          </w:tcPr>
          <w:p>
            <w:pPr>
              <w:spacing w:after="0"/>
              <w:rPr>
                <w:sz w:val="16"/>
                <w:szCs w:val="16"/>
                <w:color w:val="auto"/>
              </w:rPr>
            </w:pPr>
          </w:p>
        </w:tc>
        <w:tc>
          <w:tcPr>
            <w:tcW w:w="480" w:type="dxa"/>
            <w:vAlign w:val="bottom"/>
          </w:tcPr>
          <w:p>
            <w:pPr>
              <w:jc w:val="center"/>
              <w:ind w:right="71"/>
              <w:spacing w:after="0"/>
              <w:rPr>
                <w:sz w:val="20"/>
                <w:szCs w:val="20"/>
                <w:color w:val="auto"/>
              </w:rPr>
            </w:pPr>
            <w:r>
              <w:rPr>
                <w:rFonts w:ascii="Arial" w:cs="Arial" w:eastAsia="Arial" w:hAnsi="Arial"/>
                <w:sz w:val="10"/>
                <w:szCs w:val="10"/>
                <w:b w:val="1"/>
                <w:bCs w:val="1"/>
                <w:color w:val="FEFEFE"/>
              </w:rPr>
              <w:t>PEO #1</w:t>
            </w:r>
          </w:p>
        </w:tc>
        <w:tc>
          <w:tcPr>
            <w:tcW w:w="160" w:type="dxa"/>
            <w:vAlign w:val="bottom"/>
          </w:tcPr>
          <w:p>
            <w:pPr>
              <w:jc w:val="right"/>
              <w:spacing w:after="0"/>
              <w:rPr>
                <w:sz w:val="20"/>
                <w:szCs w:val="20"/>
                <w:color w:val="auto"/>
              </w:rPr>
            </w:pPr>
            <w:r>
              <w:rPr>
                <w:rFonts w:ascii="Arial" w:cs="Arial" w:eastAsia="Arial" w:hAnsi="Arial"/>
                <w:sz w:val="10"/>
                <w:szCs w:val="10"/>
                <w:b w:val="1"/>
                <w:bCs w:val="1"/>
                <w:color w:val="FEFEFE"/>
              </w:rPr>
              <w:t>​​</w:t>
            </w:r>
          </w:p>
        </w:tc>
        <w:tc>
          <w:tcPr>
            <w:tcW w:w="100" w:type="dxa"/>
            <w:vAlign w:val="bottom"/>
          </w:tcPr>
          <w:p>
            <w:pPr>
              <w:spacing w:after="0"/>
              <w:rPr>
                <w:sz w:val="16"/>
                <w:szCs w:val="16"/>
                <w:color w:val="auto"/>
              </w:rPr>
            </w:pPr>
          </w:p>
        </w:tc>
        <w:tc>
          <w:tcPr>
            <w:tcW w:w="560" w:type="dxa"/>
            <w:vAlign w:val="bottom"/>
          </w:tcPr>
          <w:p>
            <w:pPr>
              <w:jc w:val="center"/>
              <w:ind w:right="51"/>
              <w:spacing w:after="0"/>
              <w:rPr>
                <w:sz w:val="20"/>
                <w:szCs w:val="20"/>
                <w:color w:val="auto"/>
              </w:rPr>
            </w:pPr>
            <w:r>
              <w:rPr>
                <w:rFonts w:ascii="Arial" w:cs="Arial" w:eastAsia="Arial" w:hAnsi="Arial"/>
                <w:sz w:val="10"/>
                <w:szCs w:val="10"/>
                <w:b w:val="1"/>
                <w:bCs w:val="1"/>
                <w:color w:val="FEFEFE"/>
                <w:w w:val="95"/>
              </w:rPr>
              <w:t>PEO #1</w:t>
            </w:r>
            <w:r>
              <w:rPr>
                <w:rFonts w:ascii="Arial" w:cs="Arial" w:eastAsia="Arial" w:hAnsi="Arial"/>
                <w:sz w:val="16"/>
                <w:szCs w:val="16"/>
                <w:b w:val="1"/>
                <w:bCs w:val="1"/>
                <w:color w:val="FEFEFE"/>
                <w:w w:val="95"/>
                <w:vertAlign w:val="superscript"/>
              </w:rPr>
              <w:t>(2)</w:t>
            </w:r>
          </w:p>
        </w:tc>
        <w:tc>
          <w:tcPr>
            <w:tcW w:w="160" w:type="dxa"/>
            <w:vAlign w:val="bottom"/>
          </w:tcPr>
          <w:p>
            <w:pPr>
              <w:jc w:val="right"/>
              <w:spacing w:after="0"/>
              <w:rPr>
                <w:sz w:val="20"/>
                <w:szCs w:val="20"/>
                <w:color w:val="auto"/>
              </w:rPr>
            </w:pPr>
            <w:r>
              <w:rPr>
                <w:rFonts w:ascii="Arial" w:cs="Arial" w:eastAsia="Arial" w:hAnsi="Arial"/>
                <w:sz w:val="10"/>
                <w:szCs w:val="10"/>
                <w:b w:val="1"/>
                <w:bCs w:val="1"/>
                <w:color w:val="FEFEFE"/>
              </w:rPr>
              <w:t>​​</w:t>
            </w:r>
          </w:p>
        </w:tc>
        <w:tc>
          <w:tcPr>
            <w:tcW w:w="80" w:type="dxa"/>
            <w:vAlign w:val="bottom"/>
          </w:tcPr>
          <w:p>
            <w:pPr>
              <w:spacing w:after="0"/>
              <w:rPr>
                <w:sz w:val="16"/>
                <w:szCs w:val="16"/>
                <w:color w:val="auto"/>
              </w:rPr>
            </w:pPr>
          </w:p>
        </w:tc>
        <w:tc>
          <w:tcPr>
            <w:tcW w:w="540" w:type="dxa"/>
            <w:vAlign w:val="bottom"/>
            <w:gridSpan w:val="2"/>
          </w:tcPr>
          <w:p>
            <w:pPr>
              <w:jc w:val="center"/>
              <w:ind w:right="31"/>
              <w:spacing w:after="0"/>
              <w:rPr>
                <w:sz w:val="20"/>
                <w:szCs w:val="20"/>
                <w:color w:val="auto"/>
              </w:rPr>
            </w:pPr>
            <w:r>
              <w:rPr>
                <w:rFonts w:ascii="Arial" w:cs="Arial" w:eastAsia="Arial" w:hAnsi="Arial"/>
                <w:sz w:val="10"/>
                <w:szCs w:val="10"/>
                <w:b w:val="1"/>
                <w:bCs w:val="1"/>
                <w:color w:val="FEFEFE"/>
                <w:w w:val="96"/>
              </w:rPr>
              <w:t>PEO #2</w:t>
            </w:r>
          </w:p>
        </w:tc>
        <w:tc>
          <w:tcPr>
            <w:tcW w:w="160" w:type="dxa"/>
            <w:vAlign w:val="bottom"/>
          </w:tcPr>
          <w:p>
            <w:pPr>
              <w:jc w:val="right"/>
              <w:spacing w:after="0"/>
              <w:rPr>
                <w:sz w:val="20"/>
                <w:szCs w:val="20"/>
                <w:color w:val="auto"/>
              </w:rPr>
            </w:pPr>
            <w:r>
              <w:rPr>
                <w:rFonts w:ascii="Arial" w:cs="Arial" w:eastAsia="Arial" w:hAnsi="Arial"/>
                <w:sz w:val="10"/>
                <w:szCs w:val="10"/>
                <w:b w:val="1"/>
                <w:bCs w:val="1"/>
                <w:color w:val="FEFEFE"/>
              </w:rPr>
              <w:t>​​</w:t>
            </w:r>
          </w:p>
        </w:tc>
        <w:tc>
          <w:tcPr>
            <w:tcW w:w="100" w:type="dxa"/>
            <w:vAlign w:val="bottom"/>
          </w:tcPr>
          <w:p>
            <w:pPr>
              <w:spacing w:after="0"/>
              <w:rPr>
                <w:sz w:val="16"/>
                <w:szCs w:val="16"/>
                <w:color w:val="auto"/>
              </w:rPr>
            </w:pPr>
          </w:p>
        </w:tc>
        <w:tc>
          <w:tcPr>
            <w:tcW w:w="540" w:type="dxa"/>
            <w:vAlign w:val="bottom"/>
            <w:gridSpan w:val="2"/>
          </w:tcPr>
          <w:p>
            <w:pPr>
              <w:jc w:val="right"/>
              <w:ind w:right="51"/>
              <w:spacing w:after="0"/>
              <w:rPr>
                <w:sz w:val="20"/>
                <w:szCs w:val="20"/>
                <w:color w:val="auto"/>
              </w:rPr>
            </w:pPr>
            <w:r>
              <w:rPr>
                <w:rFonts w:ascii="Arial" w:cs="Arial" w:eastAsia="Arial" w:hAnsi="Arial"/>
                <w:sz w:val="10"/>
                <w:szCs w:val="10"/>
                <w:b w:val="1"/>
                <w:bCs w:val="1"/>
                <w:color w:val="FEFEFE"/>
                <w:w w:val="87"/>
              </w:rPr>
              <w:t>PEO #2</w:t>
            </w:r>
            <w:r>
              <w:rPr>
                <w:rFonts w:ascii="Arial" w:cs="Arial" w:eastAsia="Arial" w:hAnsi="Arial"/>
                <w:sz w:val="16"/>
                <w:szCs w:val="16"/>
                <w:b w:val="1"/>
                <w:bCs w:val="1"/>
                <w:color w:val="FEFEFE"/>
                <w:w w:val="87"/>
                <w:vertAlign w:val="superscript"/>
              </w:rPr>
              <w:t>(2)</w:t>
            </w:r>
          </w:p>
        </w:tc>
        <w:tc>
          <w:tcPr>
            <w:tcW w:w="160" w:type="dxa"/>
            <w:vAlign w:val="bottom"/>
          </w:tcPr>
          <w:p>
            <w:pPr>
              <w:jc w:val="right"/>
              <w:spacing w:after="0"/>
              <w:rPr>
                <w:sz w:val="20"/>
                <w:szCs w:val="20"/>
                <w:color w:val="auto"/>
              </w:rPr>
            </w:pPr>
            <w:r>
              <w:rPr>
                <w:rFonts w:ascii="Arial" w:cs="Arial" w:eastAsia="Arial" w:hAnsi="Arial"/>
                <w:sz w:val="10"/>
                <w:szCs w:val="10"/>
                <w:b w:val="1"/>
                <w:bCs w:val="1"/>
                <w:color w:val="FEFEFE"/>
              </w:rPr>
              <w:t>​​</w:t>
            </w:r>
          </w:p>
        </w:tc>
        <w:tc>
          <w:tcPr>
            <w:tcW w:w="80" w:type="dxa"/>
            <w:vAlign w:val="bottom"/>
          </w:tcPr>
          <w:p>
            <w:pPr>
              <w:spacing w:after="0"/>
              <w:rPr>
                <w:sz w:val="16"/>
                <w:szCs w:val="16"/>
                <w:color w:val="auto"/>
              </w:rPr>
            </w:pPr>
          </w:p>
        </w:tc>
        <w:tc>
          <w:tcPr>
            <w:tcW w:w="600" w:type="dxa"/>
            <w:vAlign w:val="bottom"/>
            <w:gridSpan w:val="2"/>
          </w:tcPr>
          <w:p>
            <w:pPr>
              <w:jc w:val="center"/>
              <w:ind w:right="71"/>
              <w:spacing w:after="0"/>
              <w:rPr>
                <w:sz w:val="20"/>
                <w:szCs w:val="20"/>
                <w:color w:val="auto"/>
              </w:rPr>
            </w:pPr>
            <w:r>
              <w:rPr>
                <w:rFonts w:ascii="Arial" w:cs="Arial" w:eastAsia="Arial" w:hAnsi="Arial"/>
                <w:sz w:val="10"/>
                <w:szCs w:val="10"/>
                <w:b w:val="1"/>
                <w:bCs w:val="1"/>
                <w:color w:val="FEFEFE"/>
              </w:rPr>
              <w:t>PEO #3</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FEFEFE"/>
              </w:rPr>
              <w:t>​​</w:t>
            </w:r>
          </w:p>
        </w:tc>
        <w:tc>
          <w:tcPr>
            <w:tcW w:w="120" w:type="dxa"/>
            <w:vAlign w:val="bottom"/>
          </w:tcPr>
          <w:p>
            <w:pPr>
              <w:spacing w:after="0"/>
              <w:rPr>
                <w:sz w:val="16"/>
                <w:szCs w:val="16"/>
                <w:color w:val="auto"/>
              </w:rPr>
            </w:pPr>
          </w:p>
        </w:tc>
        <w:tc>
          <w:tcPr>
            <w:tcW w:w="600" w:type="dxa"/>
            <w:vAlign w:val="bottom"/>
            <w:gridSpan w:val="2"/>
          </w:tcPr>
          <w:p>
            <w:pPr>
              <w:jc w:val="center"/>
              <w:ind w:right="71"/>
              <w:spacing w:after="0"/>
              <w:rPr>
                <w:sz w:val="20"/>
                <w:szCs w:val="20"/>
                <w:color w:val="auto"/>
              </w:rPr>
            </w:pPr>
            <w:r>
              <w:rPr>
                <w:rFonts w:ascii="Arial" w:cs="Arial" w:eastAsia="Arial" w:hAnsi="Arial"/>
                <w:sz w:val="10"/>
                <w:szCs w:val="10"/>
                <w:b w:val="1"/>
                <w:bCs w:val="1"/>
                <w:color w:val="FEFEFE"/>
                <w:w w:val="91"/>
              </w:rPr>
              <w:t>PEO #3</w:t>
            </w:r>
            <w:r>
              <w:rPr>
                <w:rFonts w:ascii="Arial" w:cs="Arial" w:eastAsia="Arial" w:hAnsi="Arial"/>
                <w:sz w:val="16"/>
                <w:szCs w:val="16"/>
                <w:b w:val="1"/>
                <w:bCs w:val="1"/>
                <w:color w:val="FEFEFE"/>
                <w:w w:val="91"/>
                <w:vertAlign w:val="superscript"/>
              </w:rPr>
              <w:t>(2)</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FEFEFE"/>
              </w:rPr>
              <w:t>​​</w:t>
            </w:r>
          </w:p>
        </w:tc>
        <w:tc>
          <w:tcPr>
            <w:tcW w:w="700" w:type="dxa"/>
            <w:vAlign w:val="bottom"/>
          </w:tcPr>
          <w:p>
            <w:pPr>
              <w:jc w:val="center"/>
              <w:spacing w:after="0"/>
              <w:rPr>
                <w:sz w:val="20"/>
                <w:szCs w:val="20"/>
                <w:color w:val="auto"/>
              </w:rPr>
            </w:pPr>
            <w:r>
              <w:rPr>
                <w:rFonts w:ascii="Arial" w:cs="Arial" w:eastAsia="Arial" w:hAnsi="Arial"/>
                <w:sz w:val="10"/>
                <w:szCs w:val="10"/>
                <w:b w:val="1"/>
                <w:bCs w:val="1"/>
                <w:color w:val="FEFEFE"/>
                <w:w w:val="95"/>
              </w:rPr>
              <w:t>NEOs</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FEFEFE"/>
              </w:rPr>
              <w:t>​​</w:t>
            </w:r>
          </w:p>
        </w:tc>
        <w:tc>
          <w:tcPr>
            <w:tcW w:w="160" w:type="dxa"/>
            <w:vAlign w:val="bottom"/>
          </w:tcPr>
          <w:p>
            <w:pPr>
              <w:spacing w:after="0"/>
              <w:rPr>
                <w:sz w:val="16"/>
                <w:szCs w:val="16"/>
                <w:color w:val="auto"/>
              </w:rPr>
            </w:pPr>
          </w:p>
        </w:tc>
        <w:tc>
          <w:tcPr>
            <w:tcW w:w="540" w:type="dxa"/>
            <w:vAlign w:val="bottom"/>
          </w:tcPr>
          <w:p>
            <w:pPr>
              <w:jc w:val="center"/>
              <w:ind w:right="111"/>
              <w:spacing w:after="0"/>
              <w:rPr>
                <w:sz w:val="20"/>
                <w:szCs w:val="20"/>
                <w:color w:val="auto"/>
              </w:rPr>
            </w:pPr>
            <w:r>
              <w:rPr>
                <w:rFonts w:ascii="Arial" w:cs="Arial" w:eastAsia="Arial" w:hAnsi="Arial"/>
                <w:sz w:val="10"/>
                <w:szCs w:val="10"/>
                <w:b w:val="1"/>
                <w:bCs w:val="1"/>
                <w:color w:val="FEFEFE"/>
                <w:w w:val="94"/>
              </w:rPr>
              <w:t>NEOs</w:t>
            </w:r>
            <w:r>
              <w:rPr>
                <w:rFonts w:ascii="Arial" w:cs="Arial" w:eastAsia="Arial" w:hAnsi="Arial"/>
                <w:sz w:val="16"/>
                <w:szCs w:val="16"/>
                <w:b w:val="1"/>
                <w:bCs w:val="1"/>
                <w:color w:val="FEFEFE"/>
                <w:w w:val="94"/>
                <w:vertAlign w:val="superscript"/>
              </w:rPr>
              <w:t>(3)</w:t>
            </w:r>
          </w:p>
        </w:tc>
        <w:tc>
          <w:tcPr>
            <w:tcW w:w="100" w:type="dxa"/>
            <w:vAlign w:val="bottom"/>
            <w:gridSpan w:val="3"/>
          </w:tcPr>
          <w:p>
            <w:pPr>
              <w:jc w:val="right"/>
              <w:ind w:right="20"/>
              <w:spacing w:after="0"/>
              <w:rPr>
                <w:sz w:val="20"/>
                <w:szCs w:val="20"/>
                <w:color w:val="auto"/>
              </w:rPr>
            </w:pPr>
            <w:r>
              <w:rPr>
                <w:rFonts w:ascii="Arial" w:cs="Arial" w:eastAsia="Arial" w:hAnsi="Arial"/>
                <w:sz w:val="10"/>
                <w:szCs w:val="10"/>
                <w:b w:val="1"/>
                <w:bCs w:val="1"/>
                <w:color w:val="FEFEFE"/>
              </w:rPr>
              <w:t>​​</w:t>
            </w:r>
          </w:p>
        </w:tc>
        <w:tc>
          <w:tcPr>
            <w:tcW w:w="600" w:type="dxa"/>
            <w:vAlign w:val="bottom"/>
            <w:gridSpan w:val="2"/>
          </w:tcPr>
          <w:p>
            <w:pPr>
              <w:ind w:left="80"/>
              <w:spacing w:after="0"/>
              <w:rPr>
                <w:sz w:val="20"/>
                <w:szCs w:val="20"/>
                <w:color w:val="auto"/>
              </w:rPr>
            </w:pPr>
            <w:r>
              <w:rPr>
                <w:rFonts w:ascii="Arial" w:cs="Arial" w:eastAsia="Arial" w:hAnsi="Arial"/>
                <w:sz w:val="10"/>
                <w:szCs w:val="10"/>
                <w:b w:val="1"/>
                <w:bCs w:val="1"/>
                <w:color w:val="FEFEFE"/>
              </w:rPr>
              <w:t>Return</w:t>
            </w:r>
            <w:r>
              <w:rPr>
                <w:rFonts w:ascii="Arial" w:cs="Arial" w:eastAsia="Arial" w:hAnsi="Arial"/>
                <w:sz w:val="16"/>
                <w:szCs w:val="16"/>
                <w:b w:val="1"/>
                <w:bCs w:val="1"/>
                <w:color w:val="FEFEFE"/>
                <w:vertAlign w:val="superscript"/>
              </w:rPr>
              <w:t>(4)</w:t>
            </w:r>
          </w:p>
        </w:tc>
        <w:tc>
          <w:tcPr>
            <w:tcW w:w="80" w:type="dxa"/>
            <w:vAlign w:val="bottom"/>
          </w:tcPr>
          <w:p>
            <w:pPr>
              <w:jc w:val="center"/>
              <w:spacing w:after="0"/>
              <w:rPr>
                <w:sz w:val="20"/>
                <w:szCs w:val="20"/>
                <w:color w:val="auto"/>
              </w:rPr>
            </w:pPr>
            <w:r>
              <w:rPr>
                <w:rFonts w:ascii="Arial" w:cs="Arial" w:eastAsia="Arial" w:hAnsi="Arial"/>
                <w:sz w:val="10"/>
                <w:szCs w:val="10"/>
                <w:b w:val="1"/>
                <w:bCs w:val="1"/>
                <w:color w:val="FEFEFE"/>
              </w:rPr>
              <w:t>​​</w:t>
            </w:r>
          </w:p>
        </w:tc>
        <w:tc>
          <w:tcPr>
            <w:tcW w:w="600" w:type="dxa"/>
            <w:vAlign w:val="bottom"/>
            <w:gridSpan w:val="2"/>
          </w:tcPr>
          <w:p>
            <w:pPr>
              <w:ind w:left="100"/>
              <w:spacing w:after="0"/>
              <w:rPr>
                <w:sz w:val="20"/>
                <w:szCs w:val="20"/>
                <w:color w:val="auto"/>
              </w:rPr>
            </w:pPr>
            <w:r>
              <w:rPr>
                <w:rFonts w:ascii="Arial" w:cs="Arial" w:eastAsia="Arial" w:hAnsi="Arial"/>
                <w:sz w:val="10"/>
                <w:szCs w:val="10"/>
                <w:b w:val="1"/>
                <w:bCs w:val="1"/>
                <w:color w:val="FEFEFE"/>
              </w:rPr>
              <w:t>Return</w:t>
            </w:r>
            <w:r>
              <w:rPr>
                <w:rFonts w:ascii="Arial" w:cs="Arial" w:eastAsia="Arial" w:hAnsi="Arial"/>
                <w:sz w:val="16"/>
                <w:szCs w:val="16"/>
                <w:b w:val="1"/>
                <w:bCs w:val="1"/>
                <w:color w:val="FEFEFE"/>
                <w:vertAlign w:val="superscript"/>
              </w:rPr>
              <w:t>(5)</w:t>
            </w:r>
          </w:p>
        </w:tc>
        <w:tc>
          <w:tcPr>
            <w:tcW w:w="20" w:type="dxa"/>
            <w:vAlign w:val="bottom"/>
          </w:tcPr>
          <w:p>
            <w:pPr>
              <w:spacing w:after="0"/>
              <w:rPr>
                <w:sz w:val="16"/>
                <w:szCs w:val="16"/>
                <w:color w:val="auto"/>
              </w:rPr>
            </w:pPr>
          </w:p>
        </w:tc>
        <w:tc>
          <w:tcPr>
            <w:tcW w:w="1300" w:type="dxa"/>
            <w:vAlign w:val="bottom"/>
            <w:gridSpan w:val="3"/>
          </w:tcPr>
          <w:p>
            <w:pPr>
              <w:ind w:left="20"/>
              <w:spacing w:after="0" w:line="189" w:lineRule="exact"/>
              <w:rPr>
                <w:sz w:val="20"/>
                <w:szCs w:val="20"/>
                <w:color w:val="auto"/>
              </w:rPr>
            </w:pPr>
            <w:r>
              <w:rPr>
                <w:rFonts w:ascii="Arial" w:cs="Arial" w:eastAsia="Arial" w:hAnsi="Arial"/>
                <w:sz w:val="19"/>
                <w:szCs w:val="19"/>
                <w:b w:val="1"/>
                <w:bCs w:val="1"/>
                <w:color w:val="FEFEFE"/>
                <w:vertAlign w:val="subscript"/>
              </w:rPr>
              <w:t>​​</w:t>
            </w:r>
            <w:r>
              <w:rPr>
                <w:rFonts w:ascii="Arial" w:cs="Arial" w:eastAsia="Arial" w:hAnsi="Arial"/>
                <w:sz w:val="10"/>
                <w:szCs w:val="10"/>
                <w:b w:val="1"/>
                <w:bCs w:val="1"/>
                <w:color w:val="FEFEFE"/>
              </w:rPr>
              <w:t xml:space="preserve">thousands) </w:t>
            </w:r>
            <w:r>
              <w:rPr>
                <w:rFonts w:ascii="Arial" w:cs="Arial" w:eastAsia="Arial" w:hAnsi="Arial"/>
                <w:sz w:val="19"/>
                <w:szCs w:val="19"/>
                <w:b w:val="1"/>
                <w:bCs w:val="1"/>
                <w:color w:val="FEFEFE"/>
                <w:vertAlign w:val="subscript"/>
              </w:rPr>
              <w:t>​​</w:t>
            </w:r>
            <w:r>
              <w:rPr>
                <w:rFonts w:ascii="Arial" w:cs="Arial" w:eastAsia="Arial" w:hAnsi="Arial"/>
                <w:sz w:val="10"/>
                <w:szCs w:val="10"/>
                <w:b w:val="1"/>
                <w:bCs w:val="1"/>
                <w:color w:val="FEFEFE"/>
              </w:rPr>
              <w:t xml:space="preserve"> (in millions)</w:t>
            </w:r>
          </w:p>
        </w:tc>
        <w:tc>
          <w:tcPr>
            <w:tcW w:w="160" w:type="dxa"/>
            <w:vAlign w:val="bottom"/>
          </w:tcPr>
          <w:p>
            <w:pPr>
              <w:ind w:left="100"/>
              <w:spacing w:after="0"/>
              <w:rPr>
                <w:sz w:val="20"/>
                <w:szCs w:val="20"/>
                <w:color w:val="auto"/>
              </w:rPr>
            </w:pPr>
            <w:r>
              <w:rPr>
                <w:rFonts w:ascii="Arial" w:cs="Arial" w:eastAsia="Arial" w:hAnsi="Arial"/>
                <w:sz w:val="10"/>
                <w:szCs w:val="10"/>
                <w:b w:val="1"/>
                <w:bCs w:val="1"/>
                <w:color w:val="FEFEFE"/>
              </w:rPr>
              <w:t>​</w:t>
            </w:r>
          </w:p>
        </w:tc>
        <w:tc>
          <w:tcPr>
            <w:tcW w:w="0" w:type="dxa"/>
            <w:vAlign w:val="bottom"/>
          </w:tcPr>
          <w:p>
            <w:pPr>
              <w:spacing w:after="0"/>
              <w:rPr>
                <w:sz w:val="1"/>
                <w:szCs w:val="1"/>
                <w:color w:val="auto"/>
              </w:rPr>
            </w:pPr>
          </w:p>
        </w:tc>
      </w:tr>
      <w:tr>
        <w:trPr>
          <w:trHeight w:val="189"/>
        </w:trPr>
        <w:tc>
          <w:tcPr>
            <w:tcW w:w="40" w:type="dxa"/>
            <w:vAlign w:val="bottom"/>
            <w:tcBorders>
              <w:bottom w:val="single" w:sz="8" w:color="E7417A"/>
            </w:tcBorders>
          </w:tcPr>
          <w:p>
            <w:pPr>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E7417A"/>
            </w:tcBorders>
          </w:tcPr>
          <w:p>
            <w:pPr>
              <w:jc w:val="right"/>
              <w:ind w:right="91"/>
              <w:spacing w:after="0"/>
              <w:rPr>
                <w:sz w:val="20"/>
                <w:szCs w:val="20"/>
                <w:color w:val="auto"/>
              </w:rPr>
            </w:pPr>
            <w:r>
              <w:rPr>
                <w:rFonts w:ascii="Arial" w:cs="Arial" w:eastAsia="Arial" w:hAnsi="Arial"/>
                <w:sz w:val="10"/>
                <w:szCs w:val="10"/>
                <w:color w:val="auto"/>
              </w:rPr>
              <w:t>2024</w:t>
            </w:r>
          </w:p>
        </w:tc>
        <w:tc>
          <w:tcPr>
            <w:tcW w:w="140" w:type="dxa"/>
            <w:vAlign w:val="bottom"/>
            <w:tcBorders>
              <w:bottom w:val="single" w:sz="8" w:color="E7417A"/>
            </w:tcBorders>
          </w:tcPr>
          <w:p>
            <w:pPr>
              <w:ind w:left="6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E7417A"/>
            </w:tcBorders>
          </w:tcPr>
          <w:p>
            <w:pPr>
              <w:ind w:left="80"/>
              <w:spacing w:after="0" w:line="189"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perscript"/>
              </w:rPr>
              <w:t>$</w:t>
            </w:r>
          </w:p>
        </w:tc>
        <w:tc>
          <w:tcPr>
            <w:tcW w:w="48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w w:val="94"/>
              </w:rPr>
              <w:t>4,453,002</w:t>
            </w:r>
          </w:p>
        </w:tc>
        <w:tc>
          <w:tcPr>
            <w:tcW w:w="16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E7417A"/>
            </w:tcBorders>
          </w:tcPr>
          <w:p>
            <w:pPr>
              <w:ind w:left="20"/>
              <w:spacing w:after="0" w:line="189"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perscript"/>
              </w:rPr>
              <w:t>$</w:t>
            </w:r>
          </w:p>
        </w:tc>
        <w:tc>
          <w:tcPr>
            <w:tcW w:w="56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5,064,828</w:t>
            </w:r>
          </w:p>
        </w:tc>
        <w:tc>
          <w:tcPr>
            <w:tcW w:w="160" w:type="dxa"/>
            <w:vAlign w:val="bottom"/>
            <w:tcBorders>
              <w:bottom w:val="single" w:sz="8" w:color="E7417A"/>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E7417A"/>
            </w:tcBorders>
          </w:tcPr>
          <w:p>
            <w:pPr>
              <w:ind w:left="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E7417A"/>
            </w:tcBorders>
          </w:tcPr>
          <w:p>
            <w:pPr>
              <w:ind w:left="40"/>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E7417A"/>
            </w:tcBorders>
          </w:tcPr>
          <w:p>
            <w:pPr>
              <w:ind w:left="6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E7417A"/>
            </w:tcBorders>
          </w:tcPr>
          <w:p>
            <w:pPr>
              <w:ind w:left="20"/>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E7417A"/>
            </w:tcBorders>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E7417A"/>
            </w:tcBorders>
          </w:tcPr>
          <w:p>
            <w:pPr>
              <w:ind w:left="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E7417A"/>
            </w:tcBorders>
          </w:tcPr>
          <w:p>
            <w:pPr>
              <w:ind w:left="4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E7417A"/>
            </w:tcBorders>
          </w:tcPr>
          <w:p>
            <w:pPr>
              <w:jc w:val="right"/>
              <w:ind w:right="5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E7417A"/>
            </w:tcBorders>
          </w:tcPr>
          <w:p>
            <w:pPr>
              <w:ind w:left="8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E7417A"/>
            </w:tcBorders>
          </w:tcPr>
          <w:p>
            <w:pPr>
              <w:ind w:left="4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E7417A"/>
            </w:tcBorders>
          </w:tcPr>
          <w:p>
            <w:pPr>
              <w:jc w:val="right"/>
              <w:ind w:right="5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E7417A"/>
            </w:tcBorders>
          </w:tcPr>
          <w:p>
            <w:pPr>
              <w:jc w:val="center"/>
              <w:spacing w:after="0" w:line="189"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$ 1,472,252</w:t>
            </w:r>
          </w:p>
        </w:tc>
        <w:tc>
          <w:tcPr>
            <w:tcW w:w="10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E7417A"/>
            </w:tcBorders>
          </w:tcPr>
          <w:p>
            <w:pPr>
              <w:ind w:left="80"/>
              <w:spacing w:after="0" w:line="189"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perscript"/>
              </w:rPr>
              <w:t>$</w:t>
            </w:r>
          </w:p>
        </w:tc>
        <w:tc>
          <w:tcPr>
            <w:tcW w:w="540" w:type="dxa"/>
            <w:vAlign w:val="bottom"/>
            <w:tcBorders>
              <w:bottom w:val="single" w:sz="8" w:color="E7417A"/>
            </w:tcBorders>
          </w:tcPr>
          <w:p>
            <w:pPr>
              <w:jc w:val="right"/>
              <w:ind w:right="31"/>
              <w:spacing w:after="0"/>
              <w:rPr>
                <w:sz w:val="20"/>
                <w:szCs w:val="20"/>
                <w:color w:val="auto"/>
              </w:rPr>
            </w:pPr>
            <w:r>
              <w:rPr>
                <w:rFonts w:ascii="Arial" w:cs="Arial" w:eastAsia="Arial" w:hAnsi="Arial"/>
                <w:sz w:val="10"/>
                <w:szCs w:val="10"/>
                <w:color w:val="auto"/>
                <w:w w:val="98"/>
              </w:rPr>
              <w:t>1,413,665</w:t>
            </w:r>
          </w:p>
        </w:tc>
        <w:tc>
          <w:tcPr>
            <w:tcW w:w="100" w:type="dxa"/>
            <w:vAlign w:val="bottom"/>
            <w:tcBorders>
              <w:bottom w:val="single" w:sz="8" w:color="E7417A"/>
            </w:tcBorders>
            <w:gridSpan w:val="3"/>
          </w:tcPr>
          <w:p>
            <w:pPr>
              <w:jc w:val="right"/>
              <w:ind w:right="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E7417A"/>
            </w:tcBorders>
          </w:tcPr>
          <w:p>
            <w:pPr>
              <w:ind w:left="80"/>
              <w:spacing w:after="0" w:line="18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perscript"/>
              </w:rPr>
              <w:t>$</w:t>
            </w:r>
          </w:p>
        </w:tc>
        <w:tc>
          <w:tcPr>
            <w:tcW w:w="420" w:type="dxa"/>
            <w:vAlign w:val="bottom"/>
            <w:tcBorders>
              <w:bottom w:val="single" w:sz="8" w:color="E7417A"/>
            </w:tcBorders>
          </w:tcPr>
          <w:p>
            <w:pPr>
              <w:jc w:val="right"/>
              <w:ind w:right="71"/>
              <w:spacing w:after="0"/>
              <w:rPr>
                <w:sz w:val="20"/>
                <w:szCs w:val="20"/>
                <w:color w:val="auto"/>
              </w:rPr>
            </w:pPr>
            <w:r>
              <w:rPr>
                <w:rFonts w:ascii="Arial" w:cs="Arial" w:eastAsia="Arial" w:hAnsi="Arial"/>
                <w:sz w:val="10"/>
                <w:szCs w:val="10"/>
                <w:color w:val="auto"/>
                <w:w w:val="91"/>
              </w:rPr>
              <w:t>134.19</w:t>
            </w:r>
          </w:p>
        </w:tc>
        <w:tc>
          <w:tcPr>
            <w:tcW w:w="80" w:type="dxa"/>
            <w:vAlign w:val="bottom"/>
            <w:tcBorders>
              <w:bottom w:val="single" w:sz="8" w:color="E7417A"/>
            </w:tcBorders>
          </w:tcPr>
          <w:p>
            <w:pPr>
              <w:jc w:val="center"/>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E7417A"/>
            </w:tcBorders>
          </w:tcPr>
          <w:p>
            <w:pPr>
              <w:ind w:left="100"/>
              <w:spacing w:after="0" w:line="189"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perscript"/>
              </w:rPr>
              <w:t>$</w:t>
            </w:r>
          </w:p>
        </w:tc>
        <w:tc>
          <w:tcPr>
            <w:tcW w:w="420" w:type="dxa"/>
            <w:vAlign w:val="bottom"/>
            <w:tcBorders>
              <w:bottom w:val="single" w:sz="8" w:color="E7417A"/>
            </w:tcBorders>
          </w:tcPr>
          <w:p>
            <w:pPr>
              <w:jc w:val="right"/>
              <w:ind w:right="51"/>
              <w:spacing w:after="0"/>
              <w:rPr>
                <w:sz w:val="20"/>
                <w:szCs w:val="20"/>
                <w:color w:val="auto"/>
              </w:rPr>
            </w:pPr>
            <w:r>
              <w:rPr>
                <w:rFonts w:ascii="Arial" w:cs="Arial" w:eastAsia="Arial" w:hAnsi="Arial"/>
                <w:sz w:val="10"/>
                <w:szCs w:val="10"/>
                <w:color w:val="auto"/>
                <w:w w:val="97"/>
              </w:rPr>
              <w:t>103.21</w:t>
            </w:r>
          </w:p>
        </w:tc>
        <w:tc>
          <w:tcPr>
            <w:tcW w:w="200" w:type="dxa"/>
            <w:vAlign w:val="bottom"/>
            <w:tcBorders>
              <w:bottom w:val="single" w:sz="8" w:color="E7417A"/>
            </w:tcBorders>
            <w:gridSpan w:val="2"/>
          </w:tcPr>
          <w:p>
            <w:pPr>
              <w:spacing w:after="0" w:line="189" w:lineRule="exact"/>
              <w:rPr>
                <w:sz w:val="20"/>
                <w:szCs w:val="20"/>
                <w:color w:val="auto"/>
              </w:rPr>
            </w:pPr>
            <w:r>
              <w:rPr>
                <w:rFonts w:ascii="Arial" w:cs="Arial" w:eastAsia="Arial" w:hAnsi="Arial"/>
                <w:sz w:val="10"/>
                <w:szCs w:val="10"/>
                <w:color w:val="auto"/>
              </w:rPr>
              <w:t>​​ ​</w:t>
            </w:r>
            <w:r>
              <w:rPr>
                <w:rFonts w:ascii="Arial" w:cs="Arial" w:eastAsia="Arial" w:hAnsi="Arial"/>
                <w:sz w:val="19"/>
                <w:szCs w:val="19"/>
                <w:color w:val="auto"/>
                <w:vertAlign w:val="superscript"/>
              </w:rPr>
              <w:t>$</w:t>
            </w:r>
          </w:p>
        </w:tc>
        <w:tc>
          <w:tcPr>
            <w:tcW w:w="560" w:type="dxa"/>
            <w:vAlign w:val="bottom"/>
            <w:tcBorders>
              <w:bottom w:val="single" w:sz="8" w:color="E7417A"/>
            </w:tcBorders>
          </w:tcPr>
          <w:p>
            <w:pPr>
              <w:jc w:val="right"/>
              <w:ind w:right="11"/>
              <w:spacing w:after="0" w:line="189" w:lineRule="exact"/>
              <w:rPr>
                <w:sz w:val="20"/>
                <w:szCs w:val="20"/>
                <w:color w:val="auto"/>
              </w:rPr>
            </w:pPr>
            <w:r>
              <w:rPr>
                <w:rFonts w:ascii="Arial" w:cs="Arial" w:eastAsia="Arial" w:hAnsi="Arial"/>
                <w:sz w:val="10"/>
                <w:szCs w:val="10"/>
                <w:color w:val="auto"/>
              </w:rPr>
              <w:t>(54,235)</w:t>
            </w:r>
            <w:r>
              <w:rPr>
                <w:rFonts w:ascii="Arial" w:cs="Arial" w:eastAsia="Arial" w:hAnsi="Arial"/>
                <w:sz w:val="19"/>
                <w:szCs w:val="19"/>
                <w:b w:val="1"/>
                <w:bCs w:val="1"/>
                <w:color w:val="auto"/>
                <w:vertAlign w:val="subscript"/>
              </w:rPr>
              <w:t>​</w:t>
            </w:r>
            <w:r>
              <w:rPr>
                <w:rFonts w:ascii="Arial" w:cs="Arial" w:eastAsia="Arial" w:hAnsi="Arial"/>
                <w:sz w:val="19"/>
                <w:szCs w:val="19"/>
                <w:color w:val="auto"/>
                <w:vertAlign w:val="subscript"/>
              </w:rPr>
              <w:t>​</w:t>
            </w:r>
          </w:p>
        </w:tc>
        <w:tc>
          <w:tcPr>
            <w:tcW w:w="560" w:type="dxa"/>
            <w:vAlign w:val="bottom"/>
            <w:tcBorders>
              <w:bottom w:val="single" w:sz="8" w:color="E7417A"/>
            </w:tcBorders>
          </w:tcPr>
          <w:p>
            <w:pPr>
              <w:jc w:val="center"/>
              <w:spacing w:after="0" w:line="189"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$ 834</w:t>
            </w:r>
          </w:p>
        </w:tc>
        <w:tc>
          <w:tcPr>
            <w:tcW w:w="160" w:type="dxa"/>
            <w:vAlign w:val="bottom"/>
            <w:tcBorders>
              <w:bottom w:val="single" w:sz="8" w:color="E7417A"/>
            </w:tcBorders>
          </w:tcPr>
          <w:p>
            <w:pPr>
              <w:ind w:lef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3"/>
        </w:trPr>
        <w:tc>
          <w:tcPr>
            <w:tcW w:w="40" w:type="dxa"/>
            <w:vAlign w:val="bottom"/>
            <w:tcBorders>
              <w:bottom w:val="single" w:sz="8" w:color="E7417A"/>
            </w:tcBorders>
          </w:tcPr>
          <w:p>
            <w:pPr>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E7417A"/>
            </w:tcBorders>
          </w:tcPr>
          <w:p>
            <w:pPr>
              <w:jc w:val="right"/>
              <w:ind w:right="91"/>
              <w:spacing w:after="0"/>
              <w:rPr>
                <w:sz w:val="20"/>
                <w:szCs w:val="20"/>
                <w:color w:val="auto"/>
              </w:rPr>
            </w:pPr>
            <w:r>
              <w:rPr>
                <w:rFonts w:ascii="Arial" w:cs="Arial" w:eastAsia="Arial" w:hAnsi="Arial"/>
                <w:sz w:val="10"/>
                <w:szCs w:val="10"/>
                <w:color w:val="auto"/>
              </w:rPr>
              <w:t>2023</w:t>
            </w:r>
          </w:p>
        </w:tc>
        <w:tc>
          <w:tcPr>
            <w:tcW w:w="140" w:type="dxa"/>
            <w:vAlign w:val="bottom"/>
            <w:tcBorders>
              <w:bottom w:val="single" w:sz="8" w:color="E7417A"/>
            </w:tcBorders>
          </w:tcPr>
          <w:p>
            <w:pPr>
              <w:ind w:left="6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E7417A"/>
            </w:tcBorders>
          </w:tcPr>
          <w:p>
            <w:pPr>
              <w:ind w:left="80"/>
              <w:spacing w:after="0" w:line="183"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perscript"/>
              </w:rPr>
              <w:t>$</w:t>
            </w:r>
          </w:p>
        </w:tc>
        <w:tc>
          <w:tcPr>
            <w:tcW w:w="48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w w:val="94"/>
              </w:rPr>
              <w:t>2,698,394</w:t>
            </w:r>
          </w:p>
        </w:tc>
        <w:tc>
          <w:tcPr>
            <w:tcW w:w="16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E7417A"/>
            </w:tcBorders>
          </w:tcPr>
          <w:p>
            <w:pPr>
              <w:ind w:left="20"/>
              <w:spacing w:after="0" w:line="183"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perscript"/>
              </w:rPr>
              <w:t>$</w:t>
            </w:r>
          </w:p>
        </w:tc>
        <w:tc>
          <w:tcPr>
            <w:tcW w:w="56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1,944,504</w:t>
            </w:r>
          </w:p>
        </w:tc>
        <w:tc>
          <w:tcPr>
            <w:tcW w:w="160" w:type="dxa"/>
            <w:vAlign w:val="bottom"/>
            <w:tcBorders>
              <w:bottom w:val="single" w:sz="8" w:color="E7417A"/>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E7417A"/>
            </w:tcBorders>
          </w:tcPr>
          <w:p>
            <w:pPr>
              <w:ind w:left="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E7417A"/>
            </w:tcBorders>
          </w:tcPr>
          <w:p>
            <w:pPr>
              <w:ind w:left="40"/>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E7417A"/>
            </w:tcBorders>
          </w:tcPr>
          <w:p>
            <w:pPr>
              <w:ind w:left="6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E7417A"/>
            </w:tcBorders>
          </w:tcPr>
          <w:p>
            <w:pPr>
              <w:ind w:left="20"/>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E7417A"/>
            </w:tcBorders>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E7417A"/>
            </w:tcBorders>
          </w:tcPr>
          <w:p>
            <w:pPr>
              <w:ind w:left="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E7417A"/>
            </w:tcBorders>
          </w:tcPr>
          <w:p>
            <w:pPr>
              <w:ind w:left="4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E7417A"/>
            </w:tcBorders>
          </w:tcPr>
          <w:p>
            <w:pPr>
              <w:jc w:val="right"/>
              <w:ind w:right="5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E7417A"/>
            </w:tcBorders>
          </w:tcPr>
          <w:p>
            <w:pPr>
              <w:ind w:left="8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E7417A"/>
            </w:tcBorders>
          </w:tcPr>
          <w:p>
            <w:pPr>
              <w:ind w:left="4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E7417A"/>
            </w:tcBorders>
          </w:tcPr>
          <w:p>
            <w:pPr>
              <w:jc w:val="right"/>
              <w:ind w:right="5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E7417A"/>
            </w:tcBorders>
          </w:tcPr>
          <w:p>
            <w:pPr>
              <w:jc w:val="center"/>
              <w:spacing w:after="0" w:line="183"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$ 1,666,851</w:t>
            </w:r>
          </w:p>
        </w:tc>
        <w:tc>
          <w:tcPr>
            <w:tcW w:w="10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E7417A"/>
            </w:tcBorders>
          </w:tcPr>
          <w:p>
            <w:pPr>
              <w:ind w:left="80"/>
              <w:spacing w:after="0" w:line="183"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perscript"/>
              </w:rPr>
              <w:t>$</w:t>
            </w:r>
          </w:p>
        </w:tc>
        <w:tc>
          <w:tcPr>
            <w:tcW w:w="540" w:type="dxa"/>
            <w:vAlign w:val="bottom"/>
            <w:tcBorders>
              <w:bottom w:val="single" w:sz="8" w:color="E7417A"/>
            </w:tcBorders>
          </w:tcPr>
          <w:p>
            <w:pPr>
              <w:jc w:val="right"/>
              <w:ind w:right="31"/>
              <w:spacing w:after="0"/>
              <w:rPr>
                <w:sz w:val="20"/>
                <w:szCs w:val="20"/>
                <w:color w:val="auto"/>
              </w:rPr>
            </w:pPr>
            <w:r>
              <w:rPr>
                <w:rFonts w:ascii="Arial" w:cs="Arial" w:eastAsia="Arial" w:hAnsi="Arial"/>
                <w:sz w:val="10"/>
                <w:szCs w:val="10"/>
                <w:color w:val="auto"/>
                <w:w w:val="98"/>
              </w:rPr>
              <w:t>1,040,387</w:t>
            </w:r>
          </w:p>
        </w:tc>
        <w:tc>
          <w:tcPr>
            <w:tcW w:w="100" w:type="dxa"/>
            <w:vAlign w:val="bottom"/>
            <w:tcBorders>
              <w:bottom w:val="single" w:sz="8" w:color="E7417A"/>
            </w:tcBorders>
            <w:gridSpan w:val="3"/>
          </w:tcPr>
          <w:p>
            <w:pPr>
              <w:jc w:val="right"/>
              <w:ind w:right="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E7417A"/>
            </w:tcBorders>
          </w:tcPr>
          <w:p>
            <w:pPr>
              <w:ind w:left="80"/>
              <w:spacing w:after="0" w:line="183"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perscript"/>
              </w:rPr>
              <w:t>$</w:t>
            </w:r>
          </w:p>
        </w:tc>
        <w:tc>
          <w:tcPr>
            <w:tcW w:w="420" w:type="dxa"/>
            <w:vAlign w:val="bottom"/>
            <w:tcBorders>
              <w:bottom w:val="single" w:sz="8" w:color="E7417A"/>
            </w:tcBorders>
          </w:tcPr>
          <w:p>
            <w:pPr>
              <w:jc w:val="right"/>
              <w:ind w:right="71"/>
              <w:spacing w:after="0"/>
              <w:rPr>
                <w:sz w:val="20"/>
                <w:szCs w:val="20"/>
                <w:color w:val="auto"/>
              </w:rPr>
            </w:pPr>
            <w:r>
              <w:rPr>
                <w:rFonts w:ascii="Arial" w:cs="Arial" w:eastAsia="Arial" w:hAnsi="Arial"/>
                <w:sz w:val="10"/>
                <w:szCs w:val="10"/>
                <w:color w:val="auto"/>
              </w:rPr>
              <w:t>93.55</w:t>
            </w:r>
          </w:p>
        </w:tc>
        <w:tc>
          <w:tcPr>
            <w:tcW w:w="80" w:type="dxa"/>
            <w:vAlign w:val="bottom"/>
            <w:tcBorders>
              <w:bottom w:val="single" w:sz="8" w:color="E7417A"/>
            </w:tcBorders>
          </w:tcPr>
          <w:p>
            <w:pPr>
              <w:jc w:val="center"/>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E7417A"/>
            </w:tcBorders>
          </w:tcPr>
          <w:p>
            <w:pPr>
              <w:ind w:left="100"/>
              <w:spacing w:after="0" w:line="183"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perscript"/>
              </w:rPr>
              <w:t>$</w:t>
            </w:r>
          </w:p>
        </w:tc>
        <w:tc>
          <w:tcPr>
            <w:tcW w:w="420" w:type="dxa"/>
            <w:vAlign w:val="bottom"/>
            <w:tcBorders>
              <w:bottom w:val="single" w:sz="8" w:color="E7417A"/>
            </w:tcBorders>
          </w:tcPr>
          <w:p>
            <w:pPr>
              <w:jc w:val="right"/>
              <w:ind w:right="51"/>
              <w:spacing w:after="0"/>
              <w:rPr>
                <w:sz w:val="20"/>
                <w:szCs w:val="20"/>
                <w:color w:val="auto"/>
              </w:rPr>
            </w:pPr>
            <w:r>
              <w:rPr>
                <w:rFonts w:ascii="Arial" w:cs="Arial" w:eastAsia="Arial" w:hAnsi="Arial"/>
                <w:sz w:val="10"/>
                <w:szCs w:val="10"/>
                <w:color w:val="auto"/>
              </w:rPr>
              <w:t>90.96</w:t>
            </w:r>
          </w:p>
        </w:tc>
        <w:tc>
          <w:tcPr>
            <w:tcW w:w="200" w:type="dxa"/>
            <w:vAlign w:val="bottom"/>
            <w:tcBorders>
              <w:bottom w:val="single" w:sz="8" w:color="E7417A"/>
            </w:tcBorders>
            <w:gridSpan w:val="2"/>
          </w:tcPr>
          <w:p>
            <w:pPr>
              <w:spacing w:after="0" w:line="183" w:lineRule="exact"/>
              <w:rPr>
                <w:sz w:val="20"/>
                <w:szCs w:val="20"/>
                <w:color w:val="auto"/>
              </w:rPr>
            </w:pPr>
            <w:r>
              <w:rPr>
                <w:rFonts w:ascii="Arial" w:cs="Arial" w:eastAsia="Arial" w:hAnsi="Arial"/>
                <w:sz w:val="10"/>
                <w:szCs w:val="10"/>
                <w:color w:val="auto"/>
              </w:rPr>
              <w:t>​​ ​</w:t>
            </w:r>
            <w:r>
              <w:rPr>
                <w:rFonts w:ascii="Arial" w:cs="Arial" w:eastAsia="Arial" w:hAnsi="Arial"/>
                <w:sz w:val="19"/>
                <w:szCs w:val="19"/>
                <w:color w:val="auto"/>
                <w:vertAlign w:val="superscript"/>
              </w:rPr>
              <w:t>$</w:t>
            </w:r>
          </w:p>
        </w:tc>
        <w:tc>
          <w:tcPr>
            <w:tcW w:w="560" w:type="dxa"/>
            <w:vAlign w:val="bottom"/>
            <w:tcBorders>
              <w:bottom w:val="single" w:sz="8" w:color="E7417A"/>
            </w:tcBorders>
          </w:tcPr>
          <w:p>
            <w:pPr>
              <w:jc w:val="right"/>
              <w:ind w:right="11"/>
              <w:spacing w:after="0" w:line="183" w:lineRule="exact"/>
              <w:rPr>
                <w:sz w:val="20"/>
                <w:szCs w:val="20"/>
                <w:color w:val="auto"/>
              </w:rPr>
            </w:pPr>
            <w:r>
              <w:rPr>
                <w:rFonts w:ascii="Arial" w:cs="Arial" w:eastAsia="Arial" w:hAnsi="Arial"/>
                <w:sz w:val="10"/>
                <w:szCs w:val="10"/>
                <w:color w:val="auto"/>
              </w:rPr>
              <w:t>(66,206)</w:t>
            </w:r>
            <w:r>
              <w:rPr>
                <w:rFonts w:ascii="Arial" w:cs="Arial" w:eastAsia="Arial" w:hAnsi="Arial"/>
                <w:sz w:val="19"/>
                <w:szCs w:val="19"/>
                <w:b w:val="1"/>
                <w:bCs w:val="1"/>
                <w:color w:val="auto"/>
                <w:vertAlign w:val="subscript"/>
              </w:rPr>
              <w:t>​</w:t>
            </w:r>
            <w:r>
              <w:rPr>
                <w:rFonts w:ascii="Arial" w:cs="Arial" w:eastAsia="Arial" w:hAnsi="Arial"/>
                <w:sz w:val="19"/>
                <w:szCs w:val="19"/>
                <w:color w:val="auto"/>
                <w:vertAlign w:val="subscript"/>
              </w:rPr>
              <w:t>​</w:t>
            </w:r>
          </w:p>
        </w:tc>
        <w:tc>
          <w:tcPr>
            <w:tcW w:w="560" w:type="dxa"/>
            <w:vAlign w:val="bottom"/>
            <w:tcBorders>
              <w:bottom w:val="single" w:sz="8" w:color="E7417A"/>
            </w:tcBorders>
          </w:tcPr>
          <w:p>
            <w:pPr>
              <w:jc w:val="center"/>
              <w:spacing w:after="0" w:line="183"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$ 826</w:t>
            </w:r>
          </w:p>
        </w:tc>
        <w:tc>
          <w:tcPr>
            <w:tcW w:w="160" w:type="dxa"/>
            <w:vAlign w:val="bottom"/>
            <w:tcBorders>
              <w:bottom w:val="single" w:sz="8" w:color="E7417A"/>
            </w:tcBorders>
          </w:tcPr>
          <w:p>
            <w:pPr>
              <w:ind w:lef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3"/>
        </w:trPr>
        <w:tc>
          <w:tcPr>
            <w:tcW w:w="40" w:type="dxa"/>
            <w:vAlign w:val="bottom"/>
            <w:tcBorders>
              <w:bottom w:val="single" w:sz="8" w:color="E7417A"/>
            </w:tcBorders>
          </w:tcPr>
          <w:p>
            <w:pPr>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E7417A"/>
            </w:tcBorders>
          </w:tcPr>
          <w:p>
            <w:pPr>
              <w:jc w:val="right"/>
              <w:ind w:right="91"/>
              <w:spacing w:after="0"/>
              <w:rPr>
                <w:sz w:val="20"/>
                <w:szCs w:val="20"/>
                <w:color w:val="auto"/>
              </w:rPr>
            </w:pPr>
            <w:r>
              <w:rPr>
                <w:rFonts w:ascii="Arial" w:cs="Arial" w:eastAsia="Arial" w:hAnsi="Arial"/>
                <w:sz w:val="10"/>
                <w:szCs w:val="10"/>
                <w:color w:val="auto"/>
              </w:rPr>
              <w:t>2022</w:t>
            </w:r>
          </w:p>
        </w:tc>
        <w:tc>
          <w:tcPr>
            <w:tcW w:w="140" w:type="dxa"/>
            <w:vAlign w:val="bottom"/>
            <w:tcBorders>
              <w:bottom w:val="single" w:sz="8" w:color="E7417A"/>
            </w:tcBorders>
          </w:tcPr>
          <w:p>
            <w:pPr>
              <w:ind w:left="6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E7417A"/>
            </w:tcBorders>
          </w:tcPr>
          <w:p>
            <w:pPr>
              <w:ind w:left="80"/>
              <w:spacing w:after="0" w:line="183"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perscript"/>
              </w:rPr>
              <w:t>$</w:t>
            </w:r>
          </w:p>
        </w:tc>
        <w:tc>
          <w:tcPr>
            <w:tcW w:w="48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w w:val="94"/>
              </w:rPr>
              <w:t>1,534,506</w:t>
            </w:r>
          </w:p>
        </w:tc>
        <w:tc>
          <w:tcPr>
            <w:tcW w:w="16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E7417A"/>
            </w:tcBorders>
          </w:tcPr>
          <w:p>
            <w:pPr>
              <w:ind w:left="20"/>
              <w:spacing w:after="0" w:line="183"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perscript"/>
              </w:rPr>
              <w:t>$</w:t>
            </w:r>
          </w:p>
        </w:tc>
        <w:tc>
          <w:tcPr>
            <w:tcW w:w="720" w:type="dxa"/>
            <w:vAlign w:val="bottom"/>
            <w:tcBorders>
              <w:bottom w:val="single" w:sz="8" w:color="E7417A"/>
            </w:tcBorders>
            <w:gridSpan w:val="2"/>
          </w:tcPr>
          <w:p>
            <w:pPr>
              <w:jc w:val="right"/>
              <w:ind w:right="11"/>
              <w:spacing w:after="0" w:line="183" w:lineRule="exact"/>
              <w:rPr>
                <w:sz w:val="20"/>
                <w:szCs w:val="20"/>
                <w:color w:val="auto"/>
              </w:rPr>
            </w:pPr>
            <w:r>
              <w:rPr>
                <w:rFonts w:ascii="Arial" w:cs="Arial" w:eastAsia="Arial" w:hAnsi="Arial"/>
                <w:sz w:val="10"/>
                <w:szCs w:val="10"/>
                <w:color w:val="auto"/>
              </w:rPr>
              <w:t xml:space="preserve">(6,504,331) </w:t>
            </w:r>
            <w:r>
              <w:rPr>
                <w:rFonts w:ascii="Arial" w:cs="Arial" w:eastAsia="Arial" w:hAnsi="Arial"/>
                <w:sz w:val="19"/>
                <w:szCs w:val="19"/>
                <w:color w:val="auto"/>
                <w:vertAlign w:val="subscript"/>
              </w:rPr>
              <w:t>​​​</w:t>
            </w:r>
          </w:p>
        </w:tc>
        <w:tc>
          <w:tcPr>
            <w:tcW w:w="80" w:type="dxa"/>
            <w:vAlign w:val="bottom"/>
            <w:tcBorders>
              <w:bottom w:val="single" w:sz="8" w:color="E7417A"/>
            </w:tcBorders>
          </w:tcPr>
          <w:p>
            <w:pPr>
              <w:ind w:left="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E7417A"/>
            </w:tcBorders>
          </w:tcPr>
          <w:p>
            <w:pPr>
              <w:ind w:left="40"/>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E7417A"/>
            </w:tcBorders>
          </w:tcPr>
          <w:p>
            <w:pPr>
              <w:ind w:left="6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E7417A"/>
            </w:tcBorders>
          </w:tcPr>
          <w:p>
            <w:pPr>
              <w:ind w:left="20"/>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E7417A"/>
            </w:tcBorders>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E7417A"/>
            </w:tcBorders>
          </w:tcPr>
          <w:p>
            <w:pPr>
              <w:ind w:left="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E7417A"/>
            </w:tcBorders>
          </w:tcPr>
          <w:p>
            <w:pPr>
              <w:ind w:left="4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E7417A"/>
            </w:tcBorders>
          </w:tcPr>
          <w:p>
            <w:pPr>
              <w:jc w:val="right"/>
              <w:ind w:right="5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E7417A"/>
            </w:tcBorders>
          </w:tcPr>
          <w:p>
            <w:pPr>
              <w:ind w:left="8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E7417A"/>
            </w:tcBorders>
          </w:tcPr>
          <w:p>
            <w:pPr>
              <w:ind w:left="4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E7417A"/>
            </w:tcBorders>
          </w:tcPr>
          <w:p>
            <w:pPr>
              <w:jc w:val="right"/>
              <w:ind w:right="5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E7417A"/>
            </w:tcBorders>
          </w:tcPr>
          <w:p>
            <w:pPr>
              <w:jc w:val="center"/>
              <w:spacing w:after="0" w:line="183"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$ 1,759,789</w:t>
            </w:r>
          </w:p>
        </w:tc>
        <w:tc>
          <w:tcPr>
            <w:tcW w:w="10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E7417A"/>
            </w:tcBorders>
          </w:tcPr>
          <w:p>
            <w:pPr>
              <w:ind w:left="80"/>
              <w:spacing w:after="0" w:line="183"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perscript"/>
              </w:rPr>
              <w:t>$</w:t>
            </w:r>
          </w:p>
        </w:tc>
        <w:tc>
          <w:tcPr>
            <w:tcW w:w="540" w:type="dxa"/>
            <w:vAlign w:val="bottom"/>
            <w:tcBorders>
              <w:bottom w:val="single" w:sz="8" w:color="E7417A"/>
            </w:tcBorders>
          </w:tcPr>
          <w:p>
            <w:pPr>
              <w:jc w:val="right"/>
              <w:ind w:right="31"/>
              <w:spacing w:after="0"/>
              <w:rPr>
                <w:sz w:val="20"/>
                <w:szCs w:val="20"/>
                <w:color w:val="auto"/>
              </w:rPr>
            </w:pPr>
            <w:r>
              <w:rPr>
                <w:rFonts w:ascii="Arial" w:cs="Arial" w:eastAsia="Arial" w:hAnsi="Arial"/>
                <w:sz w:val="10"/>
                <w:szCs w:val="10"/>
                <w:color w:val="auto"/>
              </w:rPr>
              <w:t>352,253</w:t>
            </w:r>
          </w:p>
        </w:tc>
        <w:tc>
          <w:tcPr>
            <w:tcW w:w="100" w:type="dxa"/>
            <w:vAlign w:val="bottom"/>
            <w:tcBorders>
              <w:bottom w:val="single" w:sz="8" w:color="E7417A"/>
            </w:tcBorders>
            <w:gridSpan w:val="3"/>
          </w:tcPr>
          <w:p>
            <w:pPr>
              <w:jc w:val="right"/>
              <w:ind w:right="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E7417A"/>
            </w:tcBorders>
          </w:tcPr>
          <w:p>
            <w:pPr>
              <w:ind w:left="80"/>
              <w:spacing w:after="0" w:line="183"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perscript"/>
              </w:rPr>
              <w:t>$</w:t>
            </w:r>
          </w:p>
        </w:tc>
        <w:tc>
          <w:tcPr>
            <w:tcW w:w="420" w:type="dxa"/>
            <w:vAlign w:val="bottom"/>
            <w:tcBorders>
              <w:bottom w:val="single" w:sz="8" w:color="E7417A"/>
            </w:tcBorders>
          </w:tcPr>
          <w:p>
            <w:pPr>
              <w:jc w:val="right"/>
              <w:ind w:right="71"/>
              <w:spacing w:after="0"/>
              <w:rPr>
                <w:sz w:val="20"/>
                <w:szCs w:val="20"/>
                <w:color w:val="auto"/>
              </w:rPr>
            </w:pPr>
            <w:r>
              <w:rPr>
                <w:rFonts w:ascii="Arial" w:cs="Arial" w:eastAsia="Arial" w:hAnsi="Arial"/>
                <w:sz w:val="10"/>
                <w:szCs w:val="10"/>
                <w:color w:val="auto"/>
              </w:rPr>
              <w:t>90.00</w:t>
            </w:r>
          </w:p>
        </w:tc>
        <w:tc>
          <w:tcPr>
            <w:tcW w:w="80" w:type="dxa"/>
            <w:vAlign w:val="bottom"/>
            <w:tcBorders>
              <w:bottom w:val="single" w:sz="8" w:color="E7417A"/>
            </w:tcBorders>
          </w:tcPr>
          <w:p>
            <w:pPr>
              <w:jc w:val="center"/>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E7417A"/>
            </w:tcBorders>
          </w:tcPr>
          <w:p>
            <w:pPr>
              <w:ind w:left="100"/>
              <w:spacing w:after="0" w:line="183"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perscript"/>
              </w:rPr>
              <w:t>$</w:t>
            </w:r>
          </w:p>
        </w:tc>
        <w:tc>
          <w:tcPr>
            <w:tcW w:w="420" w:type="dxa"/>
            <w:vAlign w:val="bottom"/>
            <w:tcBorders>
              <w:bottom w:val="single" w:sz="8" w:color="E7417A"/>
            </w:tcBorders>
          </w:tcPr>
          <w:p>
            <w:pPr>
              <w:jc w:val="right"/>
              <w:ind w:right="51"/>
              <w:spacing w:after="0"/>
              <w:rPr>
                <w:sz w:val="20"/>
                <w:szCs w:val="20"/>
                <w:color w:val="auto"/>
              </w:rPr>
            </w:pPr>
            <w:r>
              <w:rPr>
                <w:rFonts w:ascii="Arial" w:cs="Arial" w:eastAsia="Arial" w:hAnsi="Arial"/>
                <w:sz w:val="10"/>
                <w:szCs w:val="10"/>
                <w:color w:val="auto"/>
              </w:rPr>
              <w:t>82.21</w:t>
            </w:r>
          </w:p>
        </w:tc>
        <w:tc>
          <w:tcPr>
            <w:tcW w:w="200" w:type="dxa"/>
            <w:vAlign w:val="bottom"/>
            <w:tcBorders>
              <w:bottom w:val="single" w:sz="8" w:color="E7417A"/>
            </w:tcBorders>
            <w:gridSpan w:val="2"/>
          </w:tcPr>
          <w:p>
            <w:pPr>
              <w:spacing w:after="0" w:line="183" w:lineRule="exact"/>
              <w:rPr>
                <w:sz w:val="20"/>
                <w:szCs w:val="20"/>
                <w:color w:val="auto"/>
              </w:rPr>
            </w:pPr>
            <w:r>
              <w:rPr>
                <w:rFonts w:ascii="Arial" w:cs="Arial" w:eastAsia="Arial" w:hAnsi="Arial"/>
                <w:sz w:val="10"/>
                <w:szCs w:val="10"/>
                <w:color w:val="auto"/>
              </w:rPr>
              <w:t>​​ ​</w:t>
            </w:r>
            <w:r>
              <w:rPr>
                <w:rFonts w:ascii="Arial" w:cs="Arial" w:eastAsia="Arial" w:hAnsi="Arial"/>
                <w:sz w:val="19"/>
                <w:szCs w:val="19"/>
                <w:color w:val="auto"/>
                <w:vertAlign w:val="superscript"/>
              </w:rPr>
              <w:t>$</w:t>
            </w:r>
          </w:p>
        </w:tc>
        <w:tc>
          <w:tcPr>
            <w:tcW w:w="560" w:type="dxa"/>
            <w:vAlign w:val="bottom"/>
            <w:tcBorders>
              <w:bottom w:val="single" w:sz="8" w:color="E7417A"/>
            </w:tcBorders>
          </w:tcPr>
          <w:p>
            <w:pPr>
              <w:jc w:val="right"/>
              <w:ind w:right="11"/>
              <w:spacing w:after="0" w:line="183" w:lineRule="exact"/>
              <w:rPr>
                <w:sz w:val="20"/>
                <w:szCs w:val="20"/>
                <w:color w:val="auto"/>
              </w:rPr>
            </w:pPr>
            <w:r>
              <w:rPr>
                <w:rFonts w:ascii="Arial" w:cs="Arial" w:eastAsia="Arial" w:hAnsi="Arial"/>
                <w:sz w:val="10"/>
                <w:szCs w:val="10"/>
                <w:color w:val="auto"/>
              </w:rPr>
              <w:t>(98,083)</w:t>
            </w:r>
            <w:r>
              <w:rPr>
                <w:rFonts w:ascii="Arial" w:cs="Arial" w:eastAsia="Arial" w:hAnsi="Arial"/>
                <w:sz w:val="19"/>
                <w:szCs w:val="19"/>
                <w:b w:val="1"/>
                <w:bCs w:val="1"/>
                <w:color w:val="auto"/>
                <w:vertAlign w:val="subscript"/>
              </w:rPr>
              <w:t>​</w:t>
            </w:r>
            <w:r>
              <w:rPr>
                <w:rFonts w:ascii="Arial" w:cs="Arial" w:eastAsia="Arial" w:hAnsi="Arial"/>
                <w:sz w:val="19"/>
                <w:szCs w:val="19"/>
                <w:color w:val="auto"/>
                <w:vertAlign w:val="subscript"/>
              </w:rPr>
              <w:t>​</w:t>
            </w:r>
          </w:p>
        </w:tc>
        <w:tc>
          <w:tcPr>
            <w:tcW w:w="560" w:type="dxa"/>
            <w:vAlign w:val="bottom"/>
            <w:tcBorders>
              <w:bottom w:val="single" w:sz="8" w:color="E7417A"/>
            </w:tcBorders>
          </w:tcPr>
          <w:p>
            <w:pPr>
              <w:jc w:val="center"/>
              <w:spacing w:after="0" w:line="183"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$ 820</w:t>
            </w:r>
          </w:p>
        </w:tc>
        <w:tc>
          <w:tcPr>
            <w:tcW w:w="160" w:type="dxa"/>
            <w:vAlign w:val="bottom"/>
            <w:tcBorders>
              <w:bottom w:val="single" w:sz="8" w:color="E7417A"/>
            </w:tcBorders>
          </w:tcPr>
          <w:p>
            <w:pPr>
              <w:ind w:lef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3"/>
        </w:trPr>
        <w:tc>
          <w:tcPr>
            <w:tcW w:w="40" w:type="dxa"/>
            <w:vAlign w:val="bottom"/>
            <w:tcBorders>
              <w:bottom w:val="single" w:sz="8" w:color="E7417A"/>
            </w:tcBorders>
          </w:tcPr>
          <w:p>
            <w:pPr>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E7417A"/>
            </w:tcBorders>
          </w:tcPr>
          <w:p>
            <w:pPr>
              <w:jc w:val="right"/>
              <w:ind w:right="91"/>
              <w:spacing w:after="0"/>
              <w:rPr>
                <w:sz w:val="20"/>
                <w:szCs w:val="20"/>
                <w:color w:val="auto"/>
              </w:rPr>
            </w:pPr>
            <w:r>
              <w:rPr>
                <w:rFonts w:ascii="Arial" w:cs="Arial" w:eastAsia="Arial" w:hAnsi="Arial"/>
                <w:sz w:val="10"/>
                <w:szCs w:val="10"/>
                <w:color w:val="auto"/>
              </w:rPr>
              <w:t>2021</w:t>
            </w:r>
          </w:p>
        </w:tc>
        <w:tc>
          <w:tcPr>
            <w:tcW w:w="140" w:type="dxa"/>
            <w:vAlign w:val="bottom"/>
            <w:tcBorders>
              <w:bottom w:val="single" w:sz="8" w:color="E7417A"/>
            </w:tcBorders>
          </w:tcPr>
          <w:p>
            <w:pPr>
              <w:ind w:left="6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E7417A"/>
            </w:tcBorders>
          </w:tcPr>
          <w:p>
            <w:pPr>
              <w:ind w:left="80"/>
              <w:spacing w:after="0" w:line="183"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perscript"/>
              </w:rPr>
              <w:t>$</w:t>
            </w:r>
          </w:p>
        </w:tc>
        <w:tc>
          <w:tcPr>
            <w:tcW w:w="48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781,423</w:t>
            </w:r>
          </w:p>
        </w:tc>
        <w:tc>
          <w:tcPr>
            <w:tcW w:w="16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E7417A"/>
            </w:tcBorders>
          </w:tcPr>
          <w:p>
            <w:pPr>
              <w:ind w:left="20"/>
              <w:spacing w:after="0" w:line="183"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perscript"/>
              </w:rPr>
              <w:t>$</w:t>
            </w:r>
          </w:p>
        </w:tc>
        <w:tc>
          <w:tcPr>
            <w:tcW w:w="56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2,879,477</w:t>
            </w:r>
          </w:p>
        </w:tc>
        <w:tc>
          <w:tcPr>
            <w:tcW w:w="160" w:type="dxa"/>
            <w:vAlign w:val="bottom"/>
            <w:tcBorders>
              <w:bottom w:val="single" w:sz="8" w:color="E7417A"/>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E7417A"/>
            </w:tcBorders>
          </w:tcPr>
          <w:p>
            <w:pPr>
              <w:ind w:left="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E7417A"/>
            </w:tcBorders>
          </w:tcPr>
          <w:p>
            <w:pPr>
              <w:ind w:left="40"/>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E7417A"/>
            </w:tcBorders>
          </w:tcPr>
          <w:p>
            <w:pPr>
              <w:ind w:left="6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E7417A"/>
            </w:tcBorders>
          </w:tcPr>
          <w:p>
            <w:pPr>
              <w:ind w:left="20"/>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E7417A"/>
            </w:tcBorders>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E7417A"/>
            </w:tcBorders>
          </w:tcPr>
          <w:p>
            <w:pPr>
              <w:ind w:left="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E7417A"/>
            </w:tcBorders>
          </w:tcPr>
          <w:p>
            <w:pPr>
              <w:ind w:left="4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E7417A"/>
            </w:tcBorders>
          </w:tcPr>
          <w:p>
            <w:pPr>
              <w:jc w:val="right"/>
              <w:ind w:right="5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E7417A"/>
            </w:tcBorders>
          </w:tcPr>
          <w:p>
            <w:pPr>
              <w:ind w:left="8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E7417A"/>
            </w:tcBorders>
          </w:tcPr>
          <w:p>
            <w:pPr>
              <w:ind w:left="4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E7417A"/>
            </w:tcBorders>
          </w:tcPr>
          <w:p>
            <w:pPr>
              <w:jc w:val="right"/>
              <w:ind w:right="5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E7417A"/>
            </w:tcBorders>
          </w:tcPr>
          <w:p>
            <w:pPr>
              <w:jc w:val="center"/>
              <w:spacing w:after="0" w:line="183"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$ 1,667,845</w:t>
            </w:r>
          </w:p>
        </w:tc>
        <w:tc>
          <w:tcPr>
            <w:tcW w:w="100" w:type="dxa"/>
            <w:vAlign w:val="bottom"/>
            <w:tcBorders>
              <w:bottom w:val="single" w:sz="8" w:color="E7417A"/>
            </w:tcBorders>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E7417A"/>
            </w:tcBorders>
          </w:tcPr>
          <w:p>
            <w:pPr>
              <w:ind w:left="80"/>
              <w:spacing w:after="0" w:line="183"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perscript"/>
              </w:rPr>
              <w:t>$</w:t>
            </w:r>
          </w:p>
        </w:tc>
        <w:tc>
          <w:tcPr>
            <w:tcW w:w="540" w:type="dxa"/>
            <w:vAlign w:val="bottom"/>
            <w:tcBorders>
              <w:bottom w:val="single" w:sz="8" w:color="E7417A"/>
            </w:tcBorders>
          </w:tcPr>
          <w:p>
            <w:pPr>
              <w:jc w:val="right"/>
              <w:ind w:right="31"/>
              <w:spacing w:after="0"/>
              <w:rPr>
                <w:sz w:val="20"/>
                <w:szCs w:val="20"/>
                <w:color w:val="auto"/>
              </w:rPr>
            </w:pPr>
            <w:r>
              <w:rPr>
                <w:rFonts w:ascii="Arial" w:cs="Arial" w:eastAsia="Arial" w:hAnsi="Arial"/>
                <w:sz w:val="10"/>
                <w:szCs w:val="10"/>
                <w:color w:val="auto"/>
                <w:w w:val="98"/>
              </w:rPr>
              <w:t>1,461,408</w:t>
            </w:r>
          </w:p>
        </w:tc>
        <w:tc>
          <w:tcPr>
            <w:tcW w:w="100" w:type="dxa"/>
            <w:vAlign w:val="bottom"/>
            <w:tcBorders>
              <w:bottom w:val="single" w:sz="8" w:color="E7417A"/>
            </w:tcBorders>
            <w:gridSpan w:val="3"/>
          </w:tcPr>
          <w:p>
            <w:pPr>
              <w:jc w:val="right"/>
              <w:ind w:right="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E7417A"/>
            </w:tcBorders>
          </w:tcPr>
          <w:p>
            <w:pPr>
              <w:ind w:left="80"/>
              <w:spacing w:after="0" w:line="183"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perscript"/>
              </w:rPr>
              <w:t>$</w:t>
            </w:r>
          </w:p>
        </w:tc>
        <w:tc>
          <w:tcPr>
            <w:tcW w:w="420" w:type="dxa"/>
            <w:vAlign w:val="bottom"/>
            <w:tcBorders>
              <w:bottom w:val="single" w:sz="8" w:color="E7417A"/>
            </w:tcBorders>
          </w:tcPr>
          <w:p>
            <w:pPr>
              <w:jc w:val="right"/>
              <w:ind w:right="71"/>
              <w:spacing w:after="0"/>
              <w:rPr>
                <w:sz w:val="20"/>
                <w:szCs w:val="20"/>
                <w:color w:val="auto"/>
              </w:rPr>
            </w:pPr>
            <w:r>
              <w:rPr>
                <w:rFonts w:ascii="Arial" w:cs="Arial" w:eastAsia="Arial" w:hAnsi="Arial"/>
                <w:sz w:val="10"/>
                <w:szCs w:val="10"/>
                <w:color w:val="auto"/>
                <w:w w:val="91"/>
              </w:rPr>
              <w:t>195.16</w:t>
            </w:r>
          </w:p>
        </w:tc>
        <w:tc>
          <w:tcPr>
            <w:tcW w:w="80" w:type="dxa"/>
            <w:vAlign w:val="bottom"/>
            <w:tcBorders>
              <w:bottom w:val="single" w:sz="8" w:color="E7417A"/>
            </w:tcBorders>
          </w:tcPr>
          <w:p>
            <w:pPr>
              <w:jc w:val="center"/>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E7417A"/>
            </w:tcBorders>
          </w:tcPr>
          <w:p>
            <w:pPr>
              <w:ind w:left="100"/>
              <w:spacing w:after="0" w:line="183"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perscript"/>
              </w:rPr>
              <w:t>$</w:t>
            </w:r>
          </w:p>
        </w:tc>
        <w:tc>
          <w:tcPr>
            <w:tcW w:w="420" w:type="dxa"/>
            <w:vAlign w:val="bottom"/>
            <w:tcBorders>
              <w:bottom w:val="single" w:sz="8" w:color="E7417A"/>
            </w:tcBorders>
          </w:tcPr>
          <w:p>
            <w:pPr>
              <w:jc w:val="right"/>
              <w:ind w:right="51"/>
              <w:spacing w:after="0"/>
              <w:rPr>
                <w:sz w:val="20"/>
                <w:szCs w:val="20"/>
                <w:color w:val="auto"/>
              </w:rPr>
            </w:pPr>
            <w:r>
              <w:rPr>
                <w:rFonts w:ascii="Arial" w:cs="Arial" w:eastAsia="Arial" w:hAnsi="Arial"/>
                <w:sz w:val="10"/>
                <w:szCs w:val="10"/>
                <w:color w:val="auto"/>
                <w:w w:val="97"/>
              </w:rPr>
              <w:t>112.44</w:t>
            </w:r>
          </w:p>
        </w:tc>
        <w:tc>
          <w:tcPr>
            <w:tcW w:w="200" w:type="dxa"/>
            <w:vAlign w:val="bottom"/>
            <w:tcBorders>
              <w:bottom w:val="single" w:sz="8" w:color="E7417A"/>
            </w:tcBorders>
            <w:gridSpan w:val="2"/>
          </w:tcPr>
          <w:p>
            <w:pPr>
              <w:spacing w:after="0" w:line="183" w:lineRule="exact"/>
              <w:rPr>
                <w:sz w:val="20"/>
                <w:szCs w:val="20"/>
                <w:color w:val="auto"/>
              </w:rPr>
            </w:pPr>
            <w:r>
              <w:rPr>
                <w:rFonts w:ascii="Arial" w:cs="Arial" w:eastAsia="Arial" w:hAnsi="Arial"/>
                <w:sz w:val="10"/>
                <w:szCs w:val="10"/>
                <w:color w:val="auto"/>
              </w:rPr>
              <w:t>​​ ​</w:t>
            </w:r>
            <w:r>
              <w:rPr>
                <w:rFonts w:ascii="Arial" w:cs="Arial" w:eastAsia="Arial" w:hAnsi="Arial"/>
                <w:sz w:val="19"/>
                <w:szCs w:val="19"/>
                <w:color w:val="auto"/>
                <w:vertAlign w:val="superscript"/>
              </w:rPr>
              <w:t>$</w:t>
            </w:r>
          </w:p>
        </w:tc>
        <w:tc>
          <w:tcPr>
            <w:tcW w:w="560" w:type="dxa"/>
            <w:vAlign w:val="bottom"/>
            <w:tcBorders>
              <w:bottom w:val="single" w:sz="8" w:color="E7417A"/>
            </w:tcBorders>
          </w:tcPr>
          <w:p>
            <w:pPr>
              <w:jc w:val="right"/>
              <w:ind w:right="11"/>
              <w:spacing w:after="0" w:line="183" w:lineRule="exact"/>
              <w:rPr>
                <w:sz w:val="20"/>
                <w:szCs w:val="20"/>
                <w:color w:val="auto"/>
              </w:rPr>
            </w:pPr>
            <w:r>
              <w:rPr>
                <w:rFonts w:ascii="Arial" w:cs="Arial" w:eastAsia="Arial" w:hAnsi="Arial"/>
                <w:sz w:val="10"/>
                <w:szCs w:val="10"/>
                <w:color w:val="auto"/>
              </w:rPr>
              <w:t>(177,185)</w:t>
            </w:r>
            <w:r>
              <w:rPr>
                <w:rFonts w:ascii="Arial" w:cs="Arial" w:eastAsia="Arial" w:hAnsi="Arial"/>
                <w:sz w:val="19"/>
                <w:szCs w:val="19"/>
                <w:b w:val="1"/>
                <w:bCs w:val="1"/>
                <w:color w:val="auto"/>
                <w:vertAlign w:val="subscript"/>
              </w:rPr>
              <w:t>​</w:t>
            </w:r>
            <w:r>
              <w:rPr>
                <w:rFonts w:ascii="Arial" w:cs="Arial" w:eastAsia="Arial" w:hAnsi="Arial"/>
                <w:sz w:val="19"/>
                <w:szCs w:val="19"/>
                <w:color w:val="auto"/>
                <w:vertAlign w:val="subscript"/>
              </w:rPr>
              <w:t>​</w:t>
            </w:r>
          </w:p>
        </w:tc>
        <w:tc>
          <w:tcPr>
            <w:tcW w:w="560" w:type="dxa"/>
            <w:vAlign w:val="bottom"/>
            <w:tcBorders>
              <w:bottom w:val="single" w:sz="8" w:color="E7417A"/>
            </w:tcBorders>
          </w:tcPr>
          <w:p>
            <w:pPr>
              <w:jc w:val="center"/>
              <w:spacing w:after="0" w:line="183"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$ 845</w:t>
            </w:r>
          </w:p>
        </w:tc>
        <w:tc>
          <w:tcPr>
            <w:tcW w:w="160" w:type="dxa"/>
            <w:vAlign w:val="bottom"/>
            <w:tcBorders>
              <w:bottom w:val="single" w:sz="8" w:color="E7417A"/>
            </w:tcBorders>
          </w:tcPr>
          <w:p>
            <w:pPr>
              <w:ind w:lef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3"/>
        </w:trPr>
        <w:tc>
          <w:tcPr>
            <w:tcW w:w="40" w:type="dxa"/>
            <w:vAlign w:val="bottom"/>
            <w:tcBorders>
              <w:bottom w:val="single" w:sz="8" w:color="62259D"/>
            </w:tcBorders>
          </w:tcPr>
          <w:p>
            <w:pPr>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62259D"/>
            </w:tcBorders>
          </w:tcPr>
          <w:p>
            <w:pPr>
              <w:jc w:val="right"/>
              <w:ind w:right="91"/>
              <w:spacing w:after="0"/>
              <w:rPr>
                <w:sz w:val="20"/>
                <w:szCs w:val="20"/>
                <w:color w:val="auto"/>
              </w:rPr>
            </w:pPr>
            <w:r>
              <w:rPr>
                <w:rFonts w:ascii="Arial" w:cs="Arial" w:eastAsia="Arial" w:hAnsi="Arial"/>
                <w:sz w:val="10"/>
                <w:szCs w:val="10"/>
                <w:color w:val="auto"/>
              </w:rPr>
              <w:t>2020</w:t>
            </w:r>
          </w:p>
        </w:tc>
        <w:tc>
          <w:tcPr>
            <w:tcW w:w="140" w:type="dxa"/>
            <w:vAlign w:val="bottom"/>
            <w:tcBorders>
              <w:bottom w:val="single" w:sz="8" w:color="62259D"/>
            </w:tcBorders>
          </w:tcPr>
          <w:p>
            <w:pPr>
              <w:ind w:left="6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62259D"/>
            </w:tcBorders>
          </w:tcPr>
          <w:p>
            <w:pPr>
              <w:ind w:left="80"/>
              <w:spacing w:after="0" w:line="183"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perscript"/>
              </w:rPr>
              <w:t>$</w:t>
            </w:r>
          </w:p>
        </w:tc>
        <w:tc>
          <w:tcPr>
            <w:tcW w:w="480" w:type="dxa"/>
            <w:vAlign w:val="bottom"/>
            <w:tcBorders>
              <w:bottom w:val="single" w:sz="8" w:color="62259D"/>
            </w:tcBorders>
          </w:tcPr>
          <w:p>
            <w:pPr>
              <w:jc w:val="right"/>
              <w:spacing w:after="0"/>
              <w:rPr>
                <w:sz w:val="20"/>
                <w:szCs w:val="20"/>
                <w:color w:val="auto"/>
              </w:rPr>
            </w:pPr>
            <w:r>
              <w:rPr>
                <w:rFonts w:ascii="Arial" w:cs="Arial" w:eastAsia="Arial" w:hAnsi="Arial"/>
                <w:sz w:val="10"/>
                <w:szCs w:val="10"/>
                <w:color w:val="auto"/>
                <w:w w:val="94"/>
              </w:rPr>
              <w:t>4,922,249</w:t>
            </w:r>
          </w:p>
        </w:tc>
        <w:tc>
          <w:tcPr>
            <w:tcW w:w="160" w:type="dxa"/>
            <w:vAlign w:val="bottom"/>
            <w:tcBorders>
              <w:bottom w:val="single" w:sz="8" w:color="62259D"/>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62259D"/>
            </w:tcBorders>
          </w:tcPr>
          <w:p>
            <w:pPr>
              <w:ind w:left="20"/>
              <w:spacing w:after="0" w:line="183"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perscript"/>
              </w:rPr>
              <w:t>$</w:t>
            </w:r>
          </w:p>
        </w:tc>
        <w:tc>
          <w:tcPr>
            <w:tcW w:w="560" w:type="dxa"/>
            <w:vAlign w:val="bottom"/>
            <w:tcBorders>
              <w:bottom w:val="single" w:sz="8" w:color="62259D"/>
            </w:tcBorders>
          </w:tcPr>
          <w:p>
            <w:pPr>
              <w:jc w:val="right"/>
              <w:spacing w:after="0"/>
              <w:rPr>
                <w:sz w:val="20"/>
                <w:szCs w:val="20"/>
                <w:color w:val="auto"/>
              </w:rPr>
            </w:pPr>
            <w:r>
              <w:rPr>
                <w:rFonts w:ascii="Arial" w:cs="Arial" w:eastAsia="Arial" w:hAnsi="Arial"/>
                <w:sz w:val="10"/>
                <w:szCs w:val="10"/>
                <w:color w:val="auto"/>
                <w:w w:val="99"/>
              </w:rPr>
              <w:t>23,030,777</w:t>
            </w:r>
          </w:p>
        </w:tc>
        <w:tc>
          <w:tcPr>
            <w:tcW w:w="160" w:type="dxa"/>
            <w:vAlign w:val="bottom"/>
            <w:tcBorders>
              <w:bottom w:val="single" w:sz="8" w:color="62259D"/>
            </w:tcBorders>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62259D"/>
            </w:tcBorders>
            <w:gridSpan w:val="3"/>
          </w:tcPr>
          <w:p>
            <w:pPr>
              <w:jc w:val="right"/>
              <w:spacing w:after="0" w:line="183"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$ 1,684,310</w:t>
            </w:r>
          </w:p>
        </w:tc>
        <w:tc>
          <w:tcPr>
            <w:tcW w:w="160" w:type="dxa"/>
            <w:vAlign w:val="bottom"/>
            <w:tcBorders>
              <w:bottom w:val="single" w:sz="8" w:color="62259D"/>
            </w:tcBorders>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62259D"/>
            </w:tcBorders>
            <w:gridSpan w:val="3"/>
          </w:tcPr>
          <w:p>
            <w:pPr>
              <w:jc w:val="right"/>
              <w:ind w:right="11"/>
              <w:spacing w:after="0" w:line="183"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$ 3,389,048</w:t>
            </w:r>
          </w:p>
        </w:tc>
        <w:tc>
          <w:tcPr>
            <w:tcW w:w="160" w:type="dxa"/>
            <w:vAlign w:val="bottom"/>
            <w:tcBorders>
              <w:bottom w:val="single" w:sz="8" w:color="62259D"/>
            </w:tcBorders>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62259D"/>
            </w:tcBorders>
            <w:gridSpan w:val="3"/>
          </w:tcPr>
          <w:p>
            <w:pPr>
              <w:jc w:val="right"/>
              <w:ind w:right="51"/>
              <w:spacing w:after="0" w:line="183"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$ 1,706,056</w:t>
            </w:r>
          </w:p>
        </w:tc>
        <w:tc>
          <w:tcPr>
            <w:tcW w:w="80" w:type="dxa"/>
            <w:vAlign w:val="bottom"/>
            <w:tcBorders>
              <w:bottom w:val="single" w:sz="8" w:color="62259D"/>
            </w:tcBorders>
          </w:tcPr>
          <w:p>
            <w:pPr>
              <w:jc w:val="right"/>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62259D"/>
            </w:tcBorders>
            <w:gridSpan w:val="3"/>
          </w:tcPr>
          <w:p>
            <w:pPr>
              <w:jc w:val="right"/>
              <w:ind w:right="51"/>
              <w:spacing w:after="0" w:line="183"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$ 1,734,278</w:t>
            </w:r>
          </w:p>
        </w:tc>
        <w:tc>
          <w:tcPr>
            <w:tcW w:w="80" w:type="dxa"/>
            <w:vAlign w:val="bottom"/>
            <w:tcBorders>
              <w:bottom w:val="single" w:sz="8" w:color="62259D"/>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62259D"/>
            </w:tcBorders>
          </w:tcPr>
          <w:p>
            <w:pPr>
              <w:jc w:val="center"/>
              <w:spacing w:after="0" w:line="183"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$ 1,807,140</w:t>
            </w:r>
          </w:p>
        </w:tc>
        <w:tc>
          <w:tcPr>
            <w:tcW w:w="100" w:type="dxa"/>
            <w:vAlign w:val="bottom"/>
            <w:tcBorders>
              <w:bottom w:val="single" w:sz="8" w:color="62259D"/>
            </w:tcBorders>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62259D"/>
            </w:tcBorders>
          </w:tcPr>
          <w:p>
            <w:pPr>
              <w:ind w:left="80"/>
              <w:spacing w:after="0" w:line="183"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perscript"/>
              </w:rPr>
              <w:t>$</w:t>
            </w:r>
          </w:p>
        </w:tc>
        <w:tc>
          <w:tcPr>
            <w:tcW w:w="540" w:type="dxa"/>
            <w:vAlign w:val="bottom"/>
            <w:tcBorders>
              <w:bottom w:val="single" w:sz="8" w:color="62259D"/>
            </w:tcBorders>
          </w:tcPr>
          <w:p>
            <w:pPr>
              <w:jc w:val="right"/>
              <w:ind w:right="31"/>
              <w:spacing w:after="0"/>
              <w:rPr>
                <w:sz w:val="20"/>
                <w:szCs w:val="20"/>
                <w:color w:val="auto"/>
              </w:rPr>
            </w:pPr>
            <w:r>
              <w:rPr>
                <w:rFonts w:ascii="Arial" w:cs="Arial" w:eastAsia="Arial" w:hAnsi="Arial"/>
                <w:sz w:val="10"/>
                <w:szCs w:val="10"/>
                <w:color w:val="auto"/>
                <w:w w:val="98"/>
              </w:rPr>
              <w:t>2,487,383</w:t>
            </w:r>
          </w:p>
        </w:tc>
        <w:tc>
          <w:tcPr>
            <w:tcW w:w="100" w:type="dxa"/>
            <w:vAlign w:val="bottom"/>
            <w:tcBorders>
              <w:bottom w:val="single" w:sz="8" w:color="62259D"/>
            </w:tcBorders>
            <w:gridSpan w:val="3"/>
          </w:tcPr>
          <w:p>
            <w:pPr>
              <w:jc w:val="right"/>
              <w:ind w:right="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62259D"/>
            </w:tcBorders>
          </w:tcPr>
          <w:p>
            <w:pPr>
              <w:ind w:left="80"/>
              <w:spacing w:after="0" w:line="183"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perscript"/>
              </w:rPr>
              <w:t>$</w:t>
            </w:r>
          </w:p>
        </w:tc>
        <w:tc>
          <w:tcPr>
            <w:tcW w:w="420" w:type="dxa"/>
            <w:vAlign w:val="bottom"/>
            <w:tcBorders>
              <w:bottom w:val="single" w:sz="8" w:color="62259D"/>
            </w:tcBorders>
          </w:tcPr>
          <w:p>
            <w:pPr>
              <w:jc w:val="right"/>
              <w:ind w:right="71"/>
              <w:spacing w:after="0"/>
              <w:rPr>
                <w:sz w:val="20"/>
                <w:szCs w:val="20"/>
                <w:color w:val="auto"/>
              </w:rPr>
            </w:pPr>
            <w:r>
              <w:rPr>
                <w:rFonts w:ascii="Arial" w:cs="Arial" w:eastAsia="Arial" w:hAnsi="Arial"/>
                <w:sz w:val="10"/>
                <w:szCs w:val="10"/>
                <w:color w:val="auto"/>
                <w:w w:val="91"/>
              </w:rPr>
              <w:t>211.61</w:t>
            </w:r>
          </w:p>
        </w:tc>
        <w:tc>
          <w:tcPr>
            <w:tcW w:w="80" w:type="dxa"/>
            <w:vAlign w:val="bottom"/>
            <w:tcBorders>
              <w:bottom w:val="single" w:sz="8" w:color="62259D"/>
            </w:tcBorders>
          </w:tcPr>
          <w:p>
            <w:pPr>
              <w:jc w:val="center"/>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62259D"/>
            </w:tcBorders>
          </w:tcPr>
          <w:p>
            <w:pPr>
              <w:ind w:left="100"/>
              <w:spacing w:after="0" w:line="183"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perscript"/>
              </w:rPr>
              <w:t>$</w:t>
            </w:r>
          </w:p>
        </w:tc>
        <w:tc>
          <w:tcPr>
            <w:tcW w:w="420" w:type="dxa"/>
            <w:vAlign w:val="bottom"/>
            <w:tcBorders>
              <w:bottom w:val="single" w:sz="8" w:color="62259D"/>
            </w:tcBorders>
          </w:tcPr>
          <w:p>
            <w:pPr>
              <w:jc w:val="right"/>
              <w:ind w:right="51"/>
              <w:spacing w:after="0"/>
              <w:rPr>
                <w:sz w:val="20"/>
                <w:szCs w:val="20"/>
                <w:color w:val="auto"/>
              </w:rPr>
            </w:pPr>
            <w:r>
              <w:rPr>
                <w:rFonts w:ascii="Arial" w:cs="Arial" w:eastAsia="Arial" w:hAnsi="Arial"/>
                <w:sz w:val="10"/>
                <w:szCs w:val="10"/>
                <w:color w:val="auto"/>
                <w:w w:val="97"/>
              </w:rPr>
              <w:t>110.08</w:t>
            </w:r>
          </w:p>
        </w:tc>
        <w:tc>
          <w:tcPr>
            <w:tcW w:w="200" w:type="dxa"/>
            <w:vAlign w:val="bottom"/>
            <w:tcBorders>
              <w:bottom w:val="single" w:sz="8" w:color="62259D"/>
            </w:tcBorders>
            <w:gridSpan w:val="2"/>
          </w:tcPr>
          <w:p>
            <w:pPr>
              <w:spacing w:after="0" w:line="183" w:lineRule="exact"/>
              <w:rPr>
                <w:sz w:val="20"/>
                <w:szCs w:val="20"/>
                <w:color w:val="auto"/>
              </w:rPr>
            </w:pPr>
            <w:r>
              <w:rPr>
                <w:rFonts w:ascii="Arial" w:cs="Arial" w:eastAsia="Arial" w:hAnsi="Arial"/>
                <w:sz w:val="10"/>
                <w:szCs w:val="10"/>
                <w:color w:val="auto"/>
              </w:rPr>
              <w:t>​​ ​</w:t>
            </w:r>
            <w:r>
              <w:rPr>
                <w:rFonts w:ascii="Arial" w:cs="Arial" w:eastAsia="Arial" w:hAnsi="Arial"/>
                <w:sz w:val="19"/>
                <w:szCs w:val="19"/>
                <w:color w:val="auto"/>
                <w:vertAlign w:val="superscript"/>
              </w:rPr>
              <w:t>$</w:t>
            </w:r>
          </w:p>
        </w:tc>
        <w:tc>
          <w:tcPr>
            <w:tcW w:w="560" w:type="dxa"/>
            <w:vAlign w:val="bottom"/>
            <w:tcBorders>
              <w:bottom w:val="single" w:sz="8" w:color="62259D"/>
            </w:tcBorders>
          </w:tcPr>
          <w:p>
            <w:pPr>
              <w:jc w:val="right"/>
              <w:ind w:right="11"/>
              <w:spacing w:after="0" w:line="183" w:lineRule="exact"/>
              <w:rPr>
                <w:sz w:val="20"/>
                <w:szCs w:val="20"/>
                <w:color w:val="auto"/>
              </w:rPr>
            </w:pPr>
            <w:r>
              <w:rPr>
                <w:rFonts w:ascii="Arial" w:cs="Arial" w:eastAsia="Arial" w:hAnsi="Arial"/>
                <w:sz w:val="10"/>
                <w:szCs w:val="10"/>
                <w:color w:val="auto"/>
              </w:rPr>
              <w:t xml:space="preserve">88,591 </w:t>
            </w:r>
            <w:r>
              <w:rPr>
                <w:rFonts w:ascii="Arial" w:cs="Arial" w:eastAsia="Arial" w:hAnsi="Arial"/>
                <w:sz w:val="19"/>
                <w:szCs w:val="19"/>
                <w:b w:val="1"/>
                <w:bCs w:val="1"/>
                <w:color w:val="auto"/>
                <w:vertAlign w:val="subscript"/>
              </w:rPr>
              <w:t>​</w:t>
            </w:r>
            <w:r>
              <w:rPr>
                <w:rFonts w:ascii="Arial" w:cs="Arial" w:eastAsia="Arial" w:hAnsi="Arial"/>
                <w:sz w:val="19"/>
                <w:szCs w:val="19"/>
                <w:color w:val="auto"/>
                <w:vertAlign w:val="subscript"/>
              </w:rPr>
              <w:t>​</w:t>
            </w:r>
          </w:p>
        </w:tc>
        <w:tc>
          <w:tcPr>
            <w:tcW w:w="560" w:type="dxa"/>
            <w:vAlign w:val="bottom"/>
            <w:tcBorders>
              <w:bottom w:val="single" w:sz="8" w:color="62259D"/>
            </w:tcBorders>
          </w:tcPr>
          <w:p>
            <w:pPr>
              <w:jc w:val="center"/>
              <w:spacing w:after="0" w:line="183"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$ 844</w:t>
            </w:r>
          </w:p>
        </w:tc>
        <w:tc>
          <w:tcPr>
            <w:tcW w:w="160" w:type="dxa"/>
            <w:vAlign w:val="bottom"/>
            <w:tcBorders>
              <w:bottom w:val="single" w:sz="8" w:color="62259D"/>
            </w:tcBorders>
          </w:tcPr>
          <w:p>
            <w:pPr>
              <w:ind w:lef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400" w:right="700" w:hanging="368"/>
        <w:spacing w:after="0" w:line="283" w:lineRule="auto"/>
        <w:tabs>
          <w:tab w:leader="none" w:pos="14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Principal Executive Officer(s) (“PEO”) and other named executive officers (“Other NEOs”) for each applicable year are: 2024 — PEO #1: Bruce McClelland. Other NEOs: John Townsend; Sam Bucci; Patrick Macken; Dan Redington and Miguel Lopez.</w:t>
      </w:r>
    </w:p>
    <w:p>
      <w:pPr>
        <w:spacing w:after="0" w:line="147" w:lineRule="exact"/>
        <w:rPr>
          <w:rFonts w:ascii="Arial" w:cs="Arial" w:eastAsia="Arial" w:hAnsi="Arial"/>
          <w:sz w:val="14"/>
          <w:szCs w:val="14"/>
          <w:color w:val="auto"/>
        </w:rPr>
      </w:pPr>
    </w:p>
    <w:p>
      <w:pPr>
        <w:ind w:left="1400"/>
        <w:spacing w:after="0"/>
        <w:rPr>
          <w:rFonts w:ascii="Arial" w:cs="Arial" w:eastAsia="Arial" w:hAnsi="Arial"/>
          <w:sz w:val="14"/>
          <w:szCs w:val="14"/>
          <w:color w:val="auto"/>
        </w:rPr>
      </w:pPr>
      <w:r>
        <w:rPr>
          <w:rFonts w:ascii="Arial" w:cs="Arial" w:eastAsia="Arial" w:hAnsi="Arial"/>
          <w:sz w:val="14"/>
          <w:szCs w:val="14"/>
          <w:color w:val="auto"/>
        </w:rPr>
        <w:t>2023 —  PEO #1: Bruce McClelland. Other NEOs: Mick Lopez; Sam Bucci; Patrick Macken and Dan Redington.</w:t>
      </w:r>
    </w:p>
    <w:p>
      <w:pPr>
        <w:spacing w:after="0" w:line="14" w:lineRule="exact"/>
        <w:rPr>
          <w:rFonts w:ascii="Arial" w:cs="Arial" w:eastAsia="Arial" w:hAnsi="Arial"/>
          <w:sz w:val="14"/>
          <w:szCs w:val="14"/>
          <w:color w:val="auto"/>
        </w:rPr>
      </w:pPr>
    </w:p>
    <w:p>
      <w:pPr>
        <w:ind w:left="1400"/>
        <w:spacing w:after="0"/>
        <w:rPr>
          <w:rFonts w:ascii="Arial" w:cs="Arial" w:eastAsia="Arial" w:hAnsi="Arial"/>
          <w:sz w:val="14"/>
          <w:szCs w:val="14"/>
          <w:color w:val="auto"/>
        </w:rPr>
      </w:pPr>
      <w:r>
        <w:rPr>
          <w:rFonts w:ascii="Arial" w:cs="Arial" w:eastAsia="Arial" w:hAnsi="Arial"/>
          <w:sz w:val="14"/>
          <w:szCs w:val="14"/>
          <w:color w:val="auto"/>
        </w:rPr>
        <w:t>2022 — PEO #1: Bruce McClelland. Other NEOs: Mick Lopez; Sam Bucci; Patrick Macken and Tony Scarfo.</w:t>
      </w:r>
    </w:p>
    <w:p>
      <w:pPr>
        <w:spacing w:after="0" w:line="1" w:lineRule="exact"/>
        <w:rPr>
          <w:rFonts w:ascii="Arial" w:cs="Arial" w:eastAsia="Arial" w:hAnsi="Arial"/>
          <w:sz w:val="14"/>
          <w:szCs w:val="14"/>
          <w:color w:val="auto"/>
        </w:rPr>
      </w:pPr>
    </w:p>
    <w:p>
      <w:pPr>
        <w:ind w:left="1400"/>
        <w:spacing w:after="0"/>
        <w:rPr>
          <w:rFonts w:ascii="Arial" w:cs="Arial" w:eastAsia="Arial" w:hAnsi="Arial"/>
          <w:sz w:val="14"/>
          <w:szCs w:val="14"/>
          <w:color w:val="auto"/>
        </w:rPr>
      </w:pPr>
      <w:r>
        <w:rPr>
          <w:rFonts w:ascii="Arial" w:cs="Arial" w:eastAsia="Arial" w:hAnsi="Arial"/>
          <w:sz w:val="14"/>
          <w:szCs w:val="14"/>
          <w:color w:val="auto"/>
        </w:rPr>
        <w:t>2021 — PEO #1: Bruce McClelland. Other NEOs: Mick Lopez; Sam Bucci; Patrick Macken and Steve McCaffery.</w:t>
      </w:r>
    </w:p>
    <w:p>
      <w:pPr>
        <w:spacing w:after="0" w:line="14" w:lineRule="exact"/>
        <w:rPr>
          <w:rFonts w:ascii="Arial" w:cs="Arial" w:eastAsia="Arial" w:hAnsi="Arial"/>
          <w:sz w:val="14"/>
          <w:szCs w:val="14"/>
          <w:color w:val="auto"/>
        </w:rPr>
      </w:pPr>
    </w:p>
    <w:p>
      <w:pPr>
        <w:ind w:left="1400"/>
        <w:spacing w:after="0"/>
        <w:rPr>
          <w:rFonts w:ascii="Arial" w:cs="Arial" w:eastAsia="Arial" w:hAnsi="Arial"/>
          <w:sz w:val="14"/>
          <w:szCs w:val="14"/>
          <w:color w:val="auto"/>
        </w:rPr>
      </w:pPr>
      <w:r>
        <w:rPr>
          <w:rFonts w:ascii="Arial" w:cs="Arial" w:eastAsia="Arial" w:hAnsi="Arial"/>
          <w:sz w:val="14"/>
          <w:szCs w:val="14"/>
          <w:color w:val="auto"/>
        </w:rPr>
        <w:t>2020 — PEO #1: Bruce McClelland. PEO #2: Steven Bruny (served as Co-CEO until March 2020 but continued to serve as an</w:t>
      </w:r>
    </w:p>
    <w:p>
      <w:pPr>
        <w:spacing w:after="0" w:line="14" w:lineRule="exact"/>
        <w:rPr>
          <w:rFonts w:ascii="Arial" w:cs="Arial" w:eastAsia="Arial" w:hAnsi="Arial"/>
          <w:sz w:val="14"/>
          <w:szCs w:val="14"/>
          <w:color w:val="auto"/>
        </w:rPr>
      </w:pPr>
    </w:p>
    <w:p>
      <w:pPr>
        <w:ind w:left="1400"/>
        <w:spacing w:after="0"/>
        <w:rPr>
          <w:rFonts w:ascii="Arial" w:cs="Arial" w:eastAsia="Arial" w:hAnsi="Arial"/>
          <w:sz w:val="14"/>
          <w:szCs w:val="14"/>
          <w:color w:val="auto"/>
        </w:rPr>
      </w:pPr>
      <w:r>
        <w:rPr>
          <w:rFonts w:ascii="Arial" w:cs="Arial" w:eastAsia="Arial" w:hAnsi="Arial"/>
          <w:sz w:val="14"/>
          <w:szCs w:val="14"/>
          <w:color w:val="auto"/>
        </w:rPr>
        <w:t>NEO for remainder of 2020). PEO #3: Kevin Riley (served as Co-CEO until March 2020 but continued to serve as an NEO for</w:t>
      </w:r>
    </w:p>
    <w:p>
      <w:pPr>
        <w:spacing w:after="0" w:line="1" w:lineRule="exact"/>
        <w:rPr>
          <w:rFonts w:ascii="Arial" w:cs="Arial" w:eastAsia="Arial" w:hAnsi="Arial"/>
          <w:sz w:val="14"/>
          <w:szCs w:val="14"/>
          <w:color w:val="auto"/>
        </w:rPr>
      </w:pPr>
    </w:p>
    <w:p>
      <w:pPr>
        <w:ind w:left="1400"/>
        <w:spacing w:after="0"/>
        <w:rPr>
          <w:rFonts w:ascii="Arial" w:cs="Arial" w:eastAsia="Arial" w:hAnsi="Arial"/>
          <w:sz w:val="14"/>
          <w:szCs w:val="14"/>
          <w:color w:val="auto"/>
        </w:rPr>
      </w:pPr>
      <w:r>
        <w:rPr>
          <w:rFonts w:ascii="Arial" w:cs="Arial" w:eastAsia="Arial" w:hAnsi="Arial"/>
          <w:sz w:val="14"/>
          <w:szCs w:val="14"/>
          <w:color w:val="auto"/>
        </w:rPr>
        <w:t>remainder of 2020). Other NEOs: Mick Lopez; Sam Bucci; Patrick Macken, Tony Scarfo, Daryl Raiford and Justin Ferguson.</w:t>
      </w:r>
    </w:p>
    <w:p>
      <w:pPr>
        <w:spacing w:after="0" w:line="68" w:lineRule="exact"/>
        <w:rPr>
          <w:rFonts w:ascii="Arial" w:cs="Arial" w:eastAsia="Arial" w:hAnsi="Arial"/>
          <w:sz w:val="14"/>
          <w:szCs w:val="14"/>
          <w:color w:val="auto"/>
        </w:rPr>
      </w:pPr>
    </w:p>
    <w:p>
      <w:pPr>
        <w:ind w:left="1400" w:right="500" w:hanging="368"/>
        <w:spacing w:after="0" w:line="305" w:lineRule="auto"/>
        <w:tabs>
          <w:tab w:leader="none" w:pos="14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following tables detail the applicable adjustments made, per SEC rules, to the amounts reflected in the total column of the “Summary Compensation Table” to determine “Compensation Actually Paid” for each PEO noted.</w:t>
      </w:r>
    </w:p>
    <w:p>
      <w:pPr>
        <w:sectPr>
          <w:pgSz w:w="11900" w:h="16838" w:orient="portrait"/>
          <w:cols w:equalWidth="0" w:num="1">
            <w:col w:w="10220"/>
          </w:cols>
          <w:pgMar w:left="580" w:top="9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73" w:lineRule="exact"/>
        <w:rPr>
          <w:sz w:val="20"/>
          <w:szCs w:val="20"/>
          <w:color w:val="auto"/>
        </w:rPr>
      </w:pPr>
    </w:p>
    <w:tbl>
      <w:tblPr>
        <w:tblLayout w:type="fixed"/>
        <w:tblInd w:w="1400" w:type="dxa"/>
        <w:tblCellMar>
          <w:top w:w="0" w:type="dxa"/>
          <w:left w:w="0" w:type="dxa"/>
          <w:bottom w:w="0" w:type="dxa"/>
          <w:right w:w="0" w:type="dxa"/>
        </w:tblCellMar>
      </w:tblPr>
      <w:tr>
        <w:trPr>
          <w:trHeight w:val="243"/>
        </w:trPr>
        <w:tc>
          <w:tcPr>
            <w:tcW w:w="40" w:type="dxa"/>
            <w:vAlign w:val="bottom"/>
            <w:shd w:val="clear" w:color="auto" w:fill="62259D"/>
          </w:tcPr>
          <w:p>
            <w:pPr>
              <w:spacing w:after="0"/>
              <w:rPr>
                <w:sz w:val="21"/>
                <w:szCs w:val="21"/>
                <w:color w:val="auto"/>
              </w:rPr>
            </w:pPr>
          </w:p>
        </w:tc>
        <w:tc>
          <w:tcPr>
            <w:tcW w:w="2040" w:type="dxa"/>
            <w:vAlign w:val="bottom"/>
            <w:shd w:val="clear" w:color="auto" w:fill="62259D"/>
          </w:tcPr>
          <w:p>
            <w:pPr>
              <w:spacing w:after="0"/>
              <w:rPr>
                <w:sz w:val="20"/>
                <w:szCs w:val="20"/>
                <w:color w:val="auto"/>
              </w:rPr>
            </w:pPr>
            <w:r>
              <w:rPr>
                <w:rFonts w:ascii="Arial" w:cs="Arial" w:eastAsia="Arial" w:hAnsi="Arial"/>
                <w:sz w:val="14"/>
                <w:szCs w:val="14"/>
                <w:b w:val="1"/>
                <w:bCs w:val="1"/>
                <w:color w:val="FEFEFE"/>
              </w:rPr>
              <w:t>​​</w:t>
            </w:r>
          </w:p>
        </w:tc>
        <w:tc>
          <w:tcPr>
            <w:tcW w:w="280" w:type="dxa"/>
            <w:vAlign w:val="bottom"/>
            <w:gridSpan w:val="2"/>
            <w:shd w:val="clear" w:color="auto" w:fill="62259D"/>
          </w:tcPr>
          <w:p>
            <w:pPr>
              <w:ind w:left="40"/>
              <w:spacing w:after="0"/>
              <w:rPr>
                <w:sz w:val="20"/>
                <w:szCs w:val="20"/>
                <w:color w:val="auto"/>
              </w:rPr>
            </w:pPr>
            <w:r>
              <w:rPr>
                <w:rFonts w:ascii="Arial" w:cs="Arial" w:eastAsia="Arial" w:hAnsi="Arial"/>
                <w:sz w:val="14"/>
                <w:szCs w:val="14"/>
                <w:b w:val="1"/>
                <w:bCs w:val="1"/>
                <w:color w:val="FEFEFE"/>
              </w:rPr>
              <w:t>​​</w:t>
            </w:r>
          </w:p>
        </w:tc>
        <w:tc>
          <w:tcPr>
            <w:tcW w:w="580" w:type="dxa"/>
            <w:vAlign w:val="bottom"/>
            <w:shd w:val="clear" w:color="auto" w:fill="62259D"/>
          </w:tcPr>
          <w:p>
            <w:pPr>
              <w:jc w:val="right"/>
              <w:ind w:right="131"/>
              <w:spacing w:after="0"/>
              <w:rPr>
                <w:sz w:val="20"/>
                <w:szCs w:val="20"/>
                <w:color w:val="auto"/>
              </w:rPr>
            </w:pPr>
            <w:r>
              <w:rPr>
                <w:rFonts w:ascii="Arial" w:cs="Arial" w:eastAsia="Arial" w:hAnsi="Arial"/>
                <w:sz w:val="14"/>
                <w:szCs w:val="14"/>
                <w:b w:val="1"/>
                <w:bCs w:val="1"/>
                <w:color w:val="FEFEFE"/>
              </w:rPr>
              <w:t>2024</w:t>
            </w:r>
          </w:p>
        </w:tc>
        <w:tc>
          <w:tcPr>
            <w:tcW w:w="180" w:type="dxa"/>
            <w:vAlign w:val="bottom"/>
            <w:shd w:val="clear" w:color="auto" w:fill="62259D"/>
          </w:tcPr>
          <w:p>
            <w:pPr>
              <w:jc w:val="center"/>
              <w:ind w:right="6"/>
              <w:spacing w:after="0"/>
              <w:rPr>
                <w:sz w:val="20"/>
                <w:szCs w:val="20"/>
                <w:color w:val="auto"/>
              </w:rPr>
            </w:pPr>
            <w:r>
              <w:rPr>
                <w:rFonts w:ascii="Arial" w:cs="Arial" w:eastAsia="Arial" w:hAnsi="Arial"/>
                <w:sz w:val="14"/>
                <w:szCs w:val="14"/>
                <w:b w:val="1"/>
                <w:bCs w:val="1"/>
                <w:color w:val="FEFEFE"/>
              </w:rPr>
              <w:t>​​</w:t>
            </w:r>
          </w:p>
        </w:tc>
        <w:tc>
          <w:tcPr>
            <w:tcW w:w="80" w:type="dxa"/>
            <w:vAlign w:val="bottom"/>
            <w:shd w:val="clear" w:color="auto" w:fill="62259D"/>
          </w:tcPr>
          <w:p>
            <w:pPr>
              <w:spacing w:after="0"/>
              <w:rPr>
                <w:sz w:val="21"/>
                <w:szCs w:val="21"/>
                <w:color w:val="auto"/>
              </w:rPr>
            </w:pPr>
          </w:p>
        </w:tc>
        <w:tc>
          <w:tcPr>
            <w:tcW w:w="600" w:type="dxa"/>
            <w:vAlign w:val="bottom"/>
            <w:shd w:val="clear" w:color="auto" w:fill="62259D"/>
          </w:tcPr>
          <w:p>
            <w:pPr>
              <w:jc w:val="right"/>
              <w:ind w:right="151"/>
              <w:spacing w:after="0"/>
              <w:rPr>
                <w:sz w:val="20"/>
                <w:szCs w:val="20"/>
                <w:color w:val="auto"/>
              </w:rPr>
            </w:pPr>
            <w:r>
              <w:rPr>
                <w:rFonts w:ascii="Arial" w:cs="Arial" w:eastAsia="Arial" w:hAnsi="Arial"/>
                <w:sz w:val="14"/>
                <w:szCs w:val="14"/>
                <w:b w:val="1"/>
                <w:bCs w:val="1"/>
                <w:color w:val="FEFEFE"/>
              </w:rPr>
              <w:t>2023</w:t>
            </w:r>
          </w:p>
        </w:tc>
        <w:tc>
          <w:tcPr>
            <w:tcW w:w="180" w:type="dxa"/>
            <w:vAlign w:val="bottom"/>
            <w:shd w:val="clear" w:color="auto" w:fill="62259D"/>
          </w:tcPr>
          <w:p>
            <w:pPr>
              <w:jc w:val="center"/>
              <w:ind w:right="2"/>
              <w:spacing w:after="0"/>
              <w:rPr>
                <w:sz w:val="20"/>
                <w:szCs w:val="20"/>
                <w:color w:val="auto"/>
              </w:rPr>
            </w:pPr>
            <w:r>
              <w:rPr>
                <w:rFonts w:ascii="Arial" w:cs="Arial" w:eastAsia="Arial" w:hAnsi="Arial"/>
                <w:sz w:val="14"/>
                <w:szCs w:val="14"/>
                <w:b w:val="1"/>
                <w:bCs w:val="1"/>
                <w:color w:val="FEFEFE"/>
              </w:rPr>
              <w:t>​​</w:t>
            </w:r>
          </w:p>
        </w:tc>
        <w:tc>
          <w:tcPr>
            <w:tcW w:w="40" w:type="dxa"/>
            <w:vAlign w:val="bottom"/>
            <w:shd w:val="clear" w:color="auto" w:fill="62259D"/>
          </w:tcPr>
          <w:p>
            <w:pPr>
              <w:spacing w:after="0"/>
              <w:rPr>
                <w:sz w:val="21"/>
                <w:szCs w:val="21"/>
                <w:color w:val="auto"/>
              </w:rPr>
            </w:pPr>
          </w:p>
        </w:tc>
        <w:tc>
          <w:tcPr>
            <w:tcW w:w="680" w:type="dxa"/>
            <w:vAlign w:val="bottom"/>
            <w:shd w:val="clear" w:color="auto" w:fill="62259D"/>
          </w:tcPr>
          <w:p>
            <w:pPr>
              <w:jc w:val="right"/>
              <w:ind w:right="173"/>
              <w:spacing w:after="0"/>
              <w:rPr>
                <w:sz w:val="20"/>
                <w:szCs w:val="20"/>
                <w:color w:val="auto"/>
              </w:rPr>
            </w:pPr>
            <w:r>
              <w:rPr>
                <w:rFonts w:ascii="Arial" w:cs="Arial" w:eastAsia="Arial" w:hAnsi="Arial"/>
                <w:sz w:val="14"/>
                <w:szCs w:val="14"/>
                <w:b w:val="1"/>
                <w:bCs w:val="1"/>
                <w:color w:val="FEFEFE"/>
              </w:rPr>
              <w:t>2022</w:t>
            </w:r>
          </w:p>
        </w:tc>
        <w:tc>
          <w:tcPr>
            <w:tcW w:w="220" w:type="dxa"/>
            <w:vAlign w:val="bottom"/>
            <w:shd w:val="clear" w:color="auto" w:fill="62259D"/>
          </w:tcPr>
          <w:p>
            <w:pPr>
              <w:jc w:val="right"/>
              <w:ind w:right="69"/>
              <w:spacing w:after="0"/>
              <w:rPr>
                <w:sz w:val="20"/>
                <w:szCs w:val="20"/>
                <w:color w:val="auto"/>
              </w:rPr>
            </w:pPr>
            <w:r>
              <w:rPr>
                <w:rFonts w:ascii="Arial" w:cs="Arial" w:eastAsia="Arial" w:hAnsi="Arial"/>
                <w:sz w:val="14"/>
                <w:szCs w:val="14"/>
                <w:b w:val="1"/>
                <w:bCs w:val="1"/>
                <w:color w:val="FEFEFE"/>
              </w:rPr>
              <w:t>​​</w:t>
            </w:r>
          </w:p>
        </w:tc>
        <w:tc>
          <w:tcPr>
            <w:tcW w:w="660" w:type="dxa"/>
            <w:vAlign w:val="bottom"/>
            <w:shd w:val="clear" w:color="auto" w:fill="62259D"/>
          </w:tcPr>
          <w:p>
            <w:pPr>
              <w:jc w:val="right"/>
              <w:ind w:right="174"/>
              <w:spacing w:after="0"/>
              <w:rPr>
                <w:sz w:val="20"/>
                <w:szCs w:val="20"/>
                <w:color w:val="auto"/>
              </w:rPr>
            </w:pPr>
            <w:r>
              <w:rPr>
                <w:rFonts w:ascii="Arial" w:cs="Arial" w:eastAsia="Arial" w:hAnsi="Arial"/>
                <w:sz w:val="14"/>
                <w:szCs w:val="14"/>
                <w:b w:val="1"/>
                <w:bCs w:val="1"/>
                <w:color w:val="FEFEFE"/>
              </w:rPr>
              <w:t>2021</w:t>
            </w:r>
          </w:p>
        </w:tc>
        <w:tc>
          <w:tcPr>
            <w:tcW w:w="180" w:type="dxa"/>
            <w:vAlign w:val="bottom"/>
            <w:shd w:val="clear" w:color="auto" w:fill="62259D"/>
          </w:tcPr>
          <w:p>
            <w:pPr>
              <w:jc w:val="center"/>
              <w:ind w:right="2"/>
              <w:spacing w:after="0"/>
              <w:rPr>
                <w:sz w:val="20"/>
                <w:szCs w:val="20"/>
                <w:color w:val="auto"/>
              </w:rPr>
            </w:pPr>
            <w:r>
              <w:rPr>
                <w:rFonts w:ascii="Arial" w:cs="Arial" w:eastAsia="Arial" w:hAnsi="Arial"/>
                <w:sz w:val="14"/>
                <w:szCs w:val="14"/>
                <w:b w:val="1"/>
                <w:bCs w:val="1"/>
                <w:color w:val="FEFEFE"/>
              </w:rPr>
              <w:t>​​</w:t>
            </w:r>
          </w:p>
        </w:tc>
        <w:tc>
          <w:tcPr>
            <w:tcW w:w="60" w:type="dxa"/>
            <w:vAlign w:val="bottom"/>
            <w:shd w:val="clear" w:color="auto" w:fill="62259D"/>
          </w:tcPr>
          <w:p>
            <w:pPr>
              <w:spacing w:after="0"/>
              <w:rPr>
                <w:sz w:val="21"/>
                <w:szCs w:val="21"/>
                <w:color w:val="auto"/>
              </w:rPr>
            </w:pPr>
          </w:p>
        </w:tc>
        <w:tc>
          <w:tcPr>
            <w:tcW w:w="700" w:type="dxa"/>
            <w:vAlign w:val="bottom"/>
            <w:shd w:val="clear" w:color="auto" w:fill="62259D"/>
          </w:tcPr>
          <w:p>
            <w:pPr>
              <w:spacing w:after="0"/>
              <w:rPr>
                <w:sz w:val="21"/>
                <w:szCs w:val="21"/>
                <w:color w:val="auto"/>
              </w:rPr>
            </w:pPr>
          </w:p>
        </w:tc>
        <w:tc>
          <w:tcPr>
            <w:tcW w:w="240" w:type="dxa"/>
            <w:vAlign w:val="bottom"/>
            <w:shd w:val="clear" w:color="auto" w:fill="62259D"/>
          </w:tcPr>
          <w:p>
            <w:pPr>
              <w:spacing w:after="0"/>
              <w:rPr>
                <w:sz w:val="21"/>
                <w:szCs w:val="21"/>
                <w:color w:val="auto"/>
              </w:rPr>
            </w:pPr>
          </w:p>
        </w:tc>
        <w:tc>
          <w:tcPr>
            <w:tcW w:w="640" w:type="dxa"/>
            <w:vAlign w:val="bottom"/>
            <w:shd w:val="clear" w:color="auto" w:fill="62259D"/>
          </w:tcPr>
          <w:p>
            <w:pPr>
              <w:jc w:val="right"/>
              <w:ind w:right="192"/>
              <w:spacing w:after="0"/>
              <w:rPr>
                <w:sz w:val="20"/>
                <w:szCs w:val="20"/>
                <w:color w:val="auto"/>
              </w:rPr>
            </w:pPr>
            <w:r>
              <w:rPr>
                <w:rFonts w:ascii="Arial" w:cs="Arial" w:eastAsia="Arial" w:hAnsi="Arial"/>
                <w:sz w:val="14"/>
                <w:szCs w:val="14"/>
                <w:b w:val="1"/>
                <w:bCs w:val="1"/>
                <w:color w:val="FEFEFE"/>
              </w:rPr>
              <w:t>2020</w:t>
            </w:r>
          </w:p>
        </w:tc>
        <w:tc>
          <w:tcPr>
            <w:tcW w:w="200" w:type="dxa"/>
            <w:vAlign w:val="bottom"/>
            <w:shd w:val="clear" w:color="auto" w:fill="62259D"/>
          </w:tcPr>
          <w:p>
            <w:pPr>
              <w:spacing w:after="0"/>
              <w:rPr>
                <w:sz w:val="21"/>
                <w:szCs w:val="21"/>
                <w:color w:val="auto"/>
              </w:rPr>
            </w:pPr>
          </w:p>
        </w:tc>
        <w:tc>
          <w:tcPr>
            <w:tcW w:w="660" w:type="dxa"/>
            <w:vAlign w:val="bottom"/>
            <w:shd w:val="clear" w:color="auto" w:fill="62259D"/>
          </w:tcPr>
          <w:p>
            <w:pPr>
              <w:spacing w:after="0"/>
              <w:rPr>
                <w:sz w:val="21"/>
                <w:szCs w:val="21"/>
                <w:color w:val="auto"/>
              </w:rPr>
            </w:pPr>
          </w:p>
        </w:tc>
        <w:tc>
          <w:tcPr>
            <w:tcW w:w="120" w:type="dxa"/>
            <w:vAlign w:val="bottom"/>
            <w:shd w:val="clear" w:color="auto" w:fill="62259D"/>
          </w:tcPr>
          <w:p>
            <w:pPr>
              <w:jc w:val="right"/>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4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3"/>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PEO #1</w:t>
            </w:r>
          </w:p>
        </w:tc>
        <w:tc>
          <w:tcPr>
            <w:tcW w:w="180" w:type="dxa"/>
            <w:vAlign w:val="bottom"/>
          </w:tcPr>
          <w:p>
            <w:pPr>
              <w:jc w:val="center"/>
              <w:ind w:right="6"/>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51"/>
              <w:spacing w:after="0"/>
              <w:rPr>
                <w:sz w:val="20"/>
                <w:szCs w:val="20"/>
                <w:color w:val="auto"/>
              </w:rPr>
            </w:pPr>
            <w:r>
              <w:rPr>
                <w:rFonts w:ascii="Arial" w:cs="Arial" w:eastAsia="Arial" w:hAnsi="Arial"/>
                <w:sz w:val="14"/>
                <w:szCs w:val="14"/>
                <w:color w:val="auto"/>
              </w:rPr>
              <w:t>PEO #1</w:t>
            </w:r>
          </w:p>
        </w:tc>
        <w:tc>
          <w:tcPr>
            <w:tcW w:w="180" w:type="dxa"/>
            <w:vAlign w:val="bottom"/>
          </w:tcPr>
          <w:p>
            <w:pPr>
              <w:jc w:val="center"/>
              <w:ind w:right="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680" w:type="dxa"/>
            <w:vAlign w:val="bottom"/>
          </w:tcPr>
          <w:p>
            <w:pPr>
              <w:jc w:val="right"/>
              <w:ind w:right="93"/>
              <w:spacing w:after="0"/>
              <w:rPr>
                <w:sz w:val="20"/>
                <w:szCs w:val="20"/>
                <w:color w:val="auto"/>
              </w:rPr>
            </w:pPr>
            <w:r>
              <w:rPr>
                <w:rFonts w:ascii="Arial" w:cs="Arial" w:eastAsia="Arial" w:hAnsi="Arial"/>
                <w:sz w:val="14"/>
                <w:szCs w:val="14"/>
                <w:color w:val="auto"/>
              </w:rPr>
              <w:t>PEO #1</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74"/>
              <w:spacing w:after="0"/>
              <w:rPr>
                <w:sz w:val="20"/>
                <w:szCs w:val="20"/>
                <w:color w:val="auto"/>
              </w:rPr>
            </w:pPr>
            <w:r>
              <w:rPr>
                <w:rFonts w:ascii="Arial" w:cs="Arial" w:eastAsia="Arial" w:hAnsi="Arial"/>
                <w:sz w:val="14"/>
                <w:szCs w:val="14"/>
                <w:color w:val="auto"/>
              </w:rPr>
              <w:t>PEO #1</w:t>
            </w:r>
          </w:p>
        </w:tc>
        <w:tc>
          <w:tcPr>
            <w:tcW w:w="180" w:type="dxa"/>
            <w:vAlign w:val="bottom"/>
          </w:tcPr>
          <w:p>
            <w:pPr>
              <w:jc w:val="center"/>
              <w:ind w:right="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700" w:type="dxa"/>
            <w:vAlign w:val="bottom"/>
          </w:tcPr>
          <w:p>
            <w:pPr>
              <w:jc w:val="center"/>
              <w:ind w:right="73"/>
              <w:spacing w:after="0"/>
              <w:rPr>
                <w:sz w:val="20"/>
                <w:szCs w:val="20"/>
                <w:color w:val="auto"/>
              </w:rPr>
            </w:pPr>
            <w:r>
              <w:rPr>
                <w:rFonts w:ascii="Arial" w:cs="Arial" w:eastAsia="Arial" w:hAnsi="Arial"/>
                <w:sz w:val="14"/>
                <w:szCs w:val="14"/>
                <w:color w:val="auto"/>
              </w:rPr>
              <w:t>PEO #1</w:t>
            </w:r>
          </w:p>
        </w:tc>
        <w:tc>
          <w:tcPr>
            <w:tcW w:w="880" w:type="dxa"/>
            <w:vAlign w:val="bottom"/>
            <w:gridSpan w:val="2"/>
          </w:tcPr>
          <w:p>
            <w:pPr>
              <w:jc w:val="right"/>
              <w:ind w:right="72"/>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PEO #2</w:t>
            </w:r>
          </w:p>
        </w:tc>
        <w:tc>
          <w:tcPr>
            <w:tcW w:w="2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243" w:lineRule="exact"/>
              <w:rPr>
                <w:sz w:val="20"/>
                <w:szCs w:val="20"/>
                <w:color w:val="auto"/>
              </w:rPr>
            </w:pPr>
            <w:r>
              <w:rPr>
                <w:rFonts w:ascii="Arial" w:cs="Arial" w:eastAsia="Arial" w:hAnsi="Arial"/>
                <w:sz w:val="14"/>
                <w:szCs w:val="14"/>
                <w:color w:val="auto"/>
              </w:rPr>
              <w:t xml:space="preserve">PEO #3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040" w:type="dxa"/>
            <w:vAlign w:val="bottom"/>
          </w:tcPr>
          <w:p>
            <w:pPr>
              <w:ind w:left="60"/>
              <w:spacing w:after="0" w:line="160" w:lineRule="exact"/>
              <w:rPr>
                <w:sz w:val="20"/>
                <w:szCs w:val="20"/>
                <w:color w:val="auto"/>
              </w:rPr>
            </w:pPr>
            <w:r>
              <w:rPr>
                <w:rFonts w:ascii="Arial" w:cs="Arial" w:eastAsia="Arial" w:hAnsi="Arial"/>
                <w:sz w:val="14"/>
                <w:szCs w:val="14"/>
                <w:color w:val="auto"/>
              </w:rPr>
              <w:t>Summary Compensation</w:t>
            </w:r>
          </w:p>
        </w:tc>
        <w:tc>
          <w:tcPr>
            <w:tcW w:w="60" w:type="dxa"/>
            <w:vAlign w:val="bottom"/>
          </w:tcPr>
          <w:p>
            <w:pPr>
              <w:spacing w:after="0"/>
              <w:rPr>
                <w:sz w:val="13"/>
                <w:szCs w:val="13"/>
                <w:color w:val="auto"/>
              </w:rPr>
            </w:pPr>
          </w:p>
        </w:tc>
        <w:tc>
          <w:tcPr>
            <w:tcW w:w="220" w:type="dxa"/>
            <w:vAlign w:val="bottom"/>
            <w:tcBorders>
              <w:top w:val="single" w:sz="8" w:color="E7417A"/>
            </w:tcBorders>
          </w:tcPr>
          <w:p>
            <w:pPr>
              <w:spacing w:after="0"/>
              <w:rPr>
                <w:sz w:val="13"/>
                <w:szCs w:val="13"/>
                <w:color w:val="auto"/>
              </w:rPr>
            </w:pPr>
          </w:p>
        </w:tc>
        <w:tc>
          <w:tcPr>
            <w:tcW w:w="580" w:type="dxa"/>
            <w:vAlign w:val="bottom"/>
            <w:tcBorders>
              <w:top w:val="single" w:sz="8" w:color="E7417A"/>
            </w:tcBorders>
          </w:tcPr>
          <w:p>
            <w:pPr>
              <w:spacing w:after="0"/>
              <w:rPr>
                <w:sz w:val="13"/>
                <w:szCs w:val="13"/>
                <w:color w:val="auto"/>
              </w:rPr>
            </w:pPr>
          </w:p>
        </w:tc>
        <w:tc>
          <w:tcPr>
            <w:tcW w:w="180" w:type="dxa"/>
            <w:vAlign w:val="bottom"/>
            <w:tcBorders>
              <w:top w:val="single" w:sz="8" w:color="E7417A"/>
            </w:tcBorders>
          </w:tcPr>
          <w:p>
            <w:pPr>
              <w:spacing w:after="0"/>
              <w:rPr>
                <w:sz w:val="13"/>
                <w:szCs w:val="13"/>
                <w:color w:val="auto"/>
              </w:rPr>
            </w:pPr>
          </w:p>
        </w:tc>
        <w:tc>
          <w:tcPr>
            <w:tcW w:w="80" w:type="dxa"/>
            <w:vAlign w:val="bottom"/>
            <w:tcBorders>
              <w:top w:val="single" w:sz="8" w:color="E7417A"/>
            </w:tcBorders>
          </w:tcPr>
          <w:p>
            <w:pPr>
              <w:spacing w:after="0"/>
              <w:rPr>
                <w:sz w:val="13"/>
                <w:szCs w:val="13"/>
                <w:color w:val="auto"/>
              </w:rPr>
            </w:pPr>
          </w:p>
        </w:tc>
        <w:tc>
          <w:tcPr>
            <w:tcW w:w="600" w:type="dxa"/>
            <w:vAlign w:val="bottom"/>
            <w:tcBorders>
              <w:top w:val="single" w:sz="8" w:color="E7417A"/>
            </w:tcBorders>
          </w:tcPr>
          <w:p>
            <w:pPr>
              <w:spacing w:after="0"/>
              <w:rPr>
                <w:sz w:val="13"/>
                <w:szCs w:val="13"/>
                <w:color w:val="auto"/>
              </w:rPr>
            </w:pPr>
          </w:p>
        </w:tc>
        <w:tc>
          <w:tcPr>
            <w:tcW w:w="180" w:type="dxa"/>
            <w:vAlign w:val="bottom"/>
            <w:tcBorders>
              <w:top w:val="single" w:sz="8" w:color="E7417A"/>
            </w:tcBorders>
          </w:tcPr>
          <w:p>
            <w:pPr>
              <w:spacing w:after="0"/>
              <w:rPr>
                <w:sz w:val="13"/>
                <w:szCs w:val="13"/>
                <w:color w:val="auto"/>
              </w:rPr>
            </w:pPr>
          </w:p>
        </w:tc>
        <w:tc>
          <w:tcPr>
            <w:tcW w:w="40" w:type="dxa"/>
            <w:vAlign w:val="bottom"/>
            <w:tcBorders>
              <w:top w:val="single" w:sz="8" w:color="E7417A"/>
            </w:tcBorders>
          </w:tcPr>
          <w:p>
            <w:pPr>
              <w:spacing w:after="0"/>
              <w:rPr>
                <w:sz w:val="13"/>
                <w:szCs w:val="13"/>
                <w:color w:val="auto"/>
              </w:rPr>
            </w:pPr>
          </w:p>
        </w:tc>
        <w:tc>
          <w:tcPr>
            <w:tcW w:w="680" w:type="dxa"/>
            <w:vAlign w:val="bottom"/>
            <w:tcBorders>
              <w:top w:val="single" w:sz="8" w:color="E7417A"/>
            </w:tcBorders>
          </w:tcPr>
          <w:p>
            <w:pPr>
              <w:spacing w:after="0"/>
              <w:rPr>
                <w:sz w:val="13"/>
                <w:szCs w:val="13"/>
                <w:color w:val="auto"/>
              </w:rPr>
            </w:pPr>
          </w:p>
        </w:tc>
        <w:tc>
          <w:tcPr>
            <w:tcW w:w="220" w:type="dxa"/>
            <w:vAlign w:val="bottom"/>
            <w:tcBorders>
              <w:top w:val="single" w:sz="8" w:color="E7417A"/>
            </w:tcBorders>
          </w:tcPr>
          <w:p>
            <w:pPr>
              <w:spacing w:after="0"/>
              <w:rPr>
                <w:sz w:val="13"/>
                <w:szCs w:val="13"/>
                <w:color w:val="auto"/>
              </w:rPr>
            </w:pPr>
          </w:p>
        </w:tc>
        <w:tc>
          <w:tcPr>
            <w:tcW w:w="660" w:type="dxa"/>
            <w:vAlign w:val="bottom"/>
            <w:tcBorders>
              <w:top w:val="single" w:sz="8" w:color="E7417A"/>
            </w:tcBorders>
          </w:tcPr>
          <w:p>
            <w:pPr>
              <w:spacing w:after="0"/>
              <w:rPr>
                <w:sz w:val="13"/>
                <w:szCs w:val="13"/>
                <w:color w:val="auto"/>
              </w:rPr>
            </w:pPr>
          </w:p>
        </w:tc>
        <w:tc>
          <w:tcPr>
            <w:tcW w:w="180" w:type="dxa"/>
            <w:vAlign w:val="bottom"/>
            <w:tcBorders>
              <w:top w:val="single" w:sz="8" w:color="E7417A"/>
            </w:tcBorders>
          </w:tcPr>
          <w:p>
            <w:pPr>
              <w:spacing w:after="0"/>
              <w:rPr>
                <w:sz w:val="13"/>
                <w:szCs w:val="13"/>
                <w:color w:val="auto"/>
              </w:rPr>
            </w:pPr>
          </w:p>
        </w:tc>
        <w:tc>
          <w:tcPr>
            <w:tcW w:w="60" w:type="dxa"/>
            <w:vAlign w:val="bottom"/>
            <w:tcBorders>
              <w:top w:val="single" w:sz="8" w:color="E7417A"/>
            </w:tcBorders>
          </w:tcPr>
          <w:p>
            <w:pPr>
              <w:spacing w:after="0"/>
              <w:rPr>
                <w:sz w:val="13"/>
                <w:szCs w:val="13"/>
                <w:color w:val="auto"/>
              </w:rPr>
            </w:pPr>
          </w:p>
        </w:tc>
        <w:tc>
          <w:tcPr>
            <w:tcW w:w="700" w:type="dxa"/>
            <w:vAlign w:val="bottom"/>
            <w:tcBorders>
              <w:top w:val="single" w:sz="8" w:color="E7417A"/>
            </w:tcBorders>
          </w:tcPr>
          <w:p>
            <w:pPr>
              <w:spacing w:after="0"/>
              <w:rPr>
                <w:sz w:val="13"/>
                <w:szCs w:val="13"/>
                <w:color w:val="auto"/>
              </w:rPr>
            </w:pPr>
          </w:p>
        </w:tc>
        <w:tc>
          <w:tcPr>
            <w:tcW w:w="240" w:type="dxa"/>
            <w:vAlign w:val="bottom"/>
            <w:tcBorders>
              <w:top w:val="single" w:sz="8" w:color="E7417A"/>
            </w:tcBorders>
          </w:tcPr>
          <w:p>
            <w:pPr>
              <w:spacing w:after="0"/>
              <w:rPr>
                <w:sz w:val="13"/>
                <w:szCs w:val="13"/>
                <w:color w:val="auto"/>
              </w:rPr>
            </w:pPr>
          </w:p>
        </w:tc>
        <w:tc>
          <w:tcPr>
            <w:tcW w:w="640" w:type="dxa"/>
            <w:vAlign w:val="bottom"/>
            <w:tcBorders>
              <w:top w:val="single" w:sz="8" w:color="E7417A"/>
            </w:tcBorders>
          </w:tcPr>
          <w:p>
            <w:pPr>
              <w:spacing w:after="0"/>
              <w:rPr>
                <w:sz w:val="13"/>
                <w:szCs w:val="13"/>
                <w:color w:val="auto"/>
              </w:rPr>
            </w:pPr>
          </w:p>
        </w:tc>
        <w:tc>
          <w:tcPr>
            <w:tcW w:w="200" w:type="dxa"/>
            <w:vAlign w:val="bottom"/>
            <w:tcBorders>
              <w:top w:val="single" w:sz="8" w:color="E7417A"/>
            </w:tcBorders>
          </w:tcPr>
          <w:p>
            <w:pPr>
              <w:spacing w:after="0"/>
              <w:rPr>
                <w:sz w:val="13"/>
                <w:szCs w:val="13"/>
                <w:color w:val="auto"/>
              </w:rPr>
            </w:pPr>
          </w:p>
        </w:tc>
        <w:tc>
          <w:tcPr>
            <w:tcW w:w="660" w:type="dxa"/>
            <w:vAlign w:val="bottom"/>
            <w:tcBorders>
              <w:top w:val="single" w:sz="8" w:color="E7417A"/>
            </w:tcBorders>
          </w:tcPr>
          <w:p>
            <w:pPr>
              <w:spacing w:after="0"/>
              <w:rPr>
                <w:sz w:val="13"/>
                <w:szCs w:val="13"/>
                <w:color w:val="auto"/>
              </w:rPr>
            </w:pPr>
          </w:p>
        </w:tc>
        <w:tc>
          <w:tcPr>
            <w:tcW w:w="120" w:type="dxa"/>
            <w:vAlign w:val="bottom"/>
            <w:tcBorders>
              <w:top w:val="single" w:sz="8" w:color="E7417A"/>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80" w:type="dxa"/>
            <w:vAlign w:val="bottom"/>
            <w:tcBorders>
              <w:bottom w:val="single" w:sz="8" w:color="E7417A"/>
            </w:tcBorders>
            <w:gridSpan w:val="2"/>
          </w:tcPr>
          <w:p>
            <w:pPr>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xml:space="preserve"> Table — Total Compensation</w:t>
            </w:r>
          </w:p>
        </w:tc>
        <w:tc>
          <w:tcPr>
            <w:tcW w:w="1900" w:type="dxa"/>
            <w:vAlign w:val="bottom"/>
            <w:tcBorders>
              <w:bottom w:val="single" w:sz="8" w:color="E7417A"/>
            </w:tcBorders>
            <w:gridSpan w:val="7"/>
          </w:tcPr>
          <w:p>
            <w:pPr>
              <w:ind w:left="20"/>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$ 4,453,002</w:t>
            </w:r>
            <w:r>
              <w:rPr>
                <w:rFonts w:ascii="Arial" w:cs="Arial" w:eastAsia="Arial" w:hAnsi="Arial"/>
                <w:sz w:val="24"/>
                <w:szCs w:val="24"/>
                <w:color w:val="auto"/>
                <w:vertAlign w:val="subscript"/>
              </w:rPr>
              <w:t>​​​</w:t>
            </w:r>
            <w:r>
              <w:rPr>
                <w:rFonts w:ascii="Arial" w:cs="Arial" w:eastAsia="Arial" w:hAnsi="Arial"/>
                <w:sz w:val="13"/>
                <w:szCs w:val="13"/>
                <w:color w:val="auto"/>
              </w:rPr>
              <w:t>$ 2,698,394</w:t>
            </w: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40" w:type="dxa"/>
            <w:vAlign w:val="bottom"/>
            <w:tcBorders>
              <w:bottom w:val="single" w:sz="8" w:color="E7417A"/>
            </w:tcBorders>
          </w:tcPr>
          <w:p>
            <w:pPr>
              <w:spacing w:after="0"/>
              <w:rPr>
                <w:sz w:val="18"/>
                <w:szCs w:val="18"/>
                <w:color w:val="auto"/>
              </w:rPr>
            </w:pPr>
          </w:p>
        </w:tc>
        <w:tc>
          <w:tcPr>
            <w:tcW w:w="900" w:type="dxa"/>
            <w:vAlign w:val="bottom"/>
            <w:tcBorders>
              <w:bottom w:val="single" w:sz="8" w:color="E7417A"/>
            </w:tcBorders>
            <w:gridSpan w:val="2"/>
          </w:tcPr>
          <w:p>
            <w:pPr>
              <w:jc w:val="right"/>
              <w:ind w:right="9"/>
              <w:spacing w:after="0" w:line="212" w:lineRule="exact"/>
              <w:rPr>
                <w:sz w:val="20"/>
                <w:szCs w:val="20"/>
                <w:color w:val="auto"/>
              </w:rPr>
            </w:pPr>
            <w:r>
              <w:rPr>
                <w:rFonts w:ascii="Arial" w:cs="Arial" w:eastAsia="Arial" w:hAnsi="Arial"/>
                <w:sz w:val="13"/>
                <w:szCs w:val="13"/>
                <w:color w:val="auto"/>
              </w:rPr>
              <w:t>1,534,506</w:t>
            </w: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840" w:type="dxa"/>
            <w:vAlign w:val="bottom"/>
            <w:tcBorders>
              <w:bottom w:val="single" w:sz="8" w:color="E7417A"/>
            </w:tcBorders>
            <w:gridSpan w:val="2"/>
          </w:tcPr>
          <w:p>
            <w:pPr>
              <w:jc w:val="right"/>
              <w:spacing w:after="0" w:line="212" w:lineRule="exact"/>
              <w:rPr>
                <w:sz w:val="20"/>
                <w:szCs w:val="20"/>
                <w:color w:val="auto"/>
              </w:rPr>
            </w:pPr>
            <w:r>
              <w:rPr>
                <w:rFonts w:ascii="Arial" w:cs="Arial" w:eastAsia="Arial" w:hAnsi="Arial"/>
                <w:sz w:val="13"/>
                <w:szCs w:val="13"/>
                <w:color w:val="auto"/>
              </w:rPr>
              <w:t>781,423</w:t>
            </w: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60" w:type="dxa"/>
            <w:vAlign w:val="bottom"/>
            <w:tcBorders>
              <w:bottom w:val="single" w:sz="8" w:color="E7417A"/>
            </w:tcBorders>
          </w:tcPr>
          <w:p>
            <w:pPr>
              <w:spacing w:after="0"/>
              <w:rPr>
                <w:sz w:val="18"/>
                <w:szCs w:val="18"/>
                <w:color w:val="auto"/>
              </w:rPr>
            </w:pPr>
          </w:p>
        </w:tc>
        <w:tc>
          <w:tcPr>
            <w:tcW w:w="2560" w:type="dxa"/>
            <w:vAlign w:val="bottom"/>
            <w:tcBorders>
              <w:bottom w:val="single" w:sz="8" w:color="E7417A"/>
            </w:tcBorders>
            <w:gridSpan w:val="6"/>
          </w:tcPr>
          <w:p>
            <w:pPr>
              <w:jc w:val="right"/>
              <w:ind w:right="8"/>
              <w:spacing w:after="0" w:line="212" w:lineRule="exact"/>
              <w:rPr>
                <w:sz w:val="20"/>
                <w:szCs w:val="20"/>
                <w:color w:val="auto"/>
              </w:rPr>
            </w:pPr>
            <w:r>
              <w:rPr>
                <w:rFonts w:ascii="Arial" w:cs="Arial" w:eastAsia="Arial" w:hAnsi="Arial"/>
                <w:sz w:val="13"/>
                <w:szCs w:val="13"/>
                <w:color w:val="auto"/>
              </w:rPr>
              <w:t>4,922,249</w:t>
            </w:r>
            <w:r>
              <w:rPr>
                <w:rFonts w:ascii="Arial" w:cs="Arial" w:eastAsia="Arial" w:hAnsi="Arial"/>
                <w:sz w:val="24"/>
                <w:szCs w:val="24"/>
                <w:color w:val="auto"/>
                <w:vertAlign w:val="subscript"/>
              </w:rPr>
              <w:t>​​​</w:t>
            </w:r>
            <w:r>
              <w:rPr>
                <w:rFonts w:ascii="Arial" w:cs="Arial" w:eastAsia="Arial" w:hAnsi="Arial"/>
                <w:sz w:val="13"/>
                <w:szCs w:val="13"/>
                <w:color w:val="auto"/>
              </w:rPr>
              <w:t>$ 1,684,310</w:t>
            </w:r>
            <w:r>
              <w:rPr>
                <w:rFonts w:ascii="Arial" w:cs="Arial" w:eastAsia="Arial" w:hAnsi="Arial"/>
                <w:sz w:val="24"/>
                <w:szCs w:val="24"/>
                <w:color w:val="auto"/>
                <w:vertAlign w:val="subscript"/>
              </w:rPr>
              <w:t>​​​</w:t>
            </w:r>
            <w:r>
              <w:rPr>
                <w:rFonts w:ascii="Arial" w:cs="Arial" w:eastAsia="Arial" w:hAnsi="Arial"/>
                <w:sz w:val="13"/>
                <w:szCs w:val="13"/>
                <w:color w:val="auto"/>
              </w:rPr>
              <w:t>$ 1,706,056</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Deduct Grant Date Fair Value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of Stock Awards Granted in</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80" w:type="dxa"/>
            <w:vAlign w:val="bottom"/>
            <w:tcBorders>
              <w:bottom w:val="single" w:sz="8" w:color="E7417A"/>
            </w:tcBorders>
            <w:gridSpan w:val="2"/>
          </w:tcPr>
          <w:p>
            <w:pPr>
              <w:spacing w:after="0" w:line="19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Fiscal Year</w:t>
            </w:r>
          </w:p>
        </w:tc>
        <w:tc>
          <w:tcPr>
            <w:tcW w:w="1900" w:type="dxa"/>
            <w:vAlign w:val="bottom"/>
            <w:tcBorders>
              <w:bottom w:val="single" w:sz="8" w:color="E7417A"/>
            </w:tcBorders>
            <w:gridSpan w:val="7"/>
          </w:tcPr>
          <w:p>
            <w:pPr>
              <w:ind w:left="20"/>
              <w:spacing w:after="0" w:line="19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$ 3,141,452</w:t>
            </w:r>
            <w:r>
              <w:rPr>
                <w:rFonts w:ascii="Arial" w:cs="Arial" w:eastAsia="Arial" w:hAnsi="Arial"/>
                <w:sz w:val="22"/>
                <w:szCs w:val="22"/>
                <w:color w:val="auto"/>
                <w:vertAlign w:val="subscript"/>
              </w:rPr>
              <w:t>​​​</w:t>
            </w:r>
            <w:r>
              <w:rPr>
                <w:rFonts w:ascii="Arial" w:cs="Arial" w:eastAsia="Arial" w:hAnsi="Arial"/>
                <w:sz w:val="12"/>
                <w:szCs w:val="12"/>
                <w:color w:val="auto"/>
              </w:rPr>
              <w:t>$ 1,915,427</w:t>
            </w: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40" w:type="dxa"/>
            <w:vAlign w:val="bottom"/>
            <w:tcBorders>
              <w:bottom w:val="single" w:sz="8" w:color="E7417A"/>
            </w:tcBorders>
          </w:tcPr>
          <w:p>
            <w:pPr>
              <w:spacing w:after="0"/>
              <w:rPr>
                <w:sz w:val="17"/>
                <w:szCs w:val="17"/>
                <w:color w:val="auto"/>
              </w:rPr>
            </w:pPr>
          </w:p>
        </w:tc>
        <w:tc>
          <w:tcPr>
            <w:tcW w:w="900" w:type="dxa"/>
            <w:vAlign w:val="bottom"/>
            <w:tcBorders>
              <w:bottom w:val="single" w:sz="8" w:color="E7417A"/>
            </w:tcBorders>
            <w:gridSpan w:val="2"/>
          </w:tcPr>
          <w:p>
            <w:pPr>
              <w:jc w:val="right"/>
              <w:spacing w:after="0" w:line="199" w:lineRule="exact"/>
              <w:rPr>
                <w:sz w:val="20"/>
                <w:szCs w:val="20"/>
                <w:color w:val="auto"/>
              </w:rPr>
            </w:pPr>
            <w:r>
              <w:rPr>
                <w:rFonts w:ascii="Arial" w:cs="Arial" w:eastAsia="Arial" w:hAnsi="Arial"/>
                <w:sz w:val="12"/>
                <w:szCs w:val="12"/>
                <w:color w:val="auto"/>
              </w:rPr>
              <w:t>749,998</w:t>
            </w:r>
            <w:r>
              <w:rPr>
                <w:rFonts w:ascii="Arial" w:cs="Arial" w:eastAsia="Arial" w:hAnsi="Arial"/>
                <w:sz w:val="22"/>
                <w:szCs w:val="22"/>
                <w:color w:val="auto"/>
                <w:vertAlign w:val="subscript"/>
              </w:rPr>
              <w:t>​​​</w:t>
            </w:r>
            <w:r>
              <w:rPr>
                <w:rFonts w:ascii="Arial" w:cs="Arial" w:eastAsia="Arial" w:hAnsi="Arial"/>
                <w:sz w:val="12"/>
                <w:szCs w:val="12"/>
                <w:color w:val="auto"/>
              </w:rPr>
              <w:t xml:space="preserve"> ​</w:t>
            </w:r>
          </w:p>
        </w:tc>
        <w:tc>
          <w:tcPr>
            <w:tcW w:w="840" w:type="dxa"/>
            <w:vAlign w:val="bottom"/>
            <w:tcBorders>
              <w:bottom w:val="single" w:sz="8" w:color="E7417A"/>
            </w:tcBorders>
            <w:gridSpan w:val="2"/>
          </w:tcPr>
          <w:p>
            <w:pPr>
              <w:jc w:val="right"/>
              <w:spacing w:after="0" w:line="19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w:t>
            </w:r>
            <w:r>
              <w:rPr>
                <w:rFonts w:ascii="Arial" w:cs="Arial" w:eastAsia="Arial" w:hAnsi="Arial"/>
                <w:sz w:val="22"/>
                <w:szCs w:val="22"/>
                <w:color w:val="auto"/>
                <w:vertAlign w:val="superscript"/>
              </w:rPr>
              <w:t>$</w:t>
            </w:r>
          </w:p>
        </w:tc>
        <w:tc>
          <w:tcPr>
            <w:tcW w:w="60" w:type="dxa"/>
            <w:vAlign w:val="bottom"/>
            <w:tcBorders>
              <w:bottom w:val="single" w:sz="8" w:color="E7417A"/>
            </w:tcBorders>
          </w:tcPr>
          <w:p>
            <w:pPr>
              <w:spacing w:after="0"/>
              <w:rPr>
                <w:sz w:val="17"/>
                <w:szCs w:val="17"/>
                <w:color w:val="auto"/>
              </w:rPr>
            </w:pPr>
          </w:p>
        </w:tc>
        <w:tc>
          <w:tcPr>
            <w:tcW w:w="940" w:type="dxa"/>
            <w:vAlign w:val="bottom"/>
            <w:tcBorders>
              <w:bottom w:val="single" w:sz="8" w:color="E7417A"/>
            </w:tcBorders>
            <w:gridSpan w:val="2"/>
          </w:tcPr>
          <w:p>
            <w:pPr>
              <w:jc w:val="right"/>
              <w:ind w:right="6"/>
              <w:spacing w:after="0" w:line="199" w:lineRule="exact"/>
              <w:rPr>
                <w:sz w:val="20"/>
                <w:szCs w:val="20"/>
                <w:color w:val="auto"/>
              </w:rPr>
            </w:pPr>
            <w:r>
              <w:rPr>
                <w:rFonts w:ascii="Arial" w:cs="Arial" w:eastAsia="Arial" w:hAnsi="Arial"/>
                <w:sz w:val="12"/>
                <w:szCs w:val="12"/>
                <w:color w:val="auto"/>
              </w:rPr>
              <w:t>3,631,842</w:t>
            </w: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840" w:type="dxa"/>
            <w:vAlign w:val="bottom"/>
            <w:tcBorders>
              <w:bottom w:val="single" w:sz="8" w:color="E7417A"/>
            </w:tcBorders>
            <w:gridSpan w:val="2"/>
          </w:tcPr>
          <w:p>
            <w:pPr>
              <w:jc w:val="right"/>
              <w:spacing w:after="0" w:line="199" w:lineRule="exact"/>
              <w:rPr>
                <w:sz w:val="20"/>
                <w:szCs w:val="20"/>
                <w:color w:val="auto"/>
              </w:rPr>
            </w:pPr>
            <w:r>
              <w:rPr>
                <w:rFonts w:ascii="Arial" w:cs="Arial" w:eastAsia="Arial" w:hAnsi="Arial"/>
                <w:sz w:val="12"/>
                <w:szCs w:val="12"/>
                <w:color w:val="auto"/>
              </w:rPr>
              <w:t>869,978</w:t>
            </w: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780" w:type="dxa"/>
            <w:vAlign w:val="bottom"/>
            <w:tcBorders>
              <w:bottom w:val="single" w:sz="8" w:color="E7417A"/>
            </w:tcBorders>
            <w:gridSpan w:val="2"/>
          </w:tcPr>
          <w:p>
            <w:pPr>
              <w:jc w:val="right"/>
              <w:ind w:right="8"/>
              <w:spacing w:after="0" w:line="199" w:lineRule="exact"/>
              <w:rPr>
                <w:sz w:val="20"/>
                <w:szCs w:val="20"/>
                <w:color w:val="auto"/>
              </w:rPr>
            </w:pPr>
            <w:r>
              <w:rPr>
                <w:rFonts w:ascii="Arial" w:cs="Arial" w:eastAsia="Arial" w:hAnsi="Arial"/>
                <w:sz w:val="12"/>
                <w:szCs w:val="12"/>
                <w:color w:val="auto"/>
              </w:rPr>
              <w:t>379,000</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Add Fair Value at Fiscal Year</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End of Outstanding and</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Unvested Stock Awards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80" w:type="dxa"/>
            <w:vAlign w:val="bottom"/>
            <w:tcBorders>
              <w:bottom w:val="single" w:sz="8" w:color="E7417A"/>
            </w:tcBorders>
            <w:gridSpan w:val="2"/>
          </w:tcPr>
          <w:p>
            <w:pPr>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xml:space="preserve"> Granted in Fiscal Year</w:t>
            </w:r>
          </w:p>
        </w:tc>
        <w:tc>
          <w:tcPr>
            <w:tcW w:w="1900" w:type="dxa"/>
            <w:vAlign w:val="bottom"/>
            <w:tcBorders>
              <w:bottom w:val="single" w:sz="8" w:color="E7417A"/>
            </w:tcBorders>
            <w:gridSpan w:val="7"/>
          </w:tcPr>
          <w:p>
            <w:pPr>
              <w:ind w:left="20"/>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$ 3,796,248</w:t>
            </w:r>
            <w:r>
              <w:rPr>
                <w:rFonts w:ascii="Arial" w:cs="Arial" w:eastAsia="Arial" w:hAnsi="Arial"/>
                <w:sz w:val="24"/>
                <w:szCs w:val="24"/>
                <w:color w:val="auto"/>
                <w:vertAlign w:val="subscript"/>
              </w:rPr>
              <w:t>​​​</w:t>
            </w:r>
            <w:r>
              <w:rPr>
                <w:rFonts w:ascii="Arial" w:cs="Arial" w:eastAsia="Arial" w:hAnsi="Arial"/>
                <w:sz w:val="13"/>
                <w:szCs w:val="13"/>
                <w:color w:val="auto"/>
              </w:rPr>
              <w:t>$ 2,036,865</w:t>
            </w: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40" w:type="dxa"/>
            <w:vAlign w:val="bottom"/>
            <w:tcBorders>
              <w:bottom w:val="single" w:sz="8" w:color="E7417A"/>
            </w:tcBorders>
          </w:tcPr>
          <w:p>
            <w:pPr>
              <w:spacing w:after="0"/>
              <w:rPr>
                <w:sz w:val="18"/>
                <w:szCs w:val="18"/>
                <w:color w:val="auto"/>
              </w:rPr>
            </w:pPr>
          </w:p>
        </w:tc>
        <w:tc>
          <w:tcPr>
            <w:tcW w:w="900" w:type="dxa"/>
            <w:vAlign w:val="bottom"/>
            <w:tcBorders>
              <w:bottom w:val="single" w:sz="8" w:color="E7417A"/>
            </w:tcBorders>
            <w:gridSpan w:val="2"/>
          </w:tcPr>
          <w:p>
            <w:pPr>
              <w:jc w:val="right"/>
              <w:spacing w:after="0" w:line="212" w:lineRule="exact"/>
              <w:rPr>
                <w:sz w:val="20"/>
                <w:szCs w:val="20"/>
                <w:color w:val="auto"/>
              </w:rPr>
            </w:pPr>
            <w:r>
              <w:rPr>
                <w:rFonts w:ascii="Arial" w:cs="Arial" w:eastAsia="Arial" w:hAnsi="Arial"/>
                <w:sz w:val="13"/>
                <w:szCs w:val="13"/>
                <w:color w:val="auto"/>
              </w:rPr>
              <w:t>672,828</w:t>
            </w:r>
            <w:r>
              <w:rPr>
                <w:rFonts w:ascii="Arial" w:cs="Arial" w:eastAsia="Arial" w:hAnsi="Arial"/>
                <w:sz w:val="24"/>
                <w:szCs w:val="24"/>
                <w:color w:val="auto"/>
                <w:vertAlign w:val="subscript"/>
              </w:rPr>
              <w:t>​​​</w:t>
            </w:r>
            <w:r>
              <w:rPr>
                <w:rFonts w:ascii="Arial" w:cs="Arial" w:eastAsia="Arial" w:hAnsi="Arial"/>
                <w:sz w:val="13"/>
                <w:szCs w:val="13"/>
                <w:color w:val="auto"/>
              </w:rPr>
              <w:t xml:space="preserve"> ​</w:t>
            </w:r>
          </w:p>
        </w:tc>
        <w:tc>
          <w:tcPr>
            <w:tcW w:w="2680" w:type="dxa"/>
            <w:vAlign w:val="bottom"/>
            <w:tcBorders>
              <w:bottom w:val="single" w:sz="8" w:color="E7417A"/>
            </w:tcBorders>
            <w:gridSpan w:val="7"/>
          </w:tcPr>
          <w:p>
            <w:pPr>
              <w:jc w:val="right"/>
              <w:spacing w:after="0" w:line="212"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bscript"/>
              </w:rPr>
              <w:t>​​​</w:t>
            </w:r>
            <w:r>
              <w:rPr>
                <w:rFonts w:ascii="Arial" w:cs="Arial" w:eastAsia="Arial" w:hAnsi="Arial"/>
                <w:sz w:val="13"/>
                <w:szCs w:val="13"/>
                <w:color w:val="auto"/>
              </w:rPr>
              <w:t>$ 21,740,370</w:t>
            </w:r>
            <w:r>
              <w:rPr>
                <w:rFonts w:ascii="Arial" w:cs="Arial" w:eastAsia="Arial" w:hAnsi="Arial"/>
                <w:sz w:val="24"/>
                <w:szCs w:val="24"/>
                <w:color w:val="auto"/>
                <w:vertAlign w:val="subscript"/>
              </w:rPr>
              <w:t>​​​</w:t>
            </w:r>
            <w:r>
              <w:rPr>
                <w:rFonts w:ascii="Arial" w:cs="Arial" w:eastAsia="Arial" w:hAnsi="Arial"/>
                <w:sz w:val="13"/>
                <w:szCs w:val="13"/>
                <w:color w:val="auto"/>
              </w:rPr>
              <w:t>$ 1,936,265</w:t>
            </w:r>
            <w:r>
              <w:rPr>
                <w:rFonts w:ascii="Arial" w:cs="Arial" w:eastAsia="Arial" w:hAnsi="Arial"/>
                <w:sz w:val="24"/>
                <w:szCs w:val="24"/>
                <w:color w:val="auto"/>
                <w:vertAlign w:val="subscript"/>
              </w:rPr>
              <w:t>​​​</w:t>
            </w:r>
            <w:r>
              <w:rPr>
                <w:rFonts w:ascii="Arial" w:cs="Arial" w:eastAsia="Arial" w:hAnsi="Arial"/>
                <w:sz w:val="13"/>
                <w:szCs w:val="13"/>
                <w:color w:val="auto"/>
              </w:rPr>
              <w:t xml:space="preserve"> ​</w:t>
            </w:r>
          </w:p>
        </w:tc>
        <w:tc>
          <w:tcPr>
            <w:tcW w:w="780" w:type="dxa"/>
            <w:vAlign w:val="bottom"/>
            <w:tcBorders>
              <w:bottom w:val="single" w:sz="8" w:color="E7417A"/>
            </w:tcBorders>
            <w:gridSpan w:val="2"/>
          </w:tcPr>
          <w:p>
            <w:pPr>
              <w:jc w:val="right"/>
              <w:ind w:right="8"/>
              <w:spacing w:after="0" w:line="212"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Add Change in Fair Value of</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Outstanding and Unvested</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Stock Awards Granted in</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2040" w:type="dxa"/>
            <w:vAlign w:val="bottom"/>
          </w:tcPr>
          <w:p>
            <w:pPr>
              <w:ind w:left="60"/>
              <w:spacing w:after="0" w:line="158" w:lineRule="exact"/>
              <w:rPr>
                <w:sz w:val="20"/>
                <w:szCs w:val="20"/>
                <w:color w:val="auto"/>
              </w:rPr>
            </w:pPr>
            <w:r>
              <w:rPr>
                <w:rFonts w:ascii="Arial" w:cs="Arial" w:eastAsia="Arial" w:hAnsi="Arial"/>
                <w:sz w:val="14"/>
                <w:szCs w:val="14"/>
                <w:color w:val="auto"/>
              </w:rPr>
              <w:t>Prior Fiscal Years</w:t>
            </w:r>
          </w:p>
        </w:tc>
        <w:tc>
          <w:tcPr>
            <w:tcW w:w="280" w:type="dxa"/>
            <w:vAlign w:val="bottom"/>
            <w:gridSpan w:val="2"/>
          </w:tcPr>
          <w:p>
            <w:pPr>
              <w:ind w:left="120"/>
              <w:spacing w:after="0" w:line="15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344,204</w:t>
            </w:r>
          </w:p>
        </w:tc>
        <w:tc>
          <w:tcPr>
            <w:tcW w:w="18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620" w:type="dxa"/>
            <w:vAlign w:val="bottom"/>
            <w:gridSpan w:val="8"/>
          </w:tcPr>
          <w:p>
            <w:pPr>
              <w:jc w:val="right"/>
              <w:spacing w:after="0" w:line="158" w:lineRule="exact"/>
              <w:rPr>
                <w:sz w:val="20"/>
                <w:szCs w:val="20"/>
                <w:color w:val="auto"/>
              </w:rPr>
            </w:pPr>
            <w:r>
              <w:rPr>
                <w:rFonts w:ascii="Arial" w:cs="Arial" w:eastAsia="Arial" w:hAnsi="Arial"/>
                <w:sz w:val="14"/>
                <w:szCs w:val="14"/>
                <w:color w:val="auto"/>
              </w:rPr>
              <w:t>(202,500) $ (7,961,667) $ (3,579,167)  ​</w:t>
            </w:r>
          </w:p>
        </w:tc>
        <w:tc>
          <w:tcPr>
            <w:tcW w:w="700" w:type="dxa"/>
            <w:vAlign w:val="bottom"/>
          </w:tcPr>
          <w:p>
            <w:pPr>
              <w:ind w:left="560"/>
              <w:spacing w:after="0" w:line="158" w:lineRule="exact"/>
              <w:rPr>
                <w:sz w:val="20"/>
                <w:szCs w:val="20"/>
                <w:color w:val="auto"/>
              </w:rPr>
            </w:pPr>
            <w:r>
              <w:rPr>
                <w:rFonts w:ascii="Arial" w:cs="Arial" w:eastAsia="Arial" w:hAnsi="Arial"/>
                <w:sz w:val="14"/>
                <w:szCs w:val="14"/>
                <w:color w:val="auto"/>
                <w:w w:val="85"/>
              </w:rPr>
              <w:t>—</w:t>
            </w:r>
          </w:p>
        </w:tc>
        <w:tc>
          <w:tcPr>
            <w:tcW w:w="240" w:type="dxa"/>
            <w:vAlign w:val="bottom"/>
          </w:tcPr>
          <w:p>
            <w:pPr>
              <w:jc w:val="right"/>
              <w:ind w:right="6"/>
              <w:spacing w:after="0" w:line="158"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519,811</w:t>
            </w:r>
          </w:p>
        </w:tc>
        <w:tc>
          <w:tcPr>
            <w:tcW w:w="2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40" w:type="dxa"/>
            <w:vAlign w:val="bottom"/>
            <w:tcBorders>
              <w:bottom w:val="single" w:sz="8" w:color="E7417A"/>
            </w:tcBorders>
            <w:vMerge w:val="continue"/>
          </w:tcPr>
          <w:p>
            <w:pPr>
              <w:spacing w:after="0"/>
              <w:rPr>
                <w:sz w:val="4"/>
                <w:szCs w:val="4"/>
                <w:color w:val="auto"/>
              </w:rPr>
            </w:pPr>
          </w:p>
        </w:tc>
        <w:tc>
          <w:tcPr>
            <w:tcW w:w="2040" w:type="dxa"/>
            <w:vAlign w:val="bottom"/>
            <w:tcBorders>
              <w:bottom w:val="single" w:sz="8" w:color="E7417A"/>
            </w:tcBorders>
          </w:tcPr>
          <w:p>
            <w:pPr>
              <w:spacing w:after="0"/>
              <w:rPr>
                <w:sz w:val="4"/>
                <w:szCs w:val="4"/>
                <w:color w:val="auto"/>
              </w:rPr>
            </w:pPr>
          </w:p>
        </w:tc>
        <w:tc>
          <w:tcPr>
            <w:tcW w:w="280" w:type="dxa"/>
            <w:vAlign w:val="bottom"/>
            <w:tcBorders>
              <w:bottom w:val="single" w:sz="8" w:color="E7417A"/>
            </w:tcBorders>
            <w:gridSpan w:val="2"/>
          </w:tcPr>
          <w:p>
            <w:pPr>
              <w:ind w:left="20"/>
              <w:spacing w:after="0" w:line="54" w:lineRule="exact"/>
              <w:rPr>
                <w:sz w:val="20"/>
                <w:szCs w:val="20"/>
                <w:color w:val="auto"/>
              </w:rPr>
            </w:pPr>
            <w:r>
              <w:rPr>
                <w:rFonts w:ascii="Arial" w:cs="Arial" w:eastAsia="Arial" w:hAnsi="Arial"/>
                <w:sz w:val="6"/>
                <w:szCs w:val="6"/>
                <w:color w:val="auto"/>
              </w:rPr>
              <w:t>​​​</w:t>
            </w:r>
          </w:p>
        </w:tc>
        <w:tc>
          <w:tcPr>
            <w:tcW w:w="580" w:type="dxa"/>
            <w:vAlign w:val="bottom"/>
            <w:tcBorders>
              <w:bottom w:val="single" w:sz="8" w:color="E7417A"/>
            </w:tcBorders>
          </w:tcPr>
          <w:p>
            <w:pPr>
              <w:spacing w:after="0"/>
              <w:rPr>
                <w:sz w:val="4"/>
                <w:szCs w:val="4"/>
                <w:color w:val="auto"/>
              </w:rPr>
            </w:pPr>
          </w:p>
        </w:tc>
        <w:tc>
          <w:tcPr>
            <w:tcW w:w="180" w:type="dxa"/>
            <w:vAlign w:val="bottom"/>
            <w:tcBorders>
              <w:bottom w:val="single" w:sz="8" w:color="E7417A"/>
            </w:tcBorders>
          </w:tcPr>
          <w:p>
            <w:pPr>
              <w:jc w:val="center"/>
              <w:ind w:right="6"/>
              <w:spacing w:after="0" w:line="54" w:lineRule="exact"/>
              <w:rPr>
                <w:sz w:val="20"/>
                <w:szCs w:val="20"/>
                <w:color w:val="auto"/>
              </w:rPr>
            </w:pPr>
            <w:r>
              <w:rPr>
                <w:rFonts w:ascii="Arial" w:cs="Arial" w:eastAsia="Arial" w:hAnsi="Arial"/>
                <w:sz w:val="6"/>
                <w:szCs w:val="6"/>
                <w:color w:val="auto"/>
              </w:rPr>
              <w:t>​​​</w:t>
            </w:r>
          </w:p>
        </w:tc>
        <w:tc>
          <w:tcPr>
            <w:tcW w:w="80" w:type="dxa"/>
            <w:vAlign w:val="bottom"/>
            <w:tcBorders>
              <w:bottom w:val="single" w:sz="8" w:color="E7417A"/>
            </w:tcBorders>
          </w:tcPr>
          <w:p>
            <w:pPr>
              <w:spacing w:after="0"/>
              <w:rPr>
                <w:sz w:val="4"/>
                <w:szCs w:val="4"/>
                <w:color w:val="auto"/>
              </w:rPr>
            </w:pPr>
          </w:p>
        </w:tc>
        <w:tc>
          <w:tcPr>
            <w:tcW w:w="600" w:type="dxa"/>
            <w:vAlign w:val="bottom"/>
            <w:tcBorders>
              <w:bottom w:val="single" w:sz="8" w:color="E7417A"/>
            </w:tcBorders>
          </w:tcPr>
          <w:p>
            <w:pPr>
              <w:spacing w:after="0"/>
              <w:rPr>
                <w:sz w:val="4"/>
                <w:szCs w:val="4"/>
                <w:color w:val="auto"/>
              </w:rPr>
            </w:pPr>
          </w:p>
        </w:tc>
        <w:tc>
          <w:tcPr>
            <w:tcW w:w="180" w:type="dxa"/>
            <w:vAlign w:val="bottom"/>
            <w:tcBorders>
              <w:bottom w:val="single" w:sz="8" w:color="E7417A"/>
            </w:tcBorders>
          </w:tcPr>
          <w:p>
            <w:pPr>
              <w:jc w:val="center"/>
              <w:ind w:right="2"/>
              <w:spacing w:after="0" w:line="54" w:lineRule="exact"/>
              <w:rPr>
                <w:sz w:val="20"/>
                <w:szCs w:val="20"/>
                <w:color w:val="auto"/>
              </w:rPr>
            </w:pPr>
            <w:r>
              <w:rPr>
                <w:rFonts w:ascii="Arial" w:cs="Arial" w:eastAsia="Arial" w:hAnsi="Arial"/>
                <w:sz w:val="6"/>
                <w:szCs w:val="6"/>
                <w:color w:val="auto"/>
              </w:rPr>
              <w:t>​​​</w:t>
            </w:r>
          </w:p>
        </w:tc>
        <w:tc>
          <w:tcPr>
            <w:tcW w:w="40" w:type="dxa"/>
            <w:vAlign w:val="bottom"/>
            <w:tcBorders>
              <w:bottom w:val="single" w:sz="8" w:color="E7417A"/>
            </w:tcBorders>
          </w:tcPr>
          <w:p>
            <w:pPr>
              <w:spacing w:after="0"/>
              <w:rPr>
                <w:sz w:val="4"/>
                <w:szCs w:val="4"/>
                <w:color w:val="auto"/>
              </w:rPr>
            </w:pPr>
          </w:p>
        </w:tc>
        <w:tc>
          <w:tcPr>
            <w:tcW w:w="680" w:type="dxa"/>
            <w:vAlign w:val="bottom"/>
            <w:tcBorders>
              <w:bottom w:val="single" w:sz="8" w:color="E7417A"/>
            </w:tcBorders>
          </w:tcPr>
          <w:p>
            <w:pPr>
              <w:spacing w:after="0"/>
              <w:rPr>
                <w:sz w:val="4"/>
                <w:szCs w:val="4"/>
                <w:color w:val="auto"/>
              </w:rPr>
            </w:pPr>
          </w:p>
        </w:tc>
        <w:tc>
          <w:tcPr>
            <w:tcW w:w="220" w:type="dxa"/>
            <w:vAlign w:val="bottom"/>
            <w:tcBorders>
              <w:bottom w:val="single" w:sz="8" w:color="E7417A"/>
            </w:tcBorders>
          </w:tcPr>
          <w:p>
            <w:pPr>
              <w:jc w:val="right"/>
              <w:ind w:right="49"/>
              <w:spacing w:after="0" w:line="54" w:lineRule="exact"/>
              <w:rPr>
                <w:sz w:val="20"/>
                <w:szCs w:val="20"/>
                <w:color w:val="auto"/>
              </w:rPr>
            </w:pPr>
            <w:r>
              <w:rPr>
                <w:rFonts w:ascii="Arial" w:cs="Arial" w:eastAsia="Arial" w:hAnsi="Arial"/>
                <w:sz w:val="6"/>
                <w:szCs w:val="6"/>
                <w:color w:val="auto"/>
              </w:rPr>
              <w:t>​​​</w:t>
            </w:r>
          </w:p>
        </w:tc>
        <w:tc>
          <w:tcPr>
            <w:tcW w:w="660" w:type="dxa"/>
            <w:vAlign w:val="bottom"/>
            <w:tcBorders>
              <w:bottom w:val="single" w:sz="8" w:color="E7417A"/>
            </w:tcBorders>
          </w:tcPr>
          <w:p>
            <w:pPr>
              <w:spacing w:after="0"/>
              <w:rPr>
                <w:sz w:val="4"/>
                <w:szCs w:val="4"/>
                <w:color w:val="auto"/>
              </w:rPr>
            </w:pPr>
          </w:p>
        </w:tc>
        <w:tc>
          <w:tcPr>
            <w:tcW w:w="180" w:type="dxa"/>
            <w:vAlign w:val="bottom"/>
            <w:tcBorders>
              <w:bottom w:val="single" w:sz="8" w:color="E7417A"/>
            </w:tcBorders>
          </w:tcPr>
          <w:p>
            <w:pPr>
              <w:jc w:val="center"/>
              <w:ind w:right="2"/>
              <w:spacing w:after="0" w:line="54" w:lineRule="exact"/>
              <w:rPr>
                <w:sz w:val="20"/>
                <w:szCs w:val="20"/>
                <w:color w:val="auto"/>
              </w:rPr>
            </w:pPr>
            <w:r>
              <w:rPr>
                <w:rFonts w:ascii="Arial" w:cs="Arial" w:eastAsia="Arial" w:hAnsi="Arial"/>
                <w:sz w:val="6"/>
                <w:szCs w:val="6"/>
                <w:color w:val="auto"/>
              </w:rPr>
              <w:t>​​​</w:t>
            </w:r>
          </w:p>
        </w:tc>
        <w:tc>
          <w:tcPr>
            <w:tcW w:w="60" w:type="dxa"/>
            <w:vAlign w:val="bottom"/>
            <w:tcBorders>
              <w:bottom w:val="single" w:sz="8" w:color="E7417A"/>
            </w:tcBorders>
          </w:tcPr>
          <w:p>
            <w:pPr>
              <w:spacing w:after="0"/>
              <w:rPr>
                <w:sz w:val="4"/>
                <w:szCs w:val="4"/>
                <w:color w:val="auto"/>
              </w:rPr>
            </w:pPr>
          </w:p>
        </w:tc>
        <w:tc>
          <w:tcPr>
            <w:tcW w:w="700" w:type="dxa"/>
            <w:vAlign w:val="bottom"/>
            <w:tcBorders>
              <w:bottom w:val="single" w:sz="8" w:color="E7417A"/>
            </w:tcBorders>
          </w:tcPr>
          <w:p>
            <w:pPr>
              <w:spacing w:after="0"/>
              <w:rPr>
                <w:sz w:val="4"/>
                <w:szCs w:val="4"/>
                <w:color w:val="auto"/>
              </w:rPr>
            </w:pPr>
          </w:p>
        </w:tc>
        <w:tc>
          <w:tcPr>
            <w:tcW w:w="240" w:type="dxa"/>
            <w:vAlign w:val="bottom"/>
            <w:tcBorders>
              <w:bottom w:val="single" w:sz="8" w:color="E7417A"/>
            </w:tcBorders>
          </w:tcPr>
          <w:p>
            <w:pPr>
              <w:jc w:val="right"/>
              <w:ind w:right="66"/>
              <w:spacing w:after="0" w:line="54" w:lineRule="exact"/>
              <w:rPr>
                <w:sz w:val="20"/>
                <w:szCs w:val="20"/>
                <w:color w:val="auto"/>
              </w:rPr>
            </w:pPr>
            <w:r>
              <w:rPr>
                <w:rFonts w:ascii="Arial" w:cs="Arial" w:eastAsia="Arial" w:hAnsi="Arial"/>
                <w:sz w:val="6"/>
                <w:szCs w:val="6"/>
                <w:color w:val="auto"/>
              </w:rPr>
              <w:t>​​​</w:t>
            </w:r>
          </w:p>
        </w:tc>
        <w:tc>
          <w:tcPr>
            <w:tcW w:w="640" w:type="dxa"/>
            <w:vAlign w:val="bottom"/>
            <w:tcBorders>
              <w:bottom w:val="single" w:sz="8" w:color="E7417A"/>
            </w:tcBorders>
          </w:tcPr>
          <w:p>
            <w:pPr>
              <w:spacing w:after="0"/>
              <w:rPr>
                <w:sz w:val="4"/>
                <w:szCs w:val="4"/>
                <w:color w:val="auto"/>
              </w:rPr>
            </w:pPr>
          </w:p>
        </w:tc>
        <w:tc>
          <w:tcPr>
            <w:tcW w:w="200" w:type="dxa"/>
            <w:vAlign w:val="bottom"/>
            <w:tcBorders>
              <w:bottom w:val="single" w:sz="8" w:color="E7417A"/>
            </w:tcBorders>
          </w:tcPr>
          <w:p>
            <w:pPr>
              <w:jc w:val="right"/>
              <w:ind w:right="26"/>
              <w:spacing w:after="0" w:line="54" w:lineRule="exact"/>
              <w:rPr>
                <w:sz w:val="20"/>
                <w:szCs w:val="20"/>
                <w:color w:val="auto"/>
              </w:rPr>
            </w:pPr>
            <w:r>
              <w:rPr>
                <w:rFonts w:ascii="Arial" w:cs="Arial" w:eastAsia="Arial" w:hAnsi="Arial"/>
                <w:sz w:val="6"/>
                <w:szCs w:val="6"/>
                <w:color w:val="auto"/>
              </w:rPr>
              <w:t>​​​</w:t>
            </w:r>
          </w:p>
        </w:tc>
        <w:tc>
          <w:tcPr>
            <w:tcW w:w="660" w:type="dxa"/>
            <w:vAlign w:val="bottom"/>
            <w:tcBorders>
              <w:bottom w:val="single" w:sz="8" w:color="E7417A"/>
            </w:tcBorders>
          </w:tcPr>
          <w:p>
            <w:pPr>
              <w:spacing w:after="0"/>
              <w:rPr>
                <w:sz w:val="4"/>
                <w:szCs w:val="4"/>
                <w:color w:val="auto"/>
              </w:rPr>
            </w:pPr>
          </w:p>
        </w:tc>
        <w:tc>
          <w:tcPr>
            <w:tcW w:w="120" w:type="dxa"/>
            <w:vAlign w:val="bottom"/>
            <w:tcBorders>
              <w:bottom w:val="single" w:sz="8" w:color="E7417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Add Fair Value at Vesting</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of Stock Awards Granted in</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Fiscal Year that Vested</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80" w:type="dxa"/>
            <w:vAlign w:val="bottom"/>
            <w:tcBorders>
              <w:bottom w:val="single" w:sz="8" w:color="E7417A"/>
            </w:tcBorders>
            <w:gridSpan w:val="2"/>
          </w:tcPr>
          <w:p>
            <w:pPr>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xml:space="preserve"> During Fiscal Year</w:t>
            </w:r>
          </w:p>
        </w:tc>
        <w:tc>
          <w:tcPr>
            <w:tcW w:w="280" w:type="dxa"/>
            <w:vAlign w:val="bottom"/>
            <w:tcBorders>
              <w:bottom w:val="single" w:sz="8" w:color="E7417A"/>
            </w:tcBorders>
            <w:gridSpan w:val="2"/>
          </w:tcPr>
          <w:p>
            <w:pPr>
              <w:ind w:left="20"/>
              <w:spacing w:after="0" w:line="21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4"/>
                <w:szCs w:val="24"/>
                <w:color w:val="auto"/>
                <w:vertAlign w:val="superscript"/>
              </w:rPr>
              <w:t>​</w:t>
            </w:r>
          </w:p>
        </w:tc>
        <w:tc>
          <w:tcPr>
            <w:tcW w:w="840" w:type="dxa"/>
            <w:vAlign w:val="bottom"/>
            <w:tcBorders>
              <w:bottom w:val="single" w:sz="8" w:color="E7417A"/>
            </w:tcBorders>
            <w:gridSpan w:val="3"/>
          </w:tcPr>
          <w:p>
            <w:pPr>
              <w:jc w:val="right"/>
              <w:spacing w:after="0" w:line="212"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w:t>
            </w:r>
            <w:r>
              <w:rPr>
                <w:rFonts w:ascii="Arial" w:cs="Arial" w:eastAsia="Arial" w:hAnsi="Arial"/>
                <w:sz w:val="24"/>
                <w:szCs w:val="24"/>
                <w:color w:val="auto"/>
                <w:vertAlign w:val="superscript"/>
              </w:rPr>
              <w:t>​</w:t>
            </w:r>
          </w:p>
        </w:tc>
        <w:tc>
          <w:tcPr>
            <w:tcW w:w="820" w:type="dxa"/>
            <w:vAlign w:val="bottom"/>
            <w:tcBorders>
              <w:bottom w:val="single" w:sz="8" w:color="E7417A"/>
            </w:tcBorders>
            <w:gridSpan w:val="3"/>
          </w:tcPr>
          <w:p>
            <w:pPr>
              <w:jc w:val="right"/>
              <w:spacing w:after="0" w:line="212"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w:t>
            </w:r>
            <w:r>
              <w:rPr>
                <w:rFonts w:ascii="Arial" w:cs="Arial" w:eastAsia="Arial" w:hAnsi="Arial"/>
                <w:sz w:val="24"/>
                <w:szCs w:val="24"/>
                <w:color w:val="auto"/>
                <w:vertAlign w:val="superscript"/>
              </w:rPr>
              <w:t>​</w:t>
            </w:r>
          </w:p>
        </w:tc>
        <w:tc>
          <w:tcPr>
            <w:tcW w:w="900" w:type="dxa"/>
            <w:vAlign w:val="bottom"/>
            <w:tcBorders>
              <w:bottom w:val="single" w:sz="8" w:color="E7417A"/>
            </w:tcBorders>
            <w:gridSpan w:val="2"/>
          </w:tcPr>
          <w:p>
            <w:pPr>
              <w:jc w:val="right"/>
              <w:spacing w:after="0" w:line="212"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w:t>
            </w:r>
            <w:r>
              <w:rPr>
                <w:rFonts w:ascii="Arial" w:cs="Arial" w:eastAsia="Arial" w:hAnsi="Arial"/>
                <w:sz w:val="24"/>
                <w:szCs w:val="24"/>
                <w:color w:val="auto"/>
                <w:vertAlign w:val="superscript"/>
              </w:rPr>
              <w:t>​</w:t>
            </w:r>
          </w:p>
        </w:tc>
        <w:tc>
          <w:tcPr>
            <w:tcW w:w="900" w:type="dxa"/>
            <w:vAlign w:val="bottom"/>
            <w:tcBorders>
              <w:bottom w:val="single" w:sz="8" w:color="E7417A"/>
            </w:tcBorders>
            <w:gridSpan w:val="3"/>
          </w:tcPr>
          <w:p>
            <w:pPr>
              <w:jc w:val="right"/>
              <w:spacing w:after="0" w:line="212"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w:t>
            </w:r>
            <w:r>
              <w:rPr>
                <w:rFonts w:ascii="Arial" w:cs="Arial" w:eastAsia="Arial" w:hAnsi="Arial"/>
                <w:sz w:val="24"/>
                <w:szCs w:val="24"/>
                <w:color w:val="auto"/>
                <w:vertAlign w:val="superscript"/>
              </w:rPr>
              <w:t>​</w:t>
            </w:r>
          </w:p>
        </w:tc>
        <w:tc>
          <w:tcPr>
            <w:tcW w:w="940" w:type="dxa"/>
            <w:vAlign w:val="bottom"/>
            <w:tcBorders>
              <w:bottom w:val="single" w:sz="8" w:color="E7417A"/>
            </w:tcBorders>
            <w:gridSpan w:val="2"/>
          </w:tcPr>
          <w:p>
            <w:pPr>
              <w:ind w:left="560"/>
              <w:spacing w:after="0" w:line="212"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w:t>
            </w:r>
            <w:r>
              <w:rPr>
                <w:rFonts w:ascii="Arial" w:cs="Arial" w:eastAsia="Arial" w:hAnsi="Arial"/>
                <w:sz w:val="24"/>
                <w:szCs w:val="24"/>
                <w:color w:val="auto"/>
                <w:vertAlign w:val="superscript"/>
              </w:rPr>
              <w:t>​</w:t>
            </w:r>
          </w:p>
        </w:tc>
        <w:tc>
          <w:tcPr>
            <w:tcW w:w="840" w:type="dxa"/>
            <w:vAlign w:val="bottom"/>
            <w:tcBorders>
              <w:bottom w:val="single" w:sz="8" w:color="E7417A"/>
            </w:tcBorders>
            <w:gridSpan w:val="2"/>
          </w:tcPr>
          <w:p>
            <w:pPr>
              <w:jc w:val="right"/>
              <w:spacing w:after="0" w:line="212"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780" w:type="dxa"/>
            <w:vAlign w:val="bottom"/>
            <w:tcBorders>
              <w:bottom w:val="single" w:sz="8" w:color="E7417A"/>
            </w:tcBorders>
            <w:gridSpan w:val="2"/>
          </w:tcPr>
          <w:p>
            <w:pPr>
              <w:jc w:val="right"/>
              <w:ind w:right="8"/>
              <w:spacing w:after="0" w:line="212" w:lineRule="exact"/>
              <w:rPr>
                <w:sz w:val="20"/>
                <w:szCs w:val="20"/>
                <w:color w:val="auto"/>
              </w:rPr>
            </w:pPr>
            <w:r>
              <w:rPr>
                <w:rFonts w:ascii="Arial" w:cs="Arial" w:eastAsia="Arial" w:hAnsi="Arial"/>
                <w:sz w:val="13"/>
                <w:szCs w:val="13"/>
                <w:color w:val="auto"/>
              </w:rPr>
              <w:t>491,142</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Add Change in Fair Value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as of Vesting Date of Stock</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Awards Granted in Prior</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Fiscal Years for which</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Applicable Vesting</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Conditions were Satisfied</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2040" w:type="dxa"/>
            <w:vAlign w:val="bottom"/>
          </w:tcPr>
          <w:p>
            <w:pPr>
              <w:ind w:left="60"/>
              <w:spacing w:after="0" w:line="145" w:lineRule="exact"/>
              <w:rPr>
                <w:sz w:val="20"/>
                <w:szCs w:val="20"/>
                <w:color w:val="auto"/>
              </w:rPr>
            </w:pPr>
            <w:r>
              <w:rPr>
                <w:rFonts w:ascii="Arial" w:cs="Arial" w:eastAsia="Arial" w:hAnsi="Arial"/>
                <w:sz w:val="14"/>
                <w:szCs w:val="14"/>
                <w:color w:val="auto"/>
              </w:rPr>
              <w:t>During Fiscal Year</w:t>
            </w:r>
          </w:p>
        </w:tc>
        <w:tc>
          <w:tcPr>
            <w:tcW w:w="28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6"/>
              <w:spacing w:after="0" w:line="145" w:lineRule="exact"/>
              <w:rPr>
                <w:sz w:val="20"/>
                <w:szCs w:val="20"/>
                <w:color w:val="auto"/>
              </w:rPr>
            </w:pPr>
            <w:r>
              <w:rPr>
                <w:rFonts w:ascii="Arial" w:cs="Arial" w:eastAsia="Arial" w:hAnsi="Arial"/>
                <w:sz w:val="14"/>
                <w:szCs w:val="14"/>
                <w:color w:val="auto"/>
              </w:rPr>
              <w:t>(36,804)</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80" w:type="dxa"/>
            <w:vAlign w:val="bottom"/>
            <w:vMerge w:val="restart"/>
          </w:tcPr>
          <w:p>
            <w:pPr>
              <w:jc w:val="center"/>
              <w:ind w:right="2"/>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$ 5,677,221</w:t>
            </w:r>
          </w:p>
        </w:tc>
        <w:tc>
          <w:tcPr>
            <w:tcW w:w="180" w:type="dxa"/>
            <w:vAlign w:val="bottom"/>
            <w:vMerge w:val="restart"/>
          </w:tcPr>
          <w:p>
            <w:pPr>
              <w:jc w:val="center"/>
              <w:ind w:right="2"/>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700" w:type="dxa"/>
            <w:vAlign w:val="bottom"/>
          </w:tcPr>
          <w:p>
            <w:pPr>
              <w:ind w:left="560"/>
              <w:spacing w:after="0" w:line="145" w:lineRule="exact"/>
              <w:rPr>
                <w:sz w:val="20"/>
                <w:szCs w:val="20"/>
                <w:color w:val="auto"/>
              </w:rPr>
            </w:pPr>
            <w:r>
              <w:rPr>
                <w:rFonts w:ascii="Arial" w:cs="Arial" w:eastAsia="Arial" w:hAnsi="Arial"/>
                <w:sz w:val="14"/>
                <w:szCs w:val="14"/>
                <w:color w:val="auto"/>
                <w:w w:val="85"/>
              </w:rPr>
              <w:t>—</w:t>
            </w:r>
          </w:p>
        </w:tc>
        <w:tc>
          <w:tcPr>
            <w:tcW w:w="240" w:type="dxa"/>
            <w:vAlign w:val="bottom"/>
          </w:tcPr>
          <w:p>
            <w:pPr>
              <w:jc w:val="right"/>
              <w:ind w:right="6"/>
              <w:spacing w:after="0" w:line="14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118,640</w:t>
            </w:r>
          </w:p>
        </w:tc>
        <w:tc>
          <w:tcPr>
            <w:tcW w:w="2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70,394</w:t>
            </w:r>
          </w:p>
        </w:tc>
        <w:tc>
          <w:tcPr>
            <w:tcW w:w="1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40" w:type="dxa"/>
            <w:vAlign w:val="bottom"/>
            <w:tcBorders>
              <w:bottom w:val="single" w:sz="8" w:color="E7417A"/>
            </w:tcBorders>
            <w:vMerge w:val="continue"/>
          </w:tcPr>
          <w:p>
            <w:pPr>
              <w:spacing w:after="0"/>
              <w:rPr>
                <w:sz w:val="4"/>
                <w:szCs w:val="4"/>
                <w:color w:val="auto"/>
              </w:rPr>
            </w:pPr>
          </w:p>
        </w:tc>
        <w:tc>
          <w:tcPr>
            <w:tcW w:w="2040" w:type="dxa"/>
            <w:vAlign w:val="bottom"/>
            <w:tcBorders>
              <w:bottom w:val="single" w:sz="8" w:color="E7417A"/>
            </w:tcBorders>
          </w:tcPr>
          <w:p>
            <w:pPr>
              <w:spacing w:after="0"/>
              <w:rPr>
                <w:sz w:val="4"/>
                <w:szCs w:val="4"/>
                <w:color w:val="auto"/>
              </w:rPr>
            </w:pPr>
          </w:p>
        </w:tc>
        <w:tc>
          <w:tcPr>
            <w:tcW w:w="280" w:type="dxa"/>
            <w:vAlign w:val="bottom"/>
            <w:tcBorders>
              <w:bottom w:val="single" w:sz="8" w:color="E7417A"/>
            </w:tcBorders>
            <w:gridSpan w:val="2"/>
          </w:tcPr>
          <w:p>
            <w:pPr>
              <w:ind w:left="20"/>
              <w:spacing w:after="0" w:line="54" w:lineRule="exact"/>
              <w:rPr>
                <w:sz w:val="20"/>
                <w:szCs w:val="20"/>
                <w:color w:val="auto"/>
              </w:rPr>
            </w:pPr>
            <w:r>
              <w:rPr>
                <w:rFonts w:ascii="Arial" w:cs="Arial" w:eastAsia="Arial" w:hAnsi="Arial"/>
                <w:sz w:val="6"/>
                <w:szCs w:val="6"/>
                <w:color w:val="auto"/>
              </w:rPr>
              <w:t>​​​</w:t>
            </w:r>
          </w:p>
        </w:tc>
        <w:tc>
          <w:tcPr>
            <w:tcW w:w="580" w:type="dxa"/>
            <w:vAlign w:val="bottom"/>
            <w:tcBorders>
              <w:bottom w:val="single" w:sz="8" w:color="E7417A"/>
            </w:tcBorders>
          </w:tcPr>
          <w:p>
            <w:pPr>
              <w:spacing w:after="0"/>
              <w:rPr>
                <w:sz w:val="4"/>
                <w:szCs w:val="4"/>
                <w:color w:val="auto"/>
              </w:rPr>
            </w:pPr>
          </w:p>
        </w:tc>
        <w:tc>
          <w:tcPr>
            <w:tcW w:w="180" w:type="dxa"/>
            <w:vAlign w:val="bottom"/>
            <w:tcBorders>
              <w:bottom w:val="single" w:sz="8" w:color="E7417A"/>
            </w:tcBorders>
          </w:tcPr>
          <w:p>
            <w:pPr>
              <w:jc w:val="center"/>
              <w:ind w:right="6"/>
              <w:spacing w:after="0" w:line="54" w:lineRule="exact"/>
              <w:rPr>
                <w:sz w:val="20"/>
                <w:szCs w:val="20"/>
                <w:color w:val="auto"/>
              </w:rPr>
            </w:pPr>
            <w:r>
              <w:rPr>
                <w:rFonts w:ascii="Arial" w:cs="Arial" w:eastAsia="Arial" w:hAnsi="Arial"/>
                <w:sz w:val="6"/>
                <w:szCs w:val="6"/>
                <w:color w:val="auto"/>
              </w:rPr>
              <w:t>​​​</w:t>
            </w:r>
          </w:p>
        </w:tc>
        <w:tc>
          <w:tcPr>
            <w:tcW w:w="80" w:type="dxa"/>
            <w:vAlign w:val="bottom"/>
            <w:tcBorders>
              <w:bottom w:val="single" w:sz="8" w:color="E7417A"/>
            </w:tcBorders>
          </w:tcPr>
          <w:p>
            <w:pPr>
              <w:spacing w:after="0"/>
              <w:rPr>
                <w:sz w:val="4"/>
                <w:szCs w:val="4"/>
                <w:color w:val="auto"/>
              </w:rPr>
            </w:pPr>
          </w:p>
        </w:tc>
        <w:tc>
          <w:tcPr>
            <w:tcW w:w="600" w:type="dxa"/>
            <w:vAlign w:val="bottom"/>
            <w:tcBorders>
              <w:bottom w:val="single" w:sz="8" w:color="E7417A"/>
            </w:tcBorders>
          </w:tcPr>
          <w:p>
            <w:pPr>
              <w:spacing w:after="0"/>
              <w:rPr>
                <w:sz w:val="4"/>
                <w:szCs w:val="4"/>
                <w:color w:val="auto"/>
              </w:rPr>
            </w:pPr>
          </w:p>
        </w:tc>
        <w:tc>
          <w:tcPr>
            <w:tcW w:w="180" w:type="dxa"/>
            <w:vAlign w:val="bottom"/>
            <w:tcBorders>
              <w:bottom w:val="single" w:sz="8" w:color="E7417A"/>
            </w:tcBorders>
            <w:vMerge w:val="continue"/>
          </w:tcPr>
          <w:p>
            <w:pPr>
              <w:spacing w:after="0"/>
              <w:rPr>
                <w:sz w:val="4"/>
                <w:szCs w:val="4"/>
                <w:color w:val="auto"/>
              </w:rPr>
            </w:pPr>
          </w:p>
        </w:tc>
        <w:tc>
          <w:tcPr>
            <w:tcW w:w="40" w:type="dxa"/>
            <w:vAlign w:val="bottom"/>
            <w:tcBorders>
              <w:bottom w:val="single" w:sz="8" w:color="E7417A"/>
            </w:tcBorders>
          </w:tcPr>
          <w:p>
            <w:pPr>
              <w:spacing w:after="0"/>
              <w:rPr>
                <w:sz w:val="4"/>
                <w:szCs w:val="4"/>
                <w:color w:val="auto"/>
              </w:rPr>
            </w:pPr>
          </w:p>
        </w:tc>
        <w:tc>
          <w:tcPr>
            <w:tcW w:w="680" w:type="dxa"/>
            <w:vAlign w:val="bottom"/>
            <w:tcBorders>
              <w:bottom w:val="single" w:sz="8" w:color="E7417A"/>
            </w:tcBorders>
          </w:tcPr>
          <w:p>
            <w:pPr>
              <w:spacing w:after="0"/>
              <w:rPr>
                <w:sz w:val="4"/>
                <w:szCs w:val="4"/>
                <w:color w:val="auto"/>
              </w:rPr>
            </w:pPr>
          </w:p>
        </w:tc>
        <w:tc>
          <w:tcPr>
            <w:tcW w:w="220" w:type="dxa"/>
            <w:vAlign w:val="bottom"/>
            <w:tcBorders>
              <w:bottom w:val="single" w:sz="8" w:color="E7417A"/>
            </w:tcBorders>
          </w:tcPr>
          <w:p>
            <w:pPr>
              <w:jc w:val="right"/>
              <w:ind w:right="49"/>
              <w:spacing w:after="0" w:line="54" w:lineRule="exact"/>
              <w:rPr>
                <w:sz w:val="20"/>
                <w:szCs w:val="20"/>
                <w:color w:val="auto"/>
              </w:rPr>
            </w:pPr>
            <w:r>
              <w:rPr>
                <w:rFonts w:ascii="Arial" w:cs="Arial" w:eastAsia="Arial" w:hAnsi="Arial"/>
                <w:sz w:val="6"/>
                <w:szCs w:val="6"/>
                <w:color w:val="auto"/>
              </w:rPr>
              <w:t>​​​</w:t>
            </w:r>
          </w:p>
        </w:tc>
        <w:tc>
          <w:tcPr>
            <w:tcW w:w="660" w:type="dxa"/>
            <w:vAlign w:val="bottom"/>
            <w:tcBorders>
              <w:bottom w:val="single" w:sz="8" w:color="E7417A"/>
            </w:tcBorders>
          </w:tcPr>
          <w:p>
            <w:pPr>
              <w:spacing w:after="0"/>
              <w:rPr>
                <w:sz w:val="4"/>
                <w:szCs w:val="4"/>
                <w:color w:val="auto"/>
              </w:rPr>
            </w:pPr>
          </w:p>
        </w:tc>
        <w:tc>
          <w:tcPr>
            <w:tcW w:w="180" w:type="dxa"/>
            <w:vAlign w:val="bottom"/>
            <w:tcBorders>
              <w:bottom w:val="single" w:sz="8" w:color="E7417A"/>
            </w:tcBorders>
            <w:vMerge w:val="continue"/>
          </w:tcPr>
          <w:p>
            <w:pPr>
              <w:spacing w:after="0"/>
              <w:rPr>
                <w:sz w:val="4"/>
                <w:szCs w:val="4"/>
                <w:color w:val="auto"/>
              </w:rPr>
            </w:pPr>
          </w:p>
        </w:tc>
        <w:tc>
          <w:tcPr>
            <w:tcW w:w="60" w:type="dxa"/>
            <w:vAlign w:val="bottom"/>
            <w:tcBorders>
              <w:bottom w:val="single" w:sz="8" w:color="E7417A"/>
            </w:tcBorders>
          </w:tcPr>
          <w:p>
            <w:pPr>
              <w:spacing w:after="0"/>
              <w:rPr>
                <w:sz w:val="4"/>
                <w:szCs w:val="4"/>
                <w:color w:val="auto"/>
              </w:rPr>
            </w:pPr>
          </w:p>
        </w:tc>
        <w:tc>
          <w:tcPr>
            <w:tcW w:w="700" w:type="dxa"/>
            <w:vAlign w:val="bottom"/>
            <w:tcBorders>
              <w:bottom w:val="single" w:sz="8" w:color="E7417A"/>
            </w:tcBorders>
          </w:tcPr>
          <w:p>
            <w:pPr>
              <w:spacing w:after="0"/>
              <w:rPr>
                <w:sz w:val="4"/>
                <w:szCs w:val="4"/>
                <w:color w:val="auto"/>
              </w:rPr>
            </w:pPr>
          </w:p>
        </w:tc>
        <w:tc>
          <w:tcPr>
            <w:tcW w:w="240" w:type="dxa"/>
            <w:vAlign w:val="bottom"/>
            <w:tcBorders>
              <w:bottom w:val="single" w:sz="8" w:color="E7417A"/>
            </w:tcBorders>
          </w:tcPr>
          <w:p>
            <w:pPr>
              <w:jc w:val="right"/>
              <w:ind w:right="66"/>
              <w:spacing w:after="0" w:line="54" w:lineRule="exact"/>
              <w:rPr>
                <w:sz w:val="20"/>
                <w:szCs w:val="20"/>
                <w:color w:val="auto"/>
              </w:rPr>
            </w:pPr>
            <w:r>
              <w:rPr>
                <w:rFonts w:ascii="Arial" w:cs="Arial" w:eastAsia="Arial" w:hAnsi="Arial"/>
                <w:sz w:val="6"/>
                <w:szCs w:val="6"/>
                <w:color w:val="auto"/>
              </w:rPr>
              <w:t>​​​</w:t>
            </w:r>
          </w:p>
        </w:tc>
        <w:tc>
          <w:tcPr>
            <w:tcW w:w="640" w:type="dxa"/>
            <w:vAlign w:val="bottom"/>
            <w:tcBorders>
              <w:bottom w:val="single" w:sz="8" w:color="E7417A"/>
            </w:tcBorders>
          </w:tcPr>
          <w:p>
            <w:pPr>
              <w:spacing w:after="0"/>
              <w:rPr>
                <w:sz w:val="4"/>
                <w:szCs w:val="4"/>
                <w:color w:val="auto"/>
              </w:rPr>
            </w:pPr>
          </w:p>
        </w:tc>
        <w:tc>
          <w:tcPr>
            <w:tcW w:w="200" w:type="dxa"/>
            <w:vAlign w:val="bottom"/>
            <w:tcBorders>
              <w:bottom w:val="single" w:sz="8" w:color="E7417A"/>
            </w:tcBorders>
          </w:tcPr>
          <w:p>
            <w:pPr>
              <w:jc w:val="right"/>
              <w:ind w:right="26"/>
              <w:spacing w:after="0" w:line="54" w:lineRule="exact"/>
              <w:rPr>
                <w:sz w:val="20"/>
                <w:szCs w:val="20"/>
                <w:color w:val="auto"/>
              </w:rPr>
            </w:pPr>
            <w:r>
              <w:rPr>
                <w:rFonts w:ascii="Arial" w:cs="Arial" w:eastAsia="Arial" w:hAnsi="Arial"/>
                <w:sz w:val="6"/>
                <w:szCs w:val="6"/>
                <w:color w:val="auto"/>
              </w:rPr>
              <w:t>​​​</w:t>
            </w:r>
          </w:p>
        </w:tc>
        <w:tc>
          <w:tcPr>
            <w:tcW w:w="660" w:type="dxa"/>
            <w:vAlign w:val="bottom"/>
            <w:tcBorders>
              <w:bottom w:val="single" w:sz="8" w:color="E7417A"/>
            </w:tcBorders>
          </w:tcPr>
          <w:p>
            <w:pPr>
              <w:spacing w:after="0"/>
              <w:rPr>
                <w:sz w:val="4"/>
                <w:szCs w:val="4"/>
                <w:color w:val="auto"/>
              </w:rPr>
            </w:pPr>
          </w:p>
        </w:tc>
        <w:tc>
          <w:tcPr>
            <w:tcW w:w="120" w:type="dxa"/>
            <w:vAlign w:val="bottom"/>
            <w:tcBorders>
              <w:bottom w:val="single" w:sz="8" w:color="E7417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Deduct Fair Value as of Prior</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Fiscal Year End of Stock</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Awards Granted in Prior</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Fiscal Years that Failed to</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Meet Applicable Vesting</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360" w:type="dxa"/>
            <w:vAlign w:val="bottom"/>
            <w:tcBorders>
              <w:bottom w:val="single" w:sz="8" w:color="E7417A"/>
            </w:tcBorders>
            <w:gridSpan w:val="4"/>
          </w:tcPr>
          <w:p>
            <w:pPr>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xml:space="preserve"> Conditions During Fiscal Year </w:t>
            </w: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760" w:type="dxa"/>
            <w:vAlign w:val="bottom"/>
            <w:tcBorders>
              <w:bottom w:val="single" w:sz="8" w:color="E7417A"/>
            </w:tcBorders>
            <w:gridSpan w:val="2"/>
          </w:tcPr>
          <w:p>
            <w:pPr>
              <w:jc w:val="right"/>
              <w:spacing w:after="0" w:line="212" w:lineRule="exact"/>
              <w:rPr>
                <w:sz w:val="20"/>
                <w:szCs w:val="20"/>
                <w:color w:val="auto"/>
              </w:rPr>
            </w:pPr>
            <w:r>
              <w:rPr>
                <w:rFonts w:ascii="Arial" w:cs="Arial" w:eastAsia="Arial" w:hAnsi="Arial"/>
                <w:sz w:val="13"/>
                <w:szCs w:val="13"/>
                <w:color w:val="auto"/>
              </w:rPr>
              <w:t>350,369</w:t>
            </w: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80" w:type="dxa"/>
            <w:vAlign w:val="bottom"/>
            <w:tcBorders>
              <w:bottom w:val="single" w:sz="8" w:color="E7417A"/>
            </w:tcBorders>
          </w:tcPr>
          <w:p>
            <w:pPr>
              <w:spacing w:after="0"/>
              <w:rPr>
                <w:sz w:val="18"/>
                <w:szCs w:val="18"/>
                <w:color w:val="auto"/>
              </w:rPr>
            </w:pPr>
          </w:p>
        </w:tc>
        <w:tc>
          <w:tcPr>
            <w:tcW w:w="820" w:type="dxa"/>
            <w:vAlign w:val="bottom"/>
            <w:tcBorders>
              <w:bottom w:val="single" w:sz="8" w:color="E7417A"/>
            </w:tcBorders>
            <w:gridSpan w:val="3"/>
          </w:tcPr>
          <w:p>
            <w:pPr>
              <w:jc w:val="right"/>
              <w:spacing w:after="0" w:line="212" w:lineRule="exact"/>
              <w:rPr>
                <w:sz w:val="20"/>
                <w:szCs w:val="20"/>
                <w:color w:val="auto"/>
              </w:rPr>
            </w:pPr>
            <w:r>
              <w:rPr>
                <w:rFonts w:ascii="Arial" w:cs="Arial" w:eastAsia="Arial" w:hAnsi="Arial"/>
                <w:sz w:val="13"/>
                <w:szCs w:val="13"/>
                <w:color w:val="auto"/>
              </w:rPr>
              <w:t>672,828</w:t>
            </w:r>
            <w:r>
              <w:rPr>
                <w:rFonts w:ascii="Arial" w:cs="Arial" w:eastAsia="Arial" w:hAnsi="Arial"/>
                <w:sz w:val="24"/>
                <w:szCs w:val="24"/>
                <w:color w:val="auto"/>
                <w:vertAlign w:val="subscript"/>
              </w:rPr>
              <w:t>​​​</w:t>
            </w:r>
            <w:r>
              <w:rPr>
                <w:rFonts w:ascii="Arial" w:cs="Arial" w:eastAsia="Arial" w:hAnsi="Arial"/>
                <w:sz w:val="13"/>
                <w:szCs w:val="13"/>
                <w:color w:val="auto"/>
              </w:rPr>
              <w:t xml:space="preserve"> ​</w:t>
            </w:r>
          </w:p>
        </w:tc>
        <w:tc>
          <w:tcPr>
            <w:tcW w:w="900" w:type="dxa"/>
            <w:vAlign w:val="bottom"/>
            <w:tcBorders>
              <w:bottom w:val="single" w:sz="8" w:color="E7417A"/>
            </w:tcBorders>
            <w:gridSpan w:val="2"/>
          </w:tcPr>
          <w:p>
            <w:pPr>
              <w:jc w:val="right"/>
              <w:spacing w:after="0" w:line="212"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w:t>
            </w:r>
            <w:r>
              <w:rPr>
                <w:rFonts w:ascii="Arial" w:cs="Arial" w:eastAsia="Arial" w:hAnsi="Arial"/>
                <w:sz w:val="24"/>
                <w:szCs w:val="24"/>
                <w:color w:val="auto"/>
                <w:vertAlign w:val="superscript"/>
              </w:rPr>
              <w:t>​</w:t>
            </w:r>
          </w:p>
        </w:tc>
        <w:tc>
          <w:tcPr>
            <w:tcW w:w="900" w:type="dxa"/>
            <w:vAlign w:val="bottom"/>
            <w:tcBorders>
              <w:bottom w:val="single" w:sz="8" w:color="E7417A"/>
            </w:tcBorders>
            <w:gridSpan w:val="3"/>
          </w:tcPr>
          <w:p>
            <w:pPr>
              <w:jc w:val="right"/>
              <w:spacing w:after="0" w:line="212"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w:t>
            </w:r>
            <w:r>
              <w:rPr>
                <w:rFonts w:ascii="Arial" w:cs="Arial" w:eastAsia="Arial" w:hAnsi="Arial"/>
                <w:sz w:val="24"/>
                <w:szCs w:val="24"/>
                <w:color w:val="auto"/>
                <w:vertAlign w:val="superscript"/>
              </w:rPr>
              <w:t>​</w:t>
            </w:r>
          </w:p>
        </w:tc>
        <w:tc>
          <w:tcPr>
            <w:tcW w:w="940" w:type="dxa"/>
            <w:vAlign w:val="bottom"/>
            <w:tcBorders>
              <w:bottom w:val="single" w:sz="8" w:color="E7417A"/>
            </w:tcBorders>
            <w:gridSpan w:val="2"/>
          </w:tcPr>
          <w:p>
            <w:pPr>
              <w:ind w:left="560"/>
              <w:spacing w:after="0" w:line="212"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w:t>
            </w:r>
            <w:r>
              <w:rPr>
                <w:rFonts w:ascii="Arial" w:cs="Arial" w:eastAsia="Arial" w:hAnsi="Arial"/>
                <w:sz w:val="24"/>
                <w:szCs w:val="24"/>
                <w:color w:val="auto"/>
                <w:vertAlign w:val="superscript"/>
              </w:rPr>
              <w:t>​</w:t>
            </w:r>
          </w:p>
        </w:tc>
        <w:tc>
          <w:tcPr>
            <w:tcW w:w="840" w:type="dxa"/>
            <w:vAlign w:val="bottom"/>
            <w:tcBorders>
              <w:bottom w:val="single" w:sz="8" w:color="E7417A"/>
            </w:tcBorders>
            <w:gridSpan w:val="2"/>
          </w:tcPr>
          <w:p>
            <w:pPr>
              <w:jc w:val="right"/>
              <w:spacing w:after="0" w:line="212"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780" w:type="dxa"/>
            <w:vAlign w:val="bottom"/>
            <w:tcBorders>
              <w:bottom w:val="single" w:sz="8" w:color="E7417A"/>
            </w:tcBorders>
            <w:gridSpan w:val="2"/>
          </w:tcPr>
          <w:p>
            <w:pPr>
              <w:jc w:val="right"/>
              <w:ind w:right="8"/>
              <w:spacing w:after="0" w:line="212" w:lineRule="exact"/>
              <w:rPr>
                <w:sz w:val="20"/>
                <w:szCs w:val="20"/>
                <w:color w:val="auto"/>
              </w:rPr>
            </w:pPr>
            <w:r>
              <w:rPr>
                <w:rFonts w:ascii="Arial" w:cs="Arial" w:eastAsia="Arial" w:hAnsi="Arial"/>
                <w:sz w:val="13"/>
                <w:szCs w:val="13"/>
                <w:color w:val="auto"/>
              </w:rPr>
              <w:t>154,314</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155"/>
        </w:trPr>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2040" w:type="dxa"/>
            <w:vAlign w:val="bottom"/>
          </w:tcPr>
          <w:p>
            <w:pPr>
              <w:ind w:left="60"/>
              <w:spacing w:after="0" w:line="155" w:lineRule="exact"/>
              <w:rPr>
                <w:sz w:val="20"/>
                <w:szCs w:val="20"/>
                <w:color w:val="auto"/>
              </w:rPr>
            </w:pPr>
            <w:r>
              <w:rPr>
                <w:rFonts w:ascii="Arial" w:cs="Arial" w:eastAsia="Arial" w:hAnsi="Arial"/>
                <w:sz w:val="14"/>
                <w:szCs w:val="14"/>
                <w:color w:val="auto"/>
              </w:rPr>
              <w:t>Compensation Actually Paid</w:t>
            </w:r>
          </w:p>
        </w:tc>
        <w:tc>
          <w:tcPr>
            <w:tcW w:w="860" w:type="dxa"/>
            <w:vAlign w:val="bottom"/>
            <w:gridSpan w:val="3"/>
          </w:tcPr>
          <w:p>
            <w:pPr>
              <w:ind w:left="120"/>
              <w:spacing w:after="0" w:line="155" w:lineRule="exact"/>
              <w:rPr>
                <w:sz w:val="20"/>
                <w:szCs w:val="20"/>
                <w:color w:val="auto"/>
              </w:rPr>
            </w:pPr>
            <w:r>
              <w:rPr>
                <w:rFonts w:ascii="Arial" w:cs="Arial" w:eastAsia="Arial" w:hAnsi="Arial"/>
                <w:sz w:val="14"/>
                <w:szCs w:val="14"/>
                <w:color w:val="auto"/>
                <w:w w:val="97"/>
              </w:rPr>
              <w:t>$ 5,064,828</w:t>
            </w:r>
          </w:p>
        </w:tc>
        <w:tc>
          <w:tcPr>
            <w:tcW w:w="8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$ 1,944,504</w:t>
            </w:r>
          </w:p>
        </w:tc>
        <w:tc>
          <w:tcPr>
            <w:tcW w:w="1780" w:type="dxa"/>
            <w:vAlign w:val="bottom"/>
            <w:gridSpan w:val="5"/>
          </w:tcPr>
          <w:p>
            <w:pPr>
              <w:jc w:val="right"/>
              <w:spacing w:after="0" w:line="155" w:lineRule="exact"/>
              <w:rPr>
                <w:sz w:val="20"/>
                <w:szCs w:val="20"/>
                <w:color w:val="auto"/>
              </w:rPr>
            </w:pPr>
            <w:r>
              <w:rPr>
                <w:rFonts w:ascii="Arial" w:cs="Arial" w:eastAsia="Arial" w:hAnsi="Arial"/>
                <w:sz w:val="14"/>
                <w:szCs w:val="14"/>
                <w:color w:val="auto"/>
              </w:rPr>
              <w:t>$ (6,504,331) $ 2,879,477</w:t>
            </w:r>
          </w:p>
        </w:tc>
        <w:tc>
          <w:tcPr>
            <w:tcW w:w="9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$ 23,030,777</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$ 3,389,048</w:t>
            </w: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$ 1,734,278</w:t>
            </w:r>
          </w:p>
        </w:tc>
        <w:tc>
          <w:tcPr>
            <w:tcW w:w="1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40" w:type="dxa"/>
            <w:vAlign w:val="bottom"/>
            <w:tcBorders>
              <w:bottom w:val="single" w:sz="8" w:color="62259D"/>
            </w:tcBorders>
            <w:vMerge w:val="continue"/>
          </w:tcPr>
          <w:p>
            <w:pPr>
              <w:spacing w:after="0"/>
              <w:rPr>
                <w:sz w:val="4"/>
                <w:szCs w:val="4"/>
                <w:color w:val="auto"/>
              </w:rPr>
            </w:pPr>
          </w:p>
        </w:tc>
        <w:tc>
          <w:tcPr>
            <w:tcW w:w="2040" w:type="dxa"/>
            <w:vAlign w:val="bottom"/>
            <w:tcBorders>
              <w:bottom w:val="single" w:sz="8" w:color="62259D"/>
            </w:tcBorders>
          </w:tcPr>
          <w:p>
            <w:pPr>
              <w:spacing w:after="0"/>
              <w:rPr>
                <w:sz w:val="4"/>
                <w:szCs w:val="4"/>
                <w:color w:val="auto"/>
              </w:rPr>
            </w:pPr>
          </w:p>
        </w:tc>
        <w:tc>
          <w:tcPr>
            <w:tcW w:w="280" w:type="dxa"/>
            <w:vAlign w:val="bottom"/>
            <w:tcBorders>
              <w:bottom w:val="single" w:sz="8" w:color="62259D"/>
            </w:tcBorders>
            <w:gridSpan w:val="2"/>
          </w:tcPr>
          <w:p>
            <w:pPr>
              <w:ind w:left="20"/>
              <w:spacing w:after="0" w:line="54" w:lineRule="exact"/>
              <w:rPr>
                <w:sz w:val="20"/>
                <w:szCs w:val="20"/>
                <w:color w:val="auto"/>
              </w:rPr>
            </w:pPr>
            <w:r>
              <w:rPr>
                <w:rFonts w:ascii="Arial" w:cs="Arial" w:eastAsia="Arial" w:hAnsi="Arial"/>
                <w:sz w:val="6"/>
                <w:szCs w:val="6"/>
                <w:color w:val="auto"/>
              </w:rPr>
              <w:t>​​​</w:t>
            </w:r>
          </w:p>
        </w:tc>
        <w:tc>
          <w:tcPr>
            <w:tcW w:w="580" w:type="dxa"/>
            <w:vAlign w:val="bottom"/>
            <w:tcBorders>
              <w:bottom w:val="single" w:sz="8" w:color="62259D"/>
            </w:tcBorders>
          </w:tcPr>
          <w:p>
            <w:pPr>
              <w:spacing w:after="0"/>
              <w:rPr>
                <w:sz w:val="4"/>
                <w:szCs w:val="4"/>
                <w:color w:val="auto"/>
              </w:rPr>
            </w:pPr>
          </w:p>
        </w:tc>
        <w:tc>
          <w:tcPr>
            <w:tcW w:w="180" w:type="dxa"/>
            <w:vAlign w:val="bottom"/>
            <w:tcBorders>
              <w:bottom w:val="single" w:sz="8" w:color="62259D"/>
            </w:tcBorders>
          </w:tcPr>
          <w:p>
            <w:pPr>
              <w:jc w:val="center"/>
              <w:ind w:right="6"/>
              <w:spacing w:after="0" w:line="54" w:lineRule="exact"/>
              <w:rPr>
                <w:sz w:val="20"/>
                <w:szCs w:val="20"/>
                <w:color w:val="auto"/>
              </w:rPr>
            </w:pPr>
            <w:r>
              <w:rPr>
                <w:rFonts w:ascii="Arial" w:cs="Arial" w:eastAsia="Arial" w:hAnsi="Arial"/>
                <w:sz w:val="6"/>
                <w:szCs w:val="6"/>
                <w:color w:val="auto"/>
              </w:rPr>
              <w:t>​​​</w:t>
            </w:r>
          </w:p>
        </w:tc>
        <w:tc>
          <w:tcPr>
            <w:tcW w:w="80" w:type="dxa"/>
            <w:vAlign w:val="bottom"/>
            <w:tcBorders>
              <w:bottom w:val="single" w:sz="8" w:color="62259D"/>
            </w:tcBorders>
          </w:tcPr>
          <w:p>
            <w:pPr>
              <w:spacing w:after="0"/>
              <w:rPr>
                <w:sz w:val="4"/>
                <w:szCs w:val="4"/>
                <w:color w:val="auto"/>
              </w:rPr>
            </w:pPr>
          </w:p>
        </w:tc>
        <w:tc>
          <w:tcPr>
            <w:tcW w:w="600" w:type="dxa"/>
            <w:vAlign w:val="bottom"/>
            <w:tcBorders>
              <w:bottom w:val="single" w:sz="8" w:color="62259D"/>
            </w:tcBorders>
          </w:tcPr>
          <w:p>
            <w:pPr>
              <w:spacing w:after="0"/>
              <w:rPr>
                <w:sz w:val="4"/>
                <w:szCs w:val="4"/>
                <w:color w:val="auto"/>
              </w:rPr>
            </w:pPr>
          </w:p>
        </w:tc>
        <w:tc>
          <w:tcPr>
            <w:tcW w:w="180" w:type="dxa"/>
            <w:vAlign w:val="bottom"/>
            <w:tcBorders>
              <w:bottom w:val="single" w:sz="8" w:color="62259D"/>
            </w:tcBorders>
          </w:tcPr>
          <w:p>
            <w:pPr>
              <w:jc w:val="center"/>
              <w:ind w:right="2"/>
              <w:spacing w:after="0" w:line="54" w:lineRule="exact"/>
              <w:rPr>
                <w:sz w:val="20"/>
                <w:szCs w:val="20"/>
                <w:color w:val="auto"/>
              </w:rPr>
            </w:pPr>
            <w:r>
              <w:rPr>
                <w:rFonts w:ascii="Arial" w:cs="Arial" w:eastAsia="Arial" w:hAnsi="Arial"/>
                <w:sz w:val="6"/>
                <w:szCs w:val="6"/>
                <w:color w:val="auto"/>
              </w:rPr>
              <w:t>​​​</w:t>
            </w:r>
          </w:p>
        </w:tc>
        <w:tc>
          <w:tcPr>
            <w:tcW w:w="40" w:type="dxa"/>
            <w:vAlign w:val="bottom"/>
            <w:tcBorders>
              <w:bottom w:val="single" w:sz="8" w:color="62259D"/>
            </w:tcBorders>
          </w:tcPr>
          <w:p>
            <w:pPr>
              <w:spacing w:after="0"/>
              <w:rPr>
                <w:sz w:val="4"/>
                <w:szCs w:val="4"/>
                <w:color w:val="auto"/>
              </w:rPr>
            </w:pPr>
          </w:p>
        </w:tc>
        <w:tc>
          <w:tcPr>
            <w:tcW w:w="680" w:type="dxa"/>
            <w:vAlign w:val="bottom"/>
            <w:tcBorders>
              <w:bottom w:val="single" w:sz="8" w:color="62259D"/>
            </w:tcBorders>
          </w:tcPr>
          <w:p>
            <w:pPr>
              <w:spacing w:after="0"/>
              <w:rPr>
                <w:sz w:val="4"/>
                <w:szCs w:val="4"/>
                <w:color w:val="auto"/>
              </w:rPr>
            </w:pPr>
          </w:p>
        </w:tc>
        <w:tc>
          <w:tcPr>
            <w:tcW w:w="220" w:type="dxa"/>
            <w:vAlign w:val="bottom"/>
            <w:tcBorders>
              <w:bottom w:val="single" w:sz="8" w:color="62259D"/>
            </w:tcBorders>
          </w:tcPr>
          <w:p>
            <w:pPr>
              <w:jc w:val="right"/>
              <w:ind w:right="49"/>
              <w:spacing w:after="0" w:line="54" w:lineRule="exact"/>
              <w:rPr>
                <w:sz w:val="20"/>
                <w:szCs w:val="20"/>
                <w:color w:val="auto"/>
              </w:rPr>
            </w:pPr>
            <w:r>
              <w:rPr>
                <w:rFonts w:ascii="Arial" w:cs="Arial" w:eastAsia="Arial" w:hAnsi="Arial"/>
                <w:sz w:val="6"/>
                <w:szCs w:val="6"/>
                <w:color w:val="auto"/>
              </w:rPr>
              <w:t>​​​</w:t>
            </w:r>
          </w:p>
        </w:tc>
        <w:tc>
          <w:tcPr>
            <w:tcW w:w="660" w:type="dxa"/>
            <w:vAlign w:val="bottom"/>
            <w:tcBorders>
              <w:bottom w:val="single" w:sz="8" w:color="62259D"/>
            </w:tcBorders>
          </w:tcPr>
          <w:p>
            <w:pPr>
              <w:spacing w:after="0"/>
              <w:rPr>
                <w:sz w:val="4"/>
                <w:szCs w:val="4"/>
                <w:color w:val="auto"/>
              </w:rPr>
            </w:pPr>
          </w:p>
        </w:tc>
        <w:tc>
          <w:tcPr>
            <w:tcW w:w="180" w:type="dxa"/>
            <w:vAlign w:val="bottom"/>
            <w:tcBorders>
              <w:bottom w:val="single" w:sz="8" w:color="62259D"/>
            </w:tcBorders>
          </w:tcPr>
          <w:p>
            <w:pPr>
              <w:jc w:val="center"/>
              <w:ind w:right="2"/>
              <w:spacing w:after="0" w:line="54" w:lineRule="exact"/>
              <w:rPr>
                <w:sz w:val="20"/>
                <w:szCs w:val="20"/>
                <w:color w:val="auto"/>
              </w:rPr>
            </w:pPr>
            <w:r>
              <w:rPr>
                <w:rFonts w:ascii="Arial" w:cs="Arial" w:eastAsia="Arial" w:hAnsi="Arial"/>
                <w:sz w:val="6"/>
                <w:szCs w:val="6"/>
                <w:color w:val="auto"/>
              </w:rPr>
              <w:t>​​​</w:t>
            </w:r>
          </w:p>
        </w:tc>
        <w:tc>
          <w:tcPr>
            <w:tcW w:w="60" w:type="dxa"/>
            <w:vAlign w:val="bottom"/>
            <w:tcBorders>
              <w:bottom w:val="single" w:sz="8" w:color="62259D"/>
            </w:tcBorders>
          </w:tcPr>
          <w:p>
            <w:pPr>
              <w:spacing w:after="0"/>
              <w:rPr>
                <w:sz w:val="4"/>
                <w:szCs w:val="4"/>
                <w:color w:val="auto"/>
              </w:rPr>
            </w:pPr>
          </w:p>
        </w:tc>
        <w:tc>
          <w:tcPr>
            <w:tcW w:w="700" w:type="dxa"/>
            <w:vAlign w:val="bottom"/>
            <w:tcBorders>
              <w:bottom w:val="single" w:sz="8" w:color="62259D"/>
            </w:tcBorders>
          </w:tcPr>
          <w:p>
            <w:pPr>
              <w:spacing w:after="0"/>
              <w:rPr>
                <w:sz w:val="4"/>
                <w:szCs w:val="4"/>
                <w:color w:val="auto"/>
              </w:rPr>
            </w:pPr>
          </w:p>
        </w:tc>
        <w:tc>
          <w:tcPr>
            <w:tcW w:w="240" w:type="dxa"/>
            <w:vAlign w:val="bottom"/>
            <w:tcBorders>
              <w:bottom w:val="single" w:sz="8" w:color="62259D"/>
            </w:tcBorders>
          </w:tcPr>
          <w:p>
            <w:pPr>
              <w:jc w:val="right"/>
              <w:ind w:right="66"/>
              <w:spacing w:after="0" w:line="54" w:lineRule="exact"/>
              <w:rPr>
                <w:sz w:val="20"/>
                <w:szCs w:val="20"/>
                <w:color w:val="auto"/>
              </w:rPr>
            </w:pPr>
            <w:r>
              <w:rPr>
                <w:rFonts w:ascii="Arial" w:cs="Arial" w:eastAsia="Arial" w:hAnsi="Arial"/>
                <w:sz w:val="6"/>
                <w:szCs w:val="6"/>
                <w:color w:val="auto"/>
              </w:rPr>
              <w:t>​​​</w:t>
            </w:r>
          </w:p>
        </w:tc>
        <w:tc>
          <w:tcPr>
            <w:tcW w:w="640" w:type="dxa"/>
            <w:vAlign w:val="bottom"/>
            <w:tcBorders>
              <w:bottom w:val="single" w:sz="8" w:color="62259D"/>
            </w:tcBorders>
          </w:tcPr>
          <w:p>
            <w:pPr>
              <w:spacing w:after="0"/>
              <w:rPr>
                <w:sz w:val="4"/>
                <w:szCs w:val="4"/>
                <w:color w:val="auto"/>
              </w:rPr>
            </w:pPr>
          </w:p>
        </w:tc>
        <w:tc>
          <w:tcPr>
            <w:tcW w:w="200" w:type="dxa"/>
            <w:vAlign w:val="bottom"/>
            <w:tcBorders>
              <w:bottom w:val="single" w:sz="8" w:color="62259D"/>
            </w:tcBorders>
          </w:tcPr>
          <w:p>
            <w:pPr>
              <w:jc w:val="right"/>
              <w:ind w:right="26"/>
              <w:spacing w:after="0" w:line="54" w:lineRule="exact"/>
              <w:rPr>
                <w:sz w:val="20"/>
                <w:szCs w:val="20"/>
                <w:color w:val="auto"/>
              </w:rPr>
            </w:pPr>
            <w:r>
              <w:rPr>
                <w:rFonts w:ascii="Arial" w:cs="Arial" w:eastAsia="Arial" w:hAnsi="Arial"/>
                <w:sz w:val="6"/>
                <w:szCs w:val="6"/>
                <w:color w:val="auto"/>
              </w:rPr>
              <w:t>​​​</w:t>
            </w:r>
          </w:p>
        </w:tc>
        <w:tc>
          <w:tcPr>
            <w:tcW w:w="660" w:type="dxa"/>
            <w:vAlign w:val="bottom"/>
            <w:tcBorders>
              <w:bottom w:val="single" w:sz="8" w:color="62259D"/>
            </w:tcBorders>
          </w:tcPr>
          <w:p>
            <w:pPr>
              <w:spacing w:after="0"/>
              <w:rPr>
                <w:sz w:val="4"/>
                <w:szCs w:val="4"/>
                <w:color w:val="auto"/>
              </w:rPr>
            </w:pPr>
          </w:p>
        </w:tc>
        <w:tc>
          <w:tcPr>
            <w:tcW w:w="120" w:type="dxa"/>
            <w:vAlign w:val="bottom"/>
            <w:tcBorders>
              <w:bottom w:val="single" w:sz="8" w:color="62259D"/>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400" w:right="400" w:hanging="368"/>
        <w:spacing w:after="0" w:line="273" w:lineRule="auto"/>
        <w:tabs>
          <w:tab w:leader="none" w:pos="140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following tables detail the applicable adjustments made, per SEC rules, to the amounts reflected in the total column of the “Summary Compensation Table” for the Other NEOs as a group to determine the “Compensation Actually Paid for the Other NEOs as a group.</w:t>
      </w:r>
    </w:p>
    <w:p>
      <w:pPr>
        <w:spacing w:after="0" w:line="148" w:lineRule="exact"/>
        <w:rPr>
          <w:sz w:val="20"/>
          <w:szCs w:val="20"/>
          <w:color w:val="auto"/>
        </w:rPr>
      </w:pPr>
    </w:p>
    <w:tbl>
      <w:tblPr>
        <w:tblLayout w:type="fixed"/>
        <w:tblInd w:w="920" w:type="dxa"/>
        <w:tblCellMar>
          <w:top w:w="0" w:type="dxa"/>
          <w:left w:w="0" w:type="dxa"/>
          <w:bottom w:w="0" w:type="dxa"/>
          <w:right w:w="0" w:type="dxa"/>
        </w:tblCellMar>
      </w:tblPr>
      <w:tr>
        <w:trPr>
          <w:trHeight w:val="243"/>
        </w:trPr>
        <w:tc>
          <w:tcPr>
            <w:tcW w:w="60" w:type="dxa"/>
            <w:vAlign w:val="bottom"/>
            <w:shd w:val="clear" w:color="auto" w:fill="62259D"/>
          </w:tcPr>
          <w:p>
            <w:pPr>
              <w:spacing w:after="0"/>
              <w:rPr>
                <w:sz w:val="21"/>
                <w:szCs w:val="21"/>
                <w:color w:val="auto"/>
              </w:rPr>
            </w:pPr>
          </w:p>
        </w:tc>
        <w:tc>
          <w:tcPr>
            <w:tcW w:w="4140" w:type="dxa"/>
            <w:vAlign w:val="bottom"/>
            <w:shd w:val="clear" w:color="auto" w:fill="62259D"/>
          </w:tcPr>
          <w:p>
            <w:pPr>
              <w:spacing w:after="0"/>
              <w:rPr>
                <w:sz w:val="20"/>
                <w:szCs w:val="20"/>
                <w:color w:val="auto"/>
              </w:rPr>
            </w:pPr>
            <w:r>
              <w:rPr>
                <w:rFonts w:ascii="Arial" w:cs="Arial" w:eastAsia="Arial" w:hAnsi="Arial"/>
                <w:sz w:val="14"/>
                <w:szCs w:val="14"/>
                <w:b w:val="1"/>
                <w:bCs w:val="1"/>
                <w:color w:val="FEFEFE"/>
              </w:rPr>
              <w:t>​​</w:t>
            </w:r>
          </w:p>
        </w:tc>
        <w:tc>
          <w:tcPr>
            <w:tcW w:w="340" w:type="dxa"/>
            <w:vAlign w:val="bottom"/>
            <w:shd w:val="clear" w:color="auto" w:fill="62259D"/>
          </w:tcPr>
          <w:p>
            <w:pPr>
              <w:ind w:left="80"/>
              <w:spacing w:after="0"/>
              <w:rPr>
                <w:sz w:val="20"/>
                <w:szCs w:val="20"/>
                <w:color w:val="auto"/>
              </w:rPr>
            </w:pPr>
            <w:r>
              <w:rPr>
                <w:rFonts w:ascii="Arial" w:cs="Arial" w:eastAsia="Arial" w:hAnsi="Arial"/>
                <w:sz w:val="14"/>
                <w:szCs w:val="14"/>
                <w:b w:val="1"/>
                <w:bCs w:val="1"/>
                <w:color w:val="FEFEFE"/>
              </w:rPr>
              <w:t>​ ​</w:t>
            </w:r>
          </w:p>
        </w:tc>
        <w:tc>
          <w:tcPr>
            <w:tcW w:w="60" w:type="dxa"/>
            <w:vAlign w:val="bottom"/>
            <w:shd w:val="clear" w:color="auto" w:fill="62259D"/>
          </w:tcPr>
          <w:p>
            <w:pPr>
              <w:spacing w:after="0"/>
              <w:rPr>
                <w:sz w:val="21"/>
                <w:szCs w:val="21"/>
                <w:color w:val="auto"/>
              </w:rPr>
            </w:pPr>
          </w:p>
        </w:tc>
        <w:tc>
          <w:tcPr>
            <w:tcW w:w="580" w:type="dxa"/>
            <w:vAlign w:val="bottom"/>
            <w:shd w:val="clear" w:color="auto" w:fill="62259D"/>
          </w:tcPr>
          <w:p>
            <w:pPr>
              <w:ind w:left="40"/>
              <w:spacing w:after="0"/>
              <w:rPr>
                <w:sz w:val="20"/>
                <w:szCs w:val="20"/>
                <w:color w:val="auto"/>
              </w:rPr>
            </w:pPr>
            <w:r>
              <w:rPr>
                <w:rFonts w:ascii="Arial" w:cs="Arial" w:eastAsia="Arial" w:hAnsi="Arial"/>
                <w:sz w:val="14"/>
                <w:szCs w:val="14"/>
                <w:b w:val="1"/>
                <w:bCs w:val="1"/>
                <w:color w:val="FEFEFE"/>
              </w:rPr>
              <w:t>2024</w:t>
            </w:r>
          </w:p>
        </w:tc>
        <w:tc>
          <w:tcPr>
            <w:tcW w:w="60" w:type="dxa"/>
            <w:vAlign w:val="bottom"/>
            <w:shd w:val="clear" w:color="auto" w:fill="62259D"/>
          </w:tcPr>
          <w:p>
            <w:pPr>
              <w:spacing w:after="0"/>
              <w:rPr>
                <w:sz w:val="21"/>
                <w:szCs w:val="21"/>
                <w:color w:val="auto"/>
              </w:rPr>
            </w:pPr>
          </w:p>
        </w:tc>
        <w:tc>
          <w:tcPr>
            <w:tcW w:w="240" w:type="dxa"/>
            <w:vAlign w:val="bottom"/>
            <w:shd w:val="clear" w:color="auto" w:fill="62259D"/>
          </w:tcPr>
          <w:p>
            <w:pPr>
              <w:spacing w:after="0"/>
              <w:rPr>
                <w:sz w:val="20"/>
                <w:szCs w:val="20"/>
                <w:color w:val="auto"/>
              </w:rPr>
            </w:pPr>
            <w:r>
              <w:rPr>
                <w:rFonts w:ascii="Arial" w:cs="Arial" w:eastAsia="Arial" w:hAnsi="Arial"/>
                <w:sz w:val="14"/>
                <w:szCs w:val="14"/>
                <w:b w:val="1"/>
                <w:bCs w:val="1"/>
                <w:color w:val="FEFEFE"/>
              </w:rPr>
              <w:t>​ ​</w:t>
            </w:r>
          </w:p>
        </w:tc>
        <w:tc>
          <w:tcPr>
            <w:tcW w:w="100" w:type="dxa"/>
            <w:vAlign w:val="bottom"/>
            <w:shd w:val="clear" w:color="auto" w:fill="62259D"/>
          </w:tcPr>
          <w:p>
            <w:pPr>
              <w:spacing w:after="0"/>
              <w:rPr>
                <w:sz w:val="21"/>
                <w:szCs w:val="21"/>
                <w:color w:val="auto"/>
              </w:rPr>
            </w:pPr>
          </w:p>
        </w:tc>
        <w:tc>
          <w:tcPr>
            <w:tcW w:w="580" w:type="dxa"/>
            <w:vAlign w:val="bottom"/>
            <w:shd w:val="clear" w:color="auto" w:fill="62259D"/>
          </w:tcPr>
          <w:p>
            <w:pPr>
              <w:jc w:val="right"/>
              <w:ind w:right="149"/>
              <w:spacing w:after="0"/>
              <w:rPr>
                <w:sz w:val="20"/>
                <w:szCs w:val="20"/>
                <w:color w:val="auto"/>
              </w:rPr>
            </w:pPr>
            <w:r>
              <w:rPr>
                <w:rFonts w:ascii="Arial" w:cs="Arial" w:eastAsia="Arial" w:hAnsi="Arial"/>
                <w:sz w:val="14"/>
                <w:szCs w:val="14"/>
                <w:b w:val="1"/>
                <w:bCs w:val="1"/>
                <w:color w:val="FEFEFE"/>
              </w:rPr>
              <w:t>2023</w:t>
            </w:r>
          </w:p>
        </w:tc>
        <w:tc>
          <w:tcPr>
            <w:tcW w:w="40" w:type="dxa"/>
            <w:vAlign w:val="bottom"/>
            <w:shd w:val="clear" w:color="auto" w:fill="62259D"/>
          </w:tcPr>
          <w:p>
            <w:pPr>
              <w:spacing w:after="0"/>
              <w:rPr>
                <w:sz w:val="21"/>
                <w:szCs w:val="21"/>
                <w:color w:val="auto"/>
              </w:rPr>
            </w:pPr>
          </w:p>
        </w:tc>
        <w:tc>
          <w:tcPr>
            <w:tcW w:w="280" w:type="dxa"/>
            <w:vAlign w:val="bottom"/>
            <w:shd w:val="clear" w:color="auto" w:fill="62259D"/>
          </w:tcPr>
          <w:p>
            <w:pPr>
              <w:jc w:val="right"/>
              <w:ind w:right="61"/>
              <w:spacing w:after="0"/>
              <w:rPr>
                <w:sz w:val="20"/>
                <w:szCs w:val="20"/>
                <w:color w:val="auto"/>
              </w:rPr>
            </w:pPr>
            <w:r>
              <w:rPr>
                <w:rFonts w:ascii="Arial" w:cs="Arial" w:eastAsia="Arial" w:hAnsi="Arial"/>
                <w:sz w:val="14"/>
                <w:szCs w:val="14"/>
                <w:b w:val="1"/>
                <w:bCs w:val="1"/>
                <w:color w:val="FEFEFE"/>
              </w:rPr>
              <w:t>​ ​</w:t>
            </w:r>
          </w:p>
        </w:tc>
        <w:tc>
          <w:tcPr>
            <w:tcW w:w="60" w:type="dxa"/>
            <w:vAlign w:val="bottom"/>
            <w:shd w:val="clear" w:color="auto" w:fill="62259D"/>
          </w:tcPr>
          <w:p>
            <w:pPr>
              <w:spacing w:after="0"/>
              <w:rPr>
                <w:sz w:val="21"/>
                <w:szCs w:val="21"/>
                <w:color w:val="auto"/>
              </w:rPr>
            </w:pPr>
          </w:p>
        </w:tc>
        <w:tc>
          <w:tcPr>
            <w:tcW w:w="640" w:type="dxa"/>
            <w:vAlign w:val="bottom"/>
            <w:shd w:val="clear" w:color="auto" w:fill="62259D"/>
          </w:tcPr>
          <w:p>
            <w:pPr>
              <w:jc w:val="right"/>
              <w:ind w:right="203"/>
              <w:spacing w:after="0"/>
              <w:rPr>
                <w:sz w:val="20"/>
                <w:szCs w:val="20"/>
                <w:color w:val="auto"/>
              </w:rPr>
            </w:pPr>
            <w:r>
              <w:rPr>
                <w:rFonts w:ascii="Arial" w:cs="Arial" w:eastAsia="Arial" w:hAnsi="Arial"/>
                <w:sz w:val="14"/>
                <w:szCs w:val="14"/>
                <w:b w:val="1"/>
                <w:bCs w:val="1"/>
                <w:color w:val="FEFEFE"/>
              </w:rPr>
              <w:t>2022</w:t>
            </w:r>
          </w:p>
        </w:tc>
        <w:tc>
          <w:tcPr>
            <w:tcW w:w="240" w:type="dxa"/>
            <w:vAlign w:val="bottom"/>
            <w:shd w:val="clear" w:color="auto" w:fill="62259D"/>
          </w:tcPr>
          <w:p>
            <w:pPr>
              <w:spacing w:after="0"/>
              <w:rPr>
                <w:sz w:val="20"/>
                <w:szCs w:val="20"/>
                <w:color w:val="auto"/>
              </w:rPr>
            </w:pPr>
            <w:r>
              <w:rPr>
                <w:rFonts w:ascii="Arial" w:cs="Arial" w:eastAsia="Arial" w:hAnsi="Arial"/>
                <w:sz w:val="14"/>
                <w:szCs w:val="14"/>
                <w:b w:val="1"/>
                <w:bCs w:val="1"/>
                <w:color w:val="FEFEFE"/>
              </w:rPr>
              <w:t>​ ​</w:t>
            </w:r>
          </w:p>
        </w:tc>
        <w:tc>
          <w:tcPr>
            <w:tcW w:w="100" w:type="dxa"/>
            <w:vAlign w:val="bottom"/>
            <w:shd w:val="clear" w:color="auto" w:fill="62259D"/>
          </w:tcPr>
          <w:p>
            <w:pPr>
              <w:spacing w:after="0"/>
              <w:rPr>
                <w:sz w:val="21"/>
                <w:szCs w:val="21"/>
                <w:color w:val="auto"/>
              </w:rPr>
            </w:pPr>
          </w:p>
        </w:tc>
        <w:tc>
          <w:tcPr>
            <w:tcW w:w="580" w:type="dxa"/>
            <w:vAlign w:val="bottom"/>
            <w:shd w:val="clear" w:color="auto" w:fill="62259D"/>
          </w:tcPr>
          <w:p>
            <w:pPr>
              <w:jc w:val="right"/>
              <w:ind w:right="130"/>
              <w:spacing w:after="0"/>
              <w:rPr>
                <w:sz w:val="20"/>
                <w:szCs w:val="20"/>
                <w:color w:val="auto"/>
              </w:rPr>
            </w:pPr>
            <w:r>
              <w:rPr>
                <w:rFonts w:ascii="Arial" w:cs="Arial" w:eastAsia="Arial" w:hAnsi="Arial"/>
                <w:sz w:val="14"/>
                <w:szCs w:val="14"/>
                <w:b w:val="1"/>
                <w:bCs w:val="1"/>
                <w:color w:val="FEFEFE"/>
              </w:rPr>
              <w:t>2021</w:t>
            </w:r>
          </w:p>
        </w:tc>
        <w:tc>
          <w:tcPr>
            <w:tcW w:w="60" w:type="dxa"/>
            <w:vAlign w:val="bottom"/>
            <w:shd w:val="clear" w:color="auto" w:fill="62259D"/>
          </w:tcPr>
          <w:p>
            <w:pPr>
              <w:spacing w:after="0"/>
              <w:rPr>
                <w:sz w:val="21"/>
                <w:szCs w:val="21"/>
                <w:color w:val="auto"/>
              </w:rPr>
            </w:pPr>
          </w:p>
        </w:tc>
        <w:tc>
          <w:tcPr>
            <w:tcW w:w="320" w:type="dxa"/>
            <w:vAlign w:val="bottom"/>
            <w:shd w:val="clear" w:color="auto" w:fill="62259D"/>
          </w:tcPr>
          <w:p>
            <w:pPr>
              <w:jc w:val="right"/>
              <w:ind w:right="121"/>
              <w:spacing w:after="0"/>
              <w:rPr>
                <w:sz w:val="20"/>
                <w:szCs w:val="20"/>
                <w:color w:val="auto"/>
              </w:rPr>
            </w:pPr>
            <w:r>
              <w:rPr>
                <w:rFonts w:ascii="Arial" w:cs="Arial" w:eastAsia="Arial" w:hAnsi="Arial"/>
                <w:sz w:val="14"/>
                <w:szCs w:val="14"/>
                <w:b w:val="1"/>
                <w:bCs w:val="1"/>
                <w:color w:val="FEFEFE"/>
              </w:rPr>
              <w:t>​ ​</w:t>
            </w:r>
          </w:p>
        </w:tc>
        <w:tc>
          <w:tcPr>
            <w:tcW w:w="620" w:type="dxa"/>
            <w:vAlign w:val="bottom"/>
            <w:shd w:val="clear" w:color="auto" w:fill="62259D"/>
          </w:tcPr>
          <w:p>
            <w:pPr>
              <w:jc w:val="right"/>
              <w:ind w:right="150"/>
              <w:spacing w:after="0"/>
              <w:rPr>
                <w:sz w:val="20"/>
                <w:szCs w:val="20"/>
                <w:color w:val="auto"/>
              </w:rPr>
            </w:pPr>
            <w:r>
              <w:rPr>
                <w:rFonts w:ascii="Arial" w:cs="Arial" w:eastAsia="Arial" w:hAnsi="Arial"/>
                <w:sz w:val="14"/>
                <w:szCs w:val="14"/>
                <w:b w:val="1"/>
                <w:bCs w:val="1"/>
                <w:color w:val="FEFEFE"/>
              </w:rPr>
              <w:t>2020</w:t>
            </w:r>
          </w:p>
        </w:tc>
        <w:tc>
          <w:tcPr>
            <w:tcW w:w="60" w:type="dxa"/>
            <w:vAlign w:val="bottom"/>
            <w:shd w:val="clear" w:color="auto" w:fill="62259D"/>
          </w:tcPr>
          <w:p>
            <w:pPr>
              <w:spacing w:after="0"/>
              <w:rPr>
                <w:sz w:val="21"/>
                <w:szCs w:val="21"/>
                <w:color w:val="auto"/>
              </w:rPr>
            </w:pPr>
          </w:p>
        </w:tc>
        <w:tc>
          <w:tcPr>
            <w:tcW w:w="40" w:type="dxa"/>
            <w:vAlign w:val="bottom"/>
            <w:shd w:val="clear" w:color="auto" w:fill="62259D"/>
          </w:tcPr>
          <w:p>
            <w:pPr>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256"/>
        </w:trPr>
        <w:tc>
          <w:tcPr>
            <w:tcW w:w="4200" w:type="dxa"/>
            <w:vAlign w:val="bottom"/>
            <w:tcBorders>
              <w:bottom w:val="single" w:sz="8" w:color="E7417A"/>
            </w:tcBorders>
            <w:gridSpan w:val="2"/>
          </w:tcPr>
          <w:p>
            <w:pPr>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Summary Compensation Table — Total Compensation</w:t>
            </w:r>
          </w:p>
        </w:tc>
        <w:tc>
          <w:tcPr>
            <w:tcW w:w="340" w:type="dxa"/>
            <w:vAlign w:val="bottom"/>
            <w:tcBorders>
              <w:bottom w:val="single" w:sz="8" w:color="E7417A"/>
            </w:tcBorders>
          </w:tcPr>
          <w:p>
            <w:pPr>
              <w:ind w:left="20"/>
              <w:spacing w:after="0" w:line="257"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1940" w:type="dxa"/>
            <w:vAlign w:val="bottom"/>
            <w:tcBorders>
              <w:bottom w:val="single" w:sz="8" w:color="E7417A"/>
            </w:tcBorders>
            <w:gridSpan w:val="8"/>
          </w:tcPr>
          <w:p>
            <w:pPr>
              <w:jc w:val="right"/>
              <w:spacing w:after="0" w:line="257" w:lineRule="exact"/>
              <w:rPr>
                <w:sz w:val="20"/>
                <w:szCs w:val="20"/>
                <w:color w:val="auto"/>
              </w:rPr>
            </w:pPr>
            <w:r>
              <w:rPr>
                <w:rFonts w:ascii="Arial" w:cs="Arial" w:eastAsia="Arial" w:hAnsi="Arial"/>
                <w:sz w:val="14"/>
                <w:szCs w:val="14"/>
                <w:color w:val="auto"/>
              </w:rPr>
              <w:t>1,472,252</w:t>
            </w:r>
            <w:r>
              <w:rPr>
                <w:rFonts w:ascii="Arial" w:cs="Arial" w:eastAsia="Arial" w:hAnsi="Arial"/>
                <w:sz w:val="28"/>
                <w:szCs w:val="28"/>
                <w:color w:val="auto"/>
                <w:vertAlign w:val="subscript"/>
              </w:rPr>
              <w:t>​ ​ ​</w:t>
            </w:r>
            <w:r>
              <w:rPr>
                <w:rFonts w:ascii="Arial" w:cs="Arial" w:eastAsia="Arial" w:hAnsi="Arial"/>
                <w:sz w:val="14"/>
                <w:szCs w:val="14"/>
                <w:color w:val="auto"/>
              </w:rPr>
              <w:t>$ 1,666,851</w:t>
            </w:r>
            <w:r>
              <w:rPr>
                <w:rFonts w:ascii="Arial" w:cs="Arial" w:eastAsia="Arial" w:hAnsi="Arial"/>
                <w:sz w:val="28"/>
                <w:szCs w:val="28"/>
                <w:color w:val="auto"/>
                <w:vertAlign w:val="subscript"/>
              </w:rPr>
              <w:t>​ ​ ​</w:t>
            </w:r>
            <w:r>
              <w:rPr>
                <w:rFonts w:ascii="Arial" w:cs="Arial" w:eastAsia="Arial" w:hAnsi="Arial"/>
                <w:sz w:val="14"/>
                <w:szCs w:val="14"/>
                <w:color w:val="auto"/>
              </w:rPr>
              <w:t>$</w:t>
            </w:r>
          </w:p>
        </w:tc>
        <w:tc>
          <w:tcPr>
            <w:tcW w:w="2680" w:type="dxa"/>
            <w:vAlign w:val="bottom"/>
            <w:tcBorders>
              <w:bottom w:val="single" w:sz="8" w:color="E7417A"/>
            </w:tcBorders>
            <w:gridSpan w:val="9"/>
          </w:tcPr>
          <w:p>
            <w:pPr>
              <w:jc w:val="right"/>
              <w:spacing w:after="0" w:line="257" w:lineRule="exact"/>
              <w:rPr>
                <w:sz w:val="20"/>
                <w:szCs w:val="20"/>
                <w:color w:val="auto"/>
              </w:rPr>
            </w:pPr>
            <w:r>
              <w:rPr>
                <w:rFonts w:ascii="Arial" w:cs="Arial" w:eastAsia="Arial" w:hAnsi="Arial"/>
                <w:sz w:val="14"/>
                <w:szCs w:val="14"/>
                <w:color w:val="auto"/>
              </w:rPr>
              <w:t>1,759,789</w:t>
            </w:r>
            <w:r>
              <w:rPr>
                <w:rFonts w:ascii="Arial" w:cs="Arial" w:eastAsia="Arial" w:hAnsi="Arial"/>
                <w:sz w:val="28"/>
                <w:szCs w:val="28"/>
                <w:color w:val="auto"/>
                <w:vertAlign w:val="subscript"/>
              </w:rPr>
              <w:t>​ ​ ​</w:t>
            </w:r>
            <w:r>
              <w:rPr>
                <w:rFonts w:ascii="Arial" w:cs="Arial" w:eastAsia="Arial" w:hAnsi="Arial"/>
                <w:sz w:val="14"/>
                <w:szCs w:val="14"/>
                <w:color w:val="auto"/>
              </w:rPr>
              <w:t>$ 1,667,845</w:t>
            </w:r>
            <w:r>
              <w:rPr>
                <w:rFonts w:ascii="Arial" w:cs="Arial" w:eastAsia="Arial" w:hAnsi="Arial"/>
                <w:sz w:val="28"/>
                <w:szCs w:val="28"/>
                <w:color w:val="auto"/>
                <w:vertAlign w:val="subscript"/>
              </w:rPr>
              <w:t>​ ​ ​</w:t>
            </w:r>
            <w:r>
              <w:rPr>
                <w:rFonts w:ascii="Arial" w:cs="Arial" w:eastAsia="Arial" w:hAnsi="Arial"/>
                <w:sz w:val="14"/>
                <w:szCs w:val="14"/>
                <w:color w:val="auto"/>
              </w:rPr>
              <w:t>$ 1,807,140</w:t>
            </w:r>
            <w:r>
              <w:rPr>
                <w:rFonts w:ascii="Arial" w:cs="Arial" w:eastAsia="Arial" w:hAnsi="Arial"/>
                <w:sz w:val="28"/>
                <w:szCs w:val="28"/>
                <w:color w:val="auto"/>
                <w:vertAlign w:val="subscript"/>
              </w:rPr>
              <w:t>​</w:t>
            </w:r>
          </w:p>
        </w:tc>
        <w:tc>
          <w:tcPr>
            <w:tcW w:w="40" w:type="dxa"/>
            <w:vAlign w:val="bottom"/>
            <w:tcBorders>
              <w:bottom w:val="single" w:sz="8" w:color="E7417A"/>
            </w:tcBorders>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4140" w:type="dxa"/>
            <w:vAlign w:val="bottom"/>
          </w:tcPr>
          <w:p>
            <w:pPr>
              <w:ind w:left="60"/>
              <w:spacing w:after="0"/>
              <w:rPr>
                <w:sz w:val="20"/>
                <w:szCs w:val="20"/>
                <w:color w:val="auto"/>
              </w:rPr>
            </w:pPr>
            <w:r>
              <w:rPr>
                <w:rFonts w:ascii="Arial" w:cs="Arial" w:eastAsia="Arial" w:hAnsi="Arial"/>
                <w:sz w:val="14"/>
                <w:szCs w:val="14"/>
                <w:color w:val="auto"/>
              </w:rPr>
              <w:t>Deduct Grant Date Fair Value of Stock Awards Granted in</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00" w:type="dxa"/>
            <w:vAlign w:val="bottom"/>
            <w:tcBorders>
              <w:bottom w:val="single" w:sz="8" w:color="E7417A"/>
            </w:tcBorders>
            <w:gridSpan w:val="2"/>
          </w:tcPr>
          <w:p>
            <w:pPr>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xml:space="preserve"> Fiscal Year</w:t>
            </w:r>
          </w:p>
        </w:tc>
        <w:tc>
          <w:tcPr>
            <w:tcW w:w="340" w:type="dxa"/>
            <w:vAlign w:val="bottom"/>
            <w:tcBorders>
              <w:bottom w:val="single" w:sz="8" w:color="E7417A"/>
            </w:tcBorders>
          </w:tcPr>
          <w:p>
            <w:pPr>
              <w:ind w:left="20"/>
              <w:spacing w:after="0" w:line="212" w:lineRule="exact"/>
              <w:rPr>
                <w:sz w:val="20"/>
                <w:szCs w:val="20"/>
                <w:color w:val="auto"/>
              </w:rPr>
            </w:pPr>
            <w:r>
              <w:rPr>
                <w:rFonts w:ascii="Arial" w:cs="Arial" w:eastAsia="Arial" w:hAnsi="Arial"/>
                <w:sz w:val="13"/>
                <w:szCs w:val="13"/>
                <w:color w:val="auto"/>
              </w:rPr>
              <w:t>​ ​ ​</w:t>
            </w:r>
            <w:r>
              <w:rPr>
                <w:rFonts w:ascii="Arial" w:cs="Arial" w:eastAsia="Arial" w:hAnsi="Arial"/>
                <w:sz w:val="24"/>
                <w:szCs w:val="24"/>
                <w:color w:val="auto"/>
                <w:vertAlign w:val="superscript"/>
              </w:rPr>
              <w:t>$</w:t>
            </w:r>
          </w:p>
        </w:tc>
        <w:tc>
          <w:tcPr>
            <w:tcW w:w="60" w:type="dxa"/>
            <w:vAlign w:val="bottom"/>
            <w:tcBorders>
              <w:bottom w:val="single" w:sz="8" w:color="E7417A"/>
            </w:tcBorders>
          </w:tcPr>
          <w:p>
            <w:pPr>
              <w:spacing w:after="0"/>
              <w:rPr>
                <w:sz w:val="18"/>
                <w:szCs w:val="18"/>
                <w:color w:val="auto"/>
              </w:rPr>
            </w:pPr>
          </w:p>
        </w:tc>
        <w:tc>
          <w:tcPr>
            <w:tcW w:w="640" w:type="dxa"/>
            <w:vAlign w:val="bottom"/>
            <w:tcBorders>
              <w:bottom w:val="single" w:sz="8" w:color="E7417A"/>
            </w:tcBorders>
            <w:gridSpan w:val="2"/>
          </w:tcPr>
          <w:p>
            <w:pPr>
              <w:jc w:val="right"/>
              <w:spacing w:after="0" w:line="212" w:lineRule="exact"/>
              <w:rPr>
                <w:sz w:val="20"/>
                <w:szCs w:val="20"/>
                <w:color w:val="auto"/>
              </w:rPr>
            </w:pPr>
            <w:r>
              <w:rPr>
                <w:rFonts w:ascii="Arial" w:cs="Arial" w:eastAsia="Arial" w:hAnsi="Arial"/>
                <w:sz w:val="13"/>
                <w:szCs w:val="13"/>
                <w:color w:val="auto"/>
              </w:rPr>
              <w:t>884,203</w:t>
            </w:r>
            <w:r>
              <w:rPr>
                <w:rFonts w:ascii="Arial" w:cs="Arial" w:eastAsia="Arial" w:hAnsi="Arial"/>
                <w:sz w:val="24"/>
                <w:szCs w:val="24"/>
                <w:color w:val="auto"/>
                <w:vertAlign w:val="subscript"/>
              </w:rPr>
              <w:t>​</w:t>
            </w:r>
          </w:p>
        </w:tc>
        <w:tc>
          <w:tcPr>
            <w:tcW w:w="960" w:type="dxa"/>
            <w:vAlign w:val="bottom"/>
            <w:tcBorders>
              <w:bottom w:val="single" w:sz="8" w:color="E7417A"/>
            </w:tcBorders>
            <w:gridSpan w:val="4"/>
          </w:tcPr>
          <w:p>
            <w:pPr>
              <w:jc w:val="right"/>
              <w:spacing w:after="0" w:line="212" w:lineRule="exact"/>
              <w:rPr>
                <w:sz w:val="20"/>
                <w:szCs w:val="20"/>
                <w:color w:val="auto"/>
              </w:rPr>
            </w:pPr>
            <w:r>
              <w:rPr>
                <w:rFonts w:ascii="Arial" w:cs="Arial" w:eastAsia="Arial" w:hAnsi="Arial"/>
                <w:sz w:val="24"/>
                <w:szCs w:val="24"/>
                <w:color w:val="auto"/>
                <w:vertAlign w:val="subscript"/>
              </w:rPr>
              <w:t>​ ​</w:t>
            </w:r>
            <w:r>
              <w:rPr>
                <w:rFonts w:ascii="Arial" w:cs="Arial" w:eastAsia="Arial" w:hAnsi="Arial"/>
                <w:sz w:val="13"/>
                <w:szCs w:val="13"/>
                <w:color w:val="auto"/>
              </w:rPr>
              <w:t>$ 1,154,753</w:t>
            </w:r>
            <w:r>
              <w:rPr>
                <w:rFonts w:ascii="Arial" w:cs="Arial" w:eastAsia="Arial" w:hAnsi="Arial"/>
                <w:sz w:val="24"/>
                <w:szCs w:val="24"/>
                <w:color w:val="auto"/>
                <w:vertAlign w:val="subscript"/>
              </w:rPr>
              <w:t>​</w:t>
            </w:r>
          </w:p>
        </w:tc>
        <w:tc>
          <w:tcPr>
            <w:tcW w:w="280" w:type="dxa"/>
            <w:vAlign w:val="bottom"/>
            <w:tcBorders>
              <w:bottom w:val="single" w:sz="8" w:color="E7417A"/>
            </w:tcBorders>
          </w:tcPr>
          <w:p>
            <w:pPr>
              <w:jc w:val="right"/>
              <w:spacing w:after="0" w:line="212" w:lineRule="exact"/>
              <w:rPr>
                <w:sz w:val="20"/>
                <w:szCs w:val="20"/>
                <w:color w:val="auto"/>
              </w:rPr>
            </w:pPr>
            <w:r>
              <w:rPr>
                <w:rFonts w:ascii="Arial" w:cs="Arial" w:eastAsia="Arial" w:hAnsi="Arial"/>
                <w:sz w:val="13"/>
                <w:szCs w:val="13"/>
                <w:color w:val="auto"/>
              </w:rPr>
              <w:t>​ ​</w:t>
            </w:r>
            <w:r>
              <w:rPr>
                <w:rFonts w:ascii="Arial" w:cs="Arial" w:eastAsia="Arial" w:hAnsi="Arial"/>
                <w:sz w:val="24"/>
                <w:szCs w:val="24"/>
                <w:color w:val="auto"/>
                <w:vertAlign w:val="superscript"/>
              </w:rPr>
              <w:t>$</w:t>
            </w:r>
          </w:p>
        </w:tc>
        <w:tc>
          <w:tcPr>
            <w:tcW w:w="700" w:type="dxa"/>
            <w:vAlign w:val="bottom"/>
            <w:tcBorders>
              <w:bottom w:val="single" w:sz="8" w:color="E7417A"/>
            </w:tcBorders>
            <w:gridSpan w:val="2"/>
          </w:tcPr>
          <w:p>
            <w:pPr>
              <w:jc w:val="right"/>
              <w:spacing w:after="0" w:line="212" w:lineRule="exact"/>
              <w:rPr>
                <w:sz w:val="20"/>
                <w:szCs w:val="20"/>
                <w:color w:val="auto"/>
              </w:rPr>
            </w:pPr>
            <w:r>
              <w:rPr>
                <w:rFonts w:ascii="Arial" w:cs="Arial" w:eastAsia="Arial" w:hAnsi="Arial"/>
                <w:sz w:val="13"/>
                <w:szCs w:val="13"/>
                <w:color w:val="auto"/>
              </w:rPr>
              <w:t>1,264,365</w:t>
            </w:r>
            <w:r>
              <w:rPr>
                <w:rFonts w:ascii="Arial" w:cs="Arial" w:eastAsia="Arial" w:hAnsi="Arial"/>
                <w:sz w:val="24"/>
                <w:szCs w:val="24"/>
                <w:color w:val="auto"/>
                <w:vertAlign w:val="subscript"/>
              </w:rPr>
              <w:t>​</w:t>
            </w:r>
          </w:p>
        </w:tc>
        <w:tc>
          <w:tcPr>
            <w:tcW w:w="980" w:type="dxa"/>
            <w:vAlign w:val="bottom"/>
            <w:tcBorders>
              <w:bottom w:val="single" w:sz="8" w:color="E7417A"/>
            </w:tcBorders>
            <w:gridSpan w:val="4"/>
          </w:tcPr>
          <w:p>
            <w:pPr>
              <w:jc w:val="right"/>
              <w:spacing w:after="0" w:line="212" w:lineRule="exact"/>
              <w:rPr>
                <w:sz w:val="20"/>
                <w:szCs w:val="20"/>
                <w:color w:val="auto"/>
              </w:rPr>
            </w:pPr>
            <w:r>
              <w:rPr>
                <w:rFonts w:ascii="Arial" w:cs="Arial" w:eastAsia="Arial" w:hAnsi="Arial"/>
                <w:sz w:val="24"/>
                <w:szCs w:val="24"/>
                <w:color w:val="auto"/>
                <w:vertAlign w:val="subscript"/>
              </w:rPr>
              <w:t>​ ​</w:t>
            </w:r>
            <w:r>
              <w:rPr>
                <w:rFonts w:ascii="Arial" w:cs="Arial" w:eastAsia="Arial" w:hAnsi="Arial"/>
                <w:sz w:val="13"/>
                <w:szCs w:val="13"/>
                <w:color w:val="auto"/>
              </w:rPr>
              <w:t>$ 1,145,961</w:t>
            </w:r>
            <w:r>
              <w:rPr>
                <w:rFonts w:ascii="Arial" w:cs="Arial" w:eastAsia="Arial" w:hAnsi="Arial"/>
                <w:sz w:val="24"/>
                <w:szCs w:val="24"/>
                <w:color w:val="auto"/>
                <w:vertAlign w:val="subscript"/>
              </w:rPr>
              <w:t>​</w:t>
            </w:r>
          </w:p>
        </w:tc>
        <w:tc>
          <w:tcPr>
            <w:tcW w:w="320" w:type="dxa"/>
            <w:vAlign w:val="bottom"/>
            <w:tcBorders>
              <w:bottom w:val="single" w:sz="8" w:color="E7417A"/>
            </w:tcBorders>
          </w:tcPr>
          <w:p>
            <w:pPr>
              <w:jc w:val="right"/>
              <w:ind w:right="1"/>
              <w:spacing w:after="0" w:line="212" w:lineRule="exact"/>
              <w:rPr>
                <w:sz w:val="20"/>
                <w:szCs w:val="20"/>
                <w:color w:val="auto"/>
              </w:rPr>
            </w:pPr>
            <w:r>
              <w:rPr>
                <w:rFonts w:ascii="Arial" w:cs="Arial" w:eastAsia="Arial" w:hAnsi="Arial"/>
                <w:sz w:val="13"/>
                <w:szCs w:val="13"/>
                <w:color w:val="auto"/>
              </w:rPr>
              <w:t>​ ​</w:t>
            </w:r>
            <w:r>
              <w:rPr>
                <w:rFonts w:ascii="Arial" w:cs="Arial" w:eastAsia="Arial" w:hAnsi="Arial"/>
                <w:sz w:val="24"/>
                <w:szCs w:val="24"/>
                <w:color w:val="auto"/>
                <w:vertAlign w:val="superscript"/>
              </w:rPr>
              <w:t>$</w:t>
            </w:r>
          </w:p>
        </w:tc>
        <w:tc>
          <w:tcPr>
            <w:tcW w:w="680" w:type="dxa"/>
            <w:vAlign w:val="bottom"/>
            <w:tcBorders>
              <w:bottom w:val="single" w:sz="8" w:color="E7417A"/>
            </w:tcBorders>
            <w:gridSpan w:val="2"/>
          </w:tcPr>
          <w:p>
            <w:pPr>
              <w:jc w:val="right"/>
              <w:spacing w:after="0" w:line="212" w:lineRule="exact"/>
              <w:rPr>
                <w:sz w:val="20"/>
                <w:szCs w:val="20"/>
                <w:color w:val="auto"/>
              </w:rPr>
            </w:pPr>
            <w:r>
              <w:rPr>
                <w:rFonts w:ascii="Arial" w:cs="Arial" w:eastAsia="Arial" w:hAnsi="Arial"/>
                <w:sz w:val="13"/>
                <w:szCs w:val="13"/>
                <w:color w:val="auto"/>
              </w:rPr>
              <w:t>941,679</w:t>
            </w:r>
            <w:r>
              <w:rPr>
                <w:rFonts w:ascii="Arial" w:cs="Arial" w:eastAsia="Arial" w:hAnsi="Arial"/>
                <w:sz w:val="24"/>
                <w:szCs w:val="24"/>
                <w:color w:val="auto"/>
                <w:vertAlign w:val="subscript"/>
              </w:rPr>
              <w:t>​</w:t>
            </w:r>
          </w:p>
        </w:tc>
        <w:tc>
          <w:tcPr>
            <w:tcW w:w="40" w:type="dxa"/>
            <w:vAlign w:val="bottom"/>
            <w:tcBorders>
              <w:bottom w:val="single" w:sz="8" w:color="E7417A"/>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4140" w:type="dxa"/>
            <w:vAlign w:val="bottom"/>
          </w:tcPr>
          <w:p>
            <w:pPr>
              <w:ind w:left="60"/>
              <w:spacing w:after="0"/>
              <w:rPr>
                <w:sz w:val="20"/>
                <w:szCs w:val="20"/>
                <w:color w:val="auto"/>
              </w:rPr>
            </w:pPr>
            <w:r>
              <w:rPr>
                <w:rFonts w:ascii="Arial" w:cs="Arial" w:eastAsia="Arial" w:hAnsi="Arial"/>
                <w:sz w:val="14"/>
                <w:szCs w:val="14"/>
                <w:color w:val="auto"/>
              </w:rPr>
              <w:t>Add Fair Value at Fiscal Year End of Outstanding and</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00" w:type="dxa"/>
            <w:vAlign w:val="bottom"/>
            <w:tcBorders>
              <w:bottom w:val="single" w:sz="8" w:color="E7417A"/>
            </w:tcBorders>
            <w:gridSpan w:val="2"/>
          </w:tcPr>
          <w:p>
            <w:pPr>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xml:space="preserve"> Unvested Stock Awards Granted in Fiscal Year</w:t>
            </w:r>
          </w:p>
        </w:tc>
        <w:tc>
          <w:tcPr>
            <w:tcW w:w="340" w:type="dxa"/>
            <w:vAlign w:val="bottom"/>
            <w:tcBorders>
              <w:bottom w:val="single" w:sz="8" w:color="E7417A"/>
            </w:tcBorders>
          </w:tcPr>
          <w:p>
            <w:pPr>
              <w:ind w:left="20"/>
              <w:spacing w:after="0" w:line="212" w:lineRule="exact"/>
              <w:rPr>
                <w:sz w:val="20"/>
                <w:szCs w:val="20"/>
                <w:color w:val="auto"/>
              </w:rPr>
            </w:pPr>
            <w:r>
              <w:rPr>
                <w:rFonts w:ascii="Arial" w:cs="Arial" w:eastAsia="Arial" w:hAnsi="Arial"/>
                <w:sz w:val="13"/>
                <w:szCs w:val="13"/>
                <w:color w:val="auto"/>
              </w:rPr>
              <w:t>​ ​ ​</w:t>
            </w:r>
            <w:r>
              <w:rPr>
                <w:rFonts w:ascii="Arial" w:cs="Arial" w:eastAsia="Arial" w:hAnsi="Arial"/>
                <w:sz w:val="24"/>
                <w:szCs w:val="24"/>
                <w:color w:val="auto"/>
                <w:vertAlign w:val="superscript"/>
              </w:rPr>
              <w:t>$</w:t>
            </w:r>
          </w:p>
        </w:tc>
        <w:tc>
          <w:tcPr>
            <w:tcW w:w="700" w:type="dxa"/>
            <w:vAlign w:val="bottom"/>
            <w:tcBorders>
              <w:bottom w:val="single" w:sz="8" w:color="E7417A"/>
            </w:tcBorders>
            <w:gridSpan w:val="3"/>
          </w:tcPr>
          <w:p>
            <w:pPr>
              <w:jc w:val="right"/>
              <w:spacing w:after="0" w:line="212" w:lineRule="exact"/>
              <w:rPr>
                <w:sz w:val="20"/>
                <w:szCs w:val="20"/>
                <w:color w:val="auto"/>
              </w:rPr>
            </w:pPr>
            <w:r>
              <w:rPr>
                <w:rFonts w:ascii="Arial" w:cs="Arial" w:eastAsia="Arial" w:hAnsi="Arial"/>
                <w:sz w:val="13"/>
                <w:szCs w:val="13"/>
                <w:color w:val="auto"/>
              </w:rPr>
              <w:t>1,638,074</w:t>
            </w:r>
            <w:r>
              <w:rPr>
                <w:rFonts w:ascii="Arial" w:cs="Arial" w:eastAsia="Arial" w:hAnsi="Arial"/>
                <w:sz w:val="24"/>
                <w:szCs w:val="24"/>
                <w:color w:val="auto"/>
                <w:vertAlign w:val="subscript"/>
              </w:rPr>
              <w:t>​</w:t>
            </w:r>
          </w:p>
        </w:tc>
        <w:tc>
          <w:tcPr>
            <w:tcW w:w="960" w:type="dxa"/>
            <w:vAlign w:val="bottom"/>
            <w:tcBorders>
              <w:bottom w:val="single" w:sz="8" w:color="E7417A"/>
            </w:tcBorders>
            <w:gridSpan w:val="4"/>
          </w:tcPr>
          <w:p>
            <w:pPr>
              <w:jc w:val="right"/>
              <w:spacing w:after="0" w:line="212" w:lineRule="exact"/>
              <w:rPr>
                <w:sz w:val="20"/>
                <w:szCs w:val="20"/>
                <w:color w:val="auto"/>
              </w:rPr>
            </w:pPr>
            <w:r>
              <w:rPr>
                <w:rFonts w:ascii="Arial" w:cs="Arial" w:eastAsia="Arial" w:hAnsi="Arial"/>
                <w:sz w:val="24"/>
                <w:szCs w:val="24"/>
                <w:color w:val="auto"/>
                <w:vertAlign w:val="subscript"/>
              </w:rPr>
              <w:t>​ ​</w:t>
            </w:r>
            <w:r>
              <w:rPr>
                <w:rFonts w:ascii="Arial" w:cs="Arial" w:eastAsia="Arial" w:hAnsi="Arial"/>
                <w:sz w:val="13"/>
                <w:szCs w:val="13"/>
                <w:color w:val="auto"/>
              </w:rPr>
              <w:t>$ 1,214,357</w:t>
            </w:r>
            <w:r>
              <w:rPr>
                <w:rFonts w:ascii="Arial" w:cs="Arial" w:eastAsia="Arial" w:hAnsi="Arial"/>
                <w:sz w:val="24"/>
                <w:szCs w:val="24"/>
                <w:color w:val="auto"/>
                <w:vertAlign w:val="subscript"/>
              </w:rPr>
              <w:t>​</w:t>
            </w:r>
          </w:p>
        </w:tc>
        <w:tc>
          <w:tcPr>
            <w:tcW w:w="280" w:type="dxa"/>
            <w:vAlign w:val="bottom"/>
            <w:tcBorders>
              <w:bottom w:val="single" w:sz="8" w:color="E7417A"/>
            </w:tcBorders>
          </w:tcPr>
          <w:p>
            <w:pPr>
              <w:jc w:val="right"/>
              <w:spacing w:after="0" w:line="212" w:lineRule="exact"/>
              <w:rPr>
                <w:sz w:val="20"/>
                <w:szCs w:val="20"/>
                <w:color w:val="auto"/>
              </w:rPr>
            </w:pPr>
            <w:r>
              <w:rPr>
                <w:rFonts w:ascii="Arial" w:cs="Arial" w:eastAsia="Arial" w:hAnsi="Arial"/>
                <w:sz w:val="13"/>
                <w:szCs w:val="13"/>
                <w:color w:val="auto"/>
              </w:rPr>
              <w:t>​ ​</w:t>
            </w:r>
            <w:r>
              <w:rPr>
                <w:rFonts w:ascii="Arial" w:cs="Arial" w:eastAsia="Arial" w:hAnsi="Arial"/>
                <w:sz w:val="24"/>
                <w:szCs w:val="24"/>
                <w:color w:val="auto"/>
                <w:vertAlign w:val="superscript"/>
              </w:rPr>
              <w:t>$</w:t>
            </w:r>
          </w:p>
        </w:tc>
        <w:tc>
          <w:tcPr>
            <w:tcW w:w="700" w:type="dxa"/>
            <w:vAlign w:val="bottom"/>
            <w:tcBorders>
              <w:bottom w:val="single" w:sz="8" w:color="E7417A"/>
            </w:tcBorders>
            <w:gridSpan w:val="2"/>
          </w:tcPr>
          <w:p>
            <w:pPr>
              <w:jc w:val="right"/>
              <w:spacing w:after="0" w:line="212" w:lineRule="exact"/>
              <w:rPr>
                <w:sz w:val="20"/>
                <w:szCs w:val="20"/>
                <w:color w:val="auto"/>
              </w:rPr>
            </w:pPr>
            <w:r>
              <w:rPr>
                <w:rFonts w:ascii="Arial" w:cs="Arial" w:eastAsia="Arial" w:hAnsi="Arial"/>
                <w:sz w:val="13"/>
                <w:szCs w:val="13"/>
                <w:color w:val="auto"/>
              </w:rPr>
              <w:t>1,101,631</w:t>
            </w:r>
            <w:r>
              <w:rPr>
                <w:rFonts w:ascii="Arial" w:cs="Arial" w:eastAsia="Arial" w:hAnsi="Arial"/>
                <w:sz w:val="24"/>
                <w:szCs w:val="24"/>
                <w:color w:val="auto"/>
                <w:vertAlign w:val="subscript"/>
              </w:rPr>
              <w:t>​</w:t>
            </w:r>
          </w:p>
        </w:tc>
        <w:tc>
          <w:tcPr>
            <w:tcW w:w="340" w:type="dxa"/>
            <w:vAlign w:val="bottom"/>
            <w:tcBorders>
              <w:bottom w:val="single" w:sz="8" w:color="E7417A"/>
            </w:tcBorders>
            <w:gridSpan w:val="2"/>
          </w:tcPr>
          <w:p>
            <w:pPr>
              <w:ind w:left="60"/>
              <w:spacing w:after="0" w:line="212" w:lineRule="exact"/>
              <w:rPr>
                <w:sz w:val="20"/>
                <w:szCs w:val="20"/>
                <w:color w:val="auto"/>
              </w:rPr>
            </w:pPr>
            <w:r>
              <w:rPr>
                <w:rFonts w:ascii="Arial" w:cs="Arial" w:eastAsia="Arial" w:hAnsi="Arial"/>
                <w:sz w:val="13"/>
                <w:szCs w:val="13"/>
                <w:color w:val="auto"/>
              </w:rPr>
              <w:t>​ ​</w:t>
            </w:r>
            <w:r>
              <w:rPr>
                <w:rFonts w:ascii="Arial" w:cs="Arial" w:eastAsia="Arial" w:hAnsi="Arial"/>
                <w:sz w:val="24"/>
                <w:szCs w:val="24"/>
                <w:color w:val="auto"/>
                <w:vertAlign w:val="superscript"/>
              </w:rPr>
              <w:t>$</w:t>
            </w:r>
          </w:p>
        </w:tc>
        <w:tc>
          <w:tcPr>
            <w:tcW w:w="640" w:type="dxa"/>
            <w:vAlign w:val="bottom"/>
            <w:tcBorders>
              <w:bottom w:val="single" w:sz="8" w:color="E7417A"/>
            </w:tcBorders>
            <w:gridSpan w:val="2"/>
          </w:tcPr>
          <w:p>
            <w:pPr>
              <w:jc w:val="right"/>
              <w:spacing w:after="0" w:line="212" w:lineRule="exact"/>
              <w:rPr>
                <w:sz w:val="20"/>
                <w:szCs w:val="20"/>
                <w:color w:val="auto"/>
              </w:rPr>
            </w:pPr>
            <w:r>
              <w:rPr>
                <w:rFonts w:ascii="Arial" w:cs="Arial" w:eastAsia="Arial" w:hAnsi="Arial"/>
                <w:sz w:val="13"/>
                <w:szCs w:val="13"/>
                <w:color w:val="auto"/>
              </w:rPr>
              <w:t>816,603</w:t>
            </w:r>
            <w:r>
              <w:rPr>
                <w:rFonts w:ascii="Arial" w:cs="Arial" w:eastAsia="Arial" w:hAnsi="Arial"/>
                <w:sz w:val="24"/>
                <w:szCs w:val="24"/>
                <w:color w:val="auto"/>
                <w:vertAlign w:val="subscript"/>
              </w:rPr>
              <w:t>​</w:t>
            </w:r>
          </w:p>
        </w:tc>
        <w:tc>
          <w:tcPr>
            <w:tcW w:w="1000" w:type="dxa"/>
            <w:vAlign w:val="bottom"/>
            <w:tcBorders>
              <w:bottom w:val="single" w:sz="8" w:color="E7417A"/>
            </w:tcBorders>
            <w:gridSpan w:val="3"/>
          </w:tcPr>
          <w:p>
            <w:pPr>
              <w:jc w:val="right"/>
              <w:spacing w:after="0" w:line="212" w:lineRule="exact"/>
              <w:rPr>
                <w:sz w:val="20"/>
                <w:szCs w:val="20"/>
                <w:color w:val="auto"/>
              </w:rPr>
            </w:pPr>
            <w:r>
              <w:rPr>
                <w:rFonts w:ascii="Arial" w:cs="Arial" w:eastAsia="Arial" w:hAnsi="Arial"/>
                <w:sz w:val="24"/>
                <w:szCs w:val="24"/>
                <w:color w:val="auto"/>
                <w:vertAlign w:val="subscript"/>
              </w:rPr>
              <w:t>​ ​</w:t>
            </w:r>
            <w:r>
              <w:rPr>
                <w:rFonts w:ascii="Arial" w:cs="Arial" w:eastAsia="Arial" w:hAnsi="Arial"/>
                <w:sz w:val="13"/>
                <w:szCs w:val="13"/>
                <w:color w:val="auto"/>
              </w:rPr>
              <w:t>$ 1,423,498</w:t>
            </w:r>
            <w:r>
              <w:rPr>
                <w:rFonts w:ascii="Arial" w:cs="Arial" w:eastAsia="Arial" w:hAnsi="Arial"/>
                <w:sz w:val="24"/>
                <w:szCs w:val="24"/>
                <w:color w:val="auto"/>
                <w:vertAlign w:val="subscript"/>
              </w:rPr>
              <w:t>​</w:t>
            </w:r>
          </w:p>
        </w:tc>
        <w:tc>
          <w:tcPr>
            <w:tcW w:w="40" w:type="dxa"/>
            <w:vAlign w:val="bottom"/>
            <w:tcBorders>
              <w:bottom w:val="single" w:sz="8" w:color="E7417A"/>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4140" w:type="dxa"/>
            <w:vAlign w:val="bottom"/>
          </w:tcPr>
          <w:p>
            <w:pPr>
              <w:ind w:left="60"/>
              <w:spacing w:after="0"/>
              <w:rPr>
                <w:sz w:val="20"/>
                <w:szCs w:val="20"/>
                <w:color w:val="auto"/>
              </w:rPr>
            </w:pPr>
            <w:r>
              <w:rPr>
                <w:rFonts w:ascii="Arial" w:cs="Arial" w:eastAsia="Arial" w:hAnsi="Arial"/>
                <w:sz w:val="14"/>
                <w:szCs w:val="14"/>
                <w:color w:val="auto"/>
              </w:rPr>
              <w:t>Add Change in Fair Value of Outstanding and Unvested Stock</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4140" w:type="dxa"/>
            <w:vAlign w:val="bottom"/>
          </w:tcPr>
          <w:p>
            <w:pPr>
              <w:ind w:left="60"/>
              <w:spacing w:after="0" w:line="158" w:lineRule="exact"/>
              <w:rPr>
                <w:sz w:val="20"/>
                <w:szCs w:val="20"/>
                <w:color w:val="auto"/>
              </w:rPr>
            </w:pPr>
            <w:r>
              <w:rPr>
                <w:rFonts w:ascii="Arial" w:cs="Arial" w:eastAsia="Arial" w:hAnsi="Arial"/>
                <w:sz w:val="14"/>
                <w:szCs w:val="14"/>
                <w:color w:val="auto"/>
              </w:rPr>
              <w:t>Awards Granted in Prior Fiscal Years</w:t>
            </w:r>
          </w:p>
        </w:tc>
        <w:tc>
          <w:tcPr>
            <w:tcW w:w="340" w:type="dxa"/>
            <w:vAlign w:val="bottom"/>
          </w:tcPr>
          <w:p>
            <w:pPr>
              <w:ind w:left="24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40" w:type="dxa"/>
            <w:vAlign w:val="bottom"/>
            <w:gridSpan w:val="2"/>
          </w:tcPr>
          <w:p>
            <w:pPr>
              <w:ind w:left="20"/>
              <w:spacing w:after="0" w:line="158" w:lineRule="exact"/>
              <w:rPr>
                <w:sz w:val="20"/>
                <w:szCs w:val="20"/>
                <w:color w:val="auto"/>
              </w:rPr>
            </w:pPr>
            <w:r>
              <w:rPr>
                <w:rFonts w:ascii="Arial" w:cs="Arial" w:eastAsia="Arial" w:hAnsi="Arial"/>
                <w:sz w:val="14"/>
                <w:szCs w:val="14"/>
                <w:color w:val="auto"/>
              </w:rPr>
              <w:t>(181,847)</w:t>
            </w:r>
          </w:p>
        </w:tc>
        <w:tc>
          <w:tcPr>
            <w:tcW w:w="24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10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46,199</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(869,989)</w:t>
            </w:r>
          </w:p>
        </w:tc>
        <w:tc>
          <w:tcPr>
            <w:tcW w:w="340" w:type="dxa"/>
            <w:vAlign w:val="bottom"/>
            <w:gridSpan w:val="2"/>
          </w:tcPr>
          <w:p>
            <w:pPr>
              <w:ind w:left="18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(84,956)</w:t>
            </w:r>
          </w:p>
        </w:tc>
        <w:tc>
          <w:tcPr>
            <w:tcW w:w="320" w:type="dxa"/>
            <w:vAlign w:val="bottom"/>
          </w:tcPr>
          <w:p>
            <w:pPr>
              <w:jc w:val="right"/>
              <w:ind w:right="1"/>
              <w:spacing w:after="0" w:line="158"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164,422</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60" w:type="dxa"/>
            <w:vAlign w:val="bottom"/>
            <w:tcBorders>
              <w:bottom w:val="single" w:sz="8" w:color="E7417A"/>
            </w:tcBorders>
            <w:vMerge w:val="continue"/>
          </w:tcPr>
          <w:p>
            <w:pPr>
              <w:spacing w:after="0"/>
              <w:rPr>
                <w:sz w:val="4"/>
                <w:szCs w:val="4"/>
                <w:color w:val="auto"/>
              </w:rPr>
            </w:pPr>
          </w:p>
        </w:tc>
        <w:tc>
          <w:tcPr>
            <w:tcW w:w="4140" w:type="dxa"/>
            <w:vAlign w:val="bottom"/>
            <w:tcBorders>
              <w:bottom w:val="single" w:sz="8" w:color="E7417A"/>
            </w:tcBorders>
          </w:tcPr>
          <w:p>
            <w:pPr>
              <w:spacing w:after="0"/>
              <w:rPr>
                <w:sz w:val="4"/>
                <w:szCs w:val="4"/>
                <w:color w:val="auto"/>
              </w:rPr>
            </w:pPr>
          </w:p>
        </w:tc>
        <w:tc>
          <w:tcPr>
            <w:tcW w:w="340" w:type="dxa"/>
            <w:vAlign w:val="bottom"/>
            <w:tcBorders>
              <w:bottom w:val="single" w:sz="8" w:color="E7417A"/>
            </w:tcBorders>
          </w:tcPr>
          <w:p>
            <w:pPr>
              <w:ind w:left="20"/>
              <w:spacing w:after="0" w:line="54" w:lineRule="exact"/>
              <w:rPr>
                <w:sz w:val="20"/>
                <w:szCs w:val="20"/>
                <w:color w:val="auto"/>
              </w:rPr>
            </w:pPr>
            <w:r>
              <w:rPr>
                <w:rFonts w:ascii="Arial" w:cs="Arial" w:eastAsia="Arial" w:hAnsi="Arial"/>
                <w:sz w:val="6"/>
                <w:szCs w:val="6"/>
                <w:color w:val="auto"/>
              </w:rPr>
              <w:t>​ ​ ​</w:t>
            </w:r>
          </w:p>
        </w:tc>
        <w:tc>
          <w:tcPr>
            <w:tcW w:w="60" w:type="dxa"/>
            <w:vAlign w:val="bottom"/>
            <w:tcBorders>
              <w:bottom w:val="single" w:sz="8" w:color="E7417A"/>
            </w:tcBorders>
          </w:tcPr>
          <w:p>
            <w:pPr>
              <w:spacing w:after="0"/>
              <w:rPr>
                <w:sz w:val="4"/>
                <w:szCs w:val="4"/>
                <w:color w:val="auto"/>
              </w:rPr>
            </w:pPr>
          </w:p>
        </w:tc>
        <w:tc>
          <w:tcPr>
            <w:tcW w:w="580" w:type="dxa"/>
            <w:vAlign w:val="bottom"/>
            <w:tcBorders>
              <w:bottom w:val="single" w:sz="8" w:color="E7417A"/>
            </w:tcBorders>
          </w:tcPr>
          <w:p>
            <w:pPr>
              <w:spacing w:after="0"/>
              <w:rPr>
                <w:sz w:val="4"/>
                <w:szCs w:val="4"/>
                <w:color w:val="auto"/>
              </w:rPr>
            </w:pPr>
          </w:p>
        </w:tc>
        <w:tc>
          <w:tcPr>
            <w:tcW w:w="60" w:type="dxa"/>
            <w:vAlign w:val="bottom"/>
            <w:tcBorders>
              <w:bottom w:val="single" w:sz="8" w:color="E7417A"/>
            </w:tcBorders>
          </w:tcPr>
          <w:p>
            <w:pPr>
              <w:jc w:val="right"/>
              <w:spacing w:after="0" w:line="54" w:lineRule="exact"/>
              <w:rPr>
                <w:sz w:val="20"/>
                <w:szCs w:val="20"/>
                <w:color w:val="auto"/>
              </w:rPr>
            </w:pPr>
            <w:r>
              <w:rPr>
                <w:rFonts w:ascii="Arial" w:cs="Arial" w:eastAsia="Arial" w:hAnsi="Arial"/>
                <w:sz w:val="6"/>
                <w:szCs w:val="6"/>
                <w:color w:val="auto"/>
              </w:rPr>
              <w:t>​</w:t>
            </w:r>
          </w:p>
        </w:tc>
        <w:tc>
          <w:tcPr>
            <w:tcW w:w="240" w:type="dxa"/>
            <w:vAlign w:val="bottom"/>
            <w:tcBorders>
              <w:bottom w:val="single" w:sz="8" w:color="E7417A"/>
            </w:tcBorders>
            <w:vMerge w:val="continue"/>
          </w:tcPr>
          <w:p>
            <w:pPr>
              <w:spacing w:after="0"/>
              <w:rPr>
                <w:sz w:val="4"/>
                <w:szCs w:val="4"/>
                <w:color w:val="auto"/>
              </w:rPr>
            </w:pPr>
          </w:p>
        </w:tc>
        <w:tc>
          <w:tcPr>
            <w:tcW w:w="100" w:type="dxa"/>
            <w:vAlign w:val="bottom"/>
            <w:tcBorders>
              <w:bottom w:val="single" w:sz="8" w:color="E7417A"/>
            </w:tcBorders>
          </w:tcPr>
          <w:p>
            <w:pPr>
              <w:spacing w:after="0"/>
              <w:rPr>
                <w:sz w:val="4"/>
                <w:szCs w:val="4"/>
                <w:color w:val="auto"/>
              </w:rPr>
            </w:pPr>
          </w:p>
        </w:tc>
        <w:tc>
          <w:tcPr>
            <w:tcW w:w="580" w:type="dxa"/>
            <w:vAlign w:val="bottom"/>
            <w:tcBorders>
              <w:bottom w:val="single" w:sz="8" w:color="E7417A"/>
            </w:tcBorders>
          </w:tcPr>
          <w:p>
            <w:pPr>
              <w:spacing w:after="0"/>
              <w:rPr>
                <w:sz w:val="4"/>
                <w:szCs w:val="4"/>
                <w:color w:val="auto"/>
              </w:rPr>
            </w:pPr>
          </w:p>
        </w:tc>
        <w:tc>
          <w:tcPr>
            <w:tcW w:w="40" w:type="dxa"/>
            <w:vAlign w:val="bottom"/>
            <w:tcBorders>
              <w:bottom w:val="single" w:sz="8" w:color="E7417A"/>
            </w:tcBorders>
            <w:vMerge w:val="continue"/>
          </w:tcPr>
          <w:p>
            <w:pPr>
              <w:spacing w:after="0"/>
              <w:rPr>
                <w:sz w:val="4"/>
                <w:szCs w:val="4"/>
                <w:color w:val="auto"/>
              </w:rPr>
            </w:pPr>
          </w:p>
        </w:tc>
        <w:tc>
          <w:tcPr>
            <w:tcW w:w="280" w:type="dxa"/>
            <w:vAlign w:val="bottom"/>
            <w:tcBorders>
              <w:bottom w:val="single" w:sz="8" w:color="E7417A"/>
            </w:tcBorders>
          </w:tcPr>
          <w:p>
            <w:pPr>
              <w:ind w:left="60"/>
              <w:spacing w:after="0" w:line="54" w:lineRule="exact"/>
              <w:rPr>
                <w:sz w:val="20"/>
                <w:szCs w:val="20"/>
                <w:color w:val="auto"/>
              </w:rPr>
            </w:pPr>
            <w:r>
              <w:rPr>
                <w:rFonts w:ascii="Arial" w:cs="Arial" w:eastAsia="Arial" w:hAnsi="Arial"/>
                <w:sz w:val="6"/>
                <w:szCs w:val="6"/>
                <w:color w:val="auto"/>
              </w:rPr>
              <w:t>​ ​</w:t>
            </w:r>
          </w:p>
        </w:tc>
        <w:tc>
          <w:tcPr>
            <w:tcW w:w="60" w:type="dxa"/>
            <w:vAlign w:val="bottom"/>
            <w:tcBorders>
              <w:bottom w:val="single" w:sz="8" w:color="E7417A"/>
            </w:tcBorders>
          </w:tcPr>
          <w:p>
            <w:pPr>
              <w:spacing w:after="0"/>
              <w:rPr>
                <w:sz w:val="4"/>
                <w:szCs w:val="4"/>
                <w:color w:val="auto"/>
              </w:rPr>
            </w:pPr>
          </w:p>
        </w:tc>
        <w:tc>
          <w:tcPr>
            <w:tcW w:w="640" w:type="dxa"/>
            <w:vAlign w:val="bottom"/>
            <w:tcBorders>
              <w:bottom w:val="single" w:sz="8" w:color="E7417A"/>
            </w:tcBorders>
          </w:tcPr>
          <w:p>
            <w:pPr>
              <w:jc w:val="right"/>
              <w:spacing w:after="0" w:line="54" w:lineRule="exact"/>
              <w:rPr>
                <w:sz w:val="20"/>
                <w:szCs w:val="20"/>
                <w:color w:val="auto"/>
              </w:rPr>
            </w:pPr>
            <w:r>
              <w:rPr>
                <w:rFonts w:ascii="Arial" w:cs="Arial" w:eastAsia="Arial" w:hAnsi="Arial"/>
                <w:sz w:val="6"/>
                <w:szCs w:val="6"/>
                <w:color w:val="auto"/>
              </w:rPr>
              <w:t>​</w:t>
            </w:r>
          </w:p>
        </w:tc>
        <w:tc>
          <w:tcPr>
            <w:tcW w:w="240" w:type="dxa"/>
            <w:vAlign w:val="bottom"/>
            <w:tcBorders>
              <w:bottom w:val="single" w:sz="8" w:color="E7417A"/>
            </w:tcBorders>
          </w:tcPr>
          <w:p>
            <w:pPr>
              <w:ind w:left="60"/>
              <w:spacing w:after="0" w:line="54" w:lineRule="exact"/>
              <w:rPr>
                <w:sz w:val="20"/>
                <w:szCs w:val="20"/>
                <w:color w:val="auto"/>
              </w:rPr>
            </w:pPr>
            <w:r>
              <w:rPr>
                <w:rFonts w:ascii="Arial" w:cs="Arial" w:eastAsia="Arial" w:hAnsi="Arial"/>
                <w:sz w:val="6"/>
                <w:szCs w:val="6"/>
                <w:color w:val="auto"/>
              </w:rPr>
              <w:t>​ ​</w:t>
            </w:r>
          </w:p>
        </w:tc>
        <w:tc>
          <w:tcPr>
            <w:tcW w:w="100" w:type="dxa"/>
            <w:vAlign w:val="bottom"/>
            <w:tcBorders>
              <w:bottom w:val="single" w:sz="8" w:color="E7417A"/>
            </w:tcBorders>
          </w:tcPr>
          <w:p>
            <w:pPr>
              <w:spacing w:after="0"/>
              <w:rPr>
                <w:sz w:val="4"/>
                <w:szCs w:val="4"/>
                <w:color w:val="auto"/>
              </w:rPr>
            </w:pPr>
          </w:p>
        </w:tc>
        <w:tc>
          <w:tcPr>
            <w:tcW w:w="580" w:type="dxa"/>
            <w:vAlign w:val="bottom"/>
            <w:tcBorders>
              <w:bottom w:val="single" w:sz="8" w:color="E7417A"/>
            </w:tcBorders>
          </w:tcPr>
          <w:p>
            <w:pPr>
              <w:spacing w:after="0"/>
              <w:rPr>
                <w:sz w:val="4"/>
                <w:szCs w:val="4"/>
                <w:color w:val="auto"/>
              </w:rPr>
            </w:pPr>
          </w:p>
        </w:tc>
        <w:tc>
          <w:tcPr>
            <w:tcW w:w="60" w:type="dxa"/>
            <w:vAlign w:val="bottom"/>
            <w:tcBorders>
              <w:bottom w:val="single" w:sz="8" w:color="E7417A"/>
            </w:tcBorders>
          </w:tcPr>
          <w:p>
            <w:pPr>
              <w:jc w:val="right"/>
              <w:spacing w:after="0" w:line="54" w:lineRule="exact"/>
              <w:rPr>
                <w:sz w:val="20"/>
                <w:szCs w:val="20"/>
                <w:color w:val="auto"/>
              </w:rPr>
            </w:pPr>
            <w:r>
              <w:rPr>
                <w:rFonts w:ascii="Arial" w:cs="Arial" w:eastAsia="Arial" w:hAnsi="Arial"/>
                <w:sz w:val="6"/>
                <w:szCs w:val="6"/>
                <w:color w:val="auto"/>
              </w:rPr>
              <w:t>​</w:t>
            </w:r>
          </w:p>
        </w:tc>
        <w:tc>
          <w:tcPr>
            <w:tcW w:w="320" w:type="dxa"/>
            <w:vAlign w:val="bottom"/>
            <w:tcBorders>
              <w:bottom w:val="single" w:sz="8" w:color="E7417A"/>
            </w:tcBorders>
          </w:tcPr>
          <w:p>
            <w:pPr>
              <w:jc w:val="right"/>
              <w:ind w:right="61"/>
              <w:spacing w:after="0" w:line="54" w:lineRule="exact"/>
              <w:rPr>
                <w:sz w:val="20"/>
                <w:szCs w:val="20"/>
                <w:color w:val="auto"/>
              </w:rPr>
            </w:pPr>
            <w:r>
              <w:rPr>
                <w:rFonts w:ascii="Arial" w:cs="Arial" w:eastAsia="Arial" w:hAnsi="Arial"/>
                <w:sz w:val="6"/>
                <w:szCs w:val="6"/>
                <w:color w:val="auto"/>
              </w:rPr>
              <w:t>​ ​</w:t>
            </w:r>
          </w:p>
        </w:tc>
        <w:tc>
          <w:tcPr>
            <w:tcW w:w="620" w:type="dxa"/>
            <w:vAlign w:val="bottom"/>
            <w:tcBorders>
              <w:bottom w:val="single" w:sz="8" w:color="E7417A"/>
            </w:tcBorders>
          </w:tcPr>
          <w:p>
            <w:pPr>
              <w:spacing w:after="0"/>
              <w:rPr>
                <w:sz w:val="4"/>
                <w:szCs w:val="4"/>
                <w:color w:val="auto"/>
              </w:rPr>
            </w:pPr>
          </w:p>
        </w:tc>
        <w:tc>
          <w:tcPr>
            <w:tcW w:w="60" w:type="dxa"/>
            <w:vAlign w:val="bottom"/>
            <w:tcBorders>
              <w:bottom w:val="single" w:sz="8" w:color="E7417A"/>
            </w:tcBorders>
            <w:vMerge w:val="continue"/>
          </w:tcPr>
          <w:p>
            <w:pPr>
              <w:spacing w:after="0"/>
              <w:rPr>
                <w:sz w:val="4"/>
                <w:szCs w:val="4"/>
                <w:color w:val="auto"/>
              </w:rPr>
            </w:pPr>
          </w:p>
        </w:tc>
        <w:tc>
          <w:tcPr>
            <w:tcW w:w="40" w:type="dxa"/>
            <w:vAlign w:val="bottom"/>
            <w:tcBorders>
              <w:bottom w:val="single" w:sz="8" w:color="E7417A"/>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4140" w:type="dxa"/>
            <w:vAlign w:val="bottom"/>
          </w:tcPr>
          <w:p>
            <w:pPr>
              <w:ind w:left="60"/>
              <w:spacing w:after="0"/>
              <w:rPr>
                <w:sz w:val="20"/>
                <w:szCs w:val="20"/>
                <w:color w:val="auto"/>
              </w:rPr>
            </w:pPr>
            <w:r>
              <w:rPr>
                <w:rFonts w:ascii="Arial" w:cs="Arial" w:eastAsia="Arial" w:hAnsi="Arial"/>
                <w:sz w:val="14"/>
                <w:szCs w:val="14"/>
                <w:color w:val="auto"/>
              </w:rPr>
              <w:t>Add Fair Value at Vesting of Stock Awards Granted in Fiscal</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00" w:type="dxa"/>
            <w:vAlign w:val="bottom"/>
            <w:tcBorders>
              <w:bottom w:val="single" w:sz="8" w:color="E7417A"/>
            </w:tcBorders>
            <w:gridSpan w:val="2"/>
          </w:tcPr>
          <w:p>
            <w:pPr>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xml:space="preserve"> Year that Vested During Fiscal Year</w:t>
            </w:r>
          </w:p>
        </w:tc>
        <w:tc>
          <w:tcPr>
            <w:tcW w:w="400" w:type="dxa"/>
            <w:vAlign w:val="bottom"/>
            <w:tcBorders>
              <w:bottom w:val="single" w:sz="8" w:color="E7417A"/>
            </w:tcBorders>
            <w:gridSpan w:val="2"/>
          </w:tcPr>
          <w:p>
            <w:pPr>
              <w:ind w:left="20"/>
              <w:spacing w:after="0" w:line="212" w:lineRule="exact"/>
              <w:rPr>
                <w:sz w:val="20"/>
                <w:szCs w:val="20"/>
                <w:color w:val="auto"/>
              </w:rPr>
            </w:pPr>
            <w:r>
              <w:rPr>
                <w:rFonts w:ascii="Arial" w:cs="Arial" w:eastAsia="Arial" w:hAnsi="Arial"/>
                <w:sz w:val="13"/>
                <w:szCs w:val="13"/>
                <w:color w:val="auto"/>
              </w:rPr>
              <w:t xml:space="preserve">​ ​ ​ </w:t>
            </w:r>
            <w:r>
              <w:rPr>
                <w:rFonts w:ascii="Arial" w:cs="Arial" w:eastAsia="Arial" w:hAnsi="Arial"/>
                <w:sz w:val="24"/>
                <w:szCs w:val="24"/>
                <w:color w:val="auto"/>
                <w:vertAlign w:val="superscript"/>
              </w:rPr>
              <w:t>​</w:t>
            </w:r>
          </w:p>
        </w:tc>
        <w:tc>
          <w:tcPr>
            <w:tcW w:w="640" w:type="dxa"/>
            <w:vAlign w:val="bottom"/>
            <w:tcBorders>
              <w:bottom w:val="single" w:sz="8" w:color="E7417A"/>
            </w:tcBorders>
            <w:gridSpan w:val="2"/>
          </w:tcPr>
          <w:p>
            <w:pPr>
              <w:jc w:val="right"/>
              <w:spacing w:after="0" w:line="212"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bscript"/>
              </w:rPr>
              <w:t>​</w:t>
            </w:r>
          </w:p>
        </w:tc>
        <w:tc>
          <w:tcPr>
            <w:tcW w:w="340" w:type="dxa"/>
            <w:vAlign w:val="bottom"/>
            <w:tcBorders>
              <w:bottom w:val="single" w:sz="8" w:color="E7417A"/>
            </w:tcBorders>
            <w:gridSpan w:val="2"/>
          </w:tcPr>
          <w:p>
            <w:pPr>
              <w:ind w:left="60"/>
              <w:spacing w:after="0" w:line="212"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4"/>
                <w:szCs w:val="24"/>
                <w:color w:val="auto"/>
                <w:vertAlign w:val="superscript"/>
              </w:rPr>
              <w:t>​</w:t>
            </w:r>
          </w:p>
        </w:tc>
        <w:tc>
          <w:tcPr>
            <w:tcW w:w="620" w:type="dxa"/>
            <w:vAlign w:val="bottom"/>
            <w:tcBorders>
              <w:bottom w:val="single" w:sz="8" w:color="E7417A"/>
            </w:tcBorders>
            <w:gridSpan w:val="2"/>
          </w:tcPr>
          <w:p>
            <w:pPr>
              <w:jc w:val="right"/>
              <w:spacing w:after="0" w:line="212"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bscript"/>
              </w:rPr>
              <w:t>​</w:t>
            </w:r>
          </w:p>
        </w:tc>
        <w:tc>
          <w:tcPr>
            <w:tcW w:w="340" w:type="dxa"/>
            <w:vAlign w:val="bottom"/>
            <w:tcBorders>
              <w:bottom w:val="single" w:sz="8" w:color="E7417A"/>
            </w:tcBorders>
            <w:gridSpan w:val="2"/>
          </w:tcPr>
          <w:p>
            <w:pPr>
              <w:ind w:left="60"/>
              <w:spacing w:after="0" w:line="212"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4"/>
                <w:szCs w:val="24"/>
                <w:color w:val="auto"/>
                <w:vertAlign w:val="superscript"/>
              </w:rPr>
              <w:t>​</w:t>
            </w:r>
          </w:p>
        </w:tc>
        <w:tc>
          <w:tcPr>
            <w:tcW w:w="640" w:type="dxa"/>
            <w:vAlign w:val="bottom"/>
            <w:tcBorders>
              <w:bottom w:val="single" w:sz="8" w:color="E7417A"/>
            </w:tcBorders>
          </w:tcPr>
          <w:p>
            <w:pPr>
              <w:jc w:val="right"/>
              <w:spacing w:after="0" w:line="212"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bscript"/>
              </w:rPr>
              <w:t>​</w:t>
            </w:r>
          </w:p>
        </w:tc>
        <w:tc>
          <w:tcPr>
            <w:tcW w:w="340" w:type="dxa"/>
            <w:vAlign w:val="bottom"/>
            <w:tcBorders>
              <w:bottom w:val="single" w:sz="8" w:color="E7417A"/>
            </w:tcBorders>
            <w:gridSpan w:val="2"/>
          </w:tcPr>
          <w:p>
            <w:pPr>
              <w:ind w:left="60"/>
              <w:spacing w:after="0" w:line="212"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4"/>
                <w:szCs w:val="24"/>
                <w:color w:val="auto"/>
                <w:vertAlign w:val="superscript"/>
              </w:rPr>
              <w:t>​</w:t>
            </w:r>
          </w:p>
        </w:tc>
        <w:tc>
          <w:tcPr>
            <w:tcW w:w="640" w:type="dxa"/>
            <w:vAlign w:val="bottom"/>
            <w:tcBorders>
              <w:bottom w:val="single" w:sz="8" w:color="E7417A"/>
            </w:tcBorders>
            <w:gridSpan w:val="2"/>
          </w:tcPr>
          <w:p>
            <w:pPr>
              <w:jc w:val="right"/>
              <w:spacing w:after="0" w:line="212"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bscript"/>
              </w:rPr>
              <w:t>​</w:t>
            </w:r>
          </w:p>
        </w:tc>
        <w:tc>
          <w:tcPr>
            <w:tcW w:w="320" w:type="dxa"/>
            <w:vAlign w:val="bottom"/>
            <w:tcBorders>
              <w:bottom w:val="single" w:sz="8" w:color="E7417A"/>
            </w:tcBorders>
          </w:tcPr>
          <w:p>
            <w:pPr>
              <w:jc w:val="right"/>
              <w:ind w:right="1"/>
              <w:spacing w:after="0" w:line="212" w:lineRule="exact"/>
              <w:rPr>
                <w:sz w:val="20"/>
                <w:szCs w:val="20"/>
                <w:color w:val="auto"/>
              </w:rPr>
            </w:pPr>
            <w:r>
              <w:rPr>
                <w:rFonts w:ascii="Arial" w:cs="Arial" w:eastAsia="Arial" w:hAnsi="Arial"/>
                <w:sz w:val="13"/>
                <w:szCs w:val="13"/>
                <w:color w:val="auto"/>
              </w:rPr>
              <w:t>​ ​</w:t>
            </w:r>
            <w:r>
              <w:rPr>
                <w:rFonts w:ascii="Arial" w:cs="Arial" w:eastAsia="Arial" w:hAnsi="Arial"/>
                <w:sz w:val="24"/>
                <w:szCs w:val="24"/>
                <w:color w:val="auto"/>
                <w:vertAlign w:val="superscript"/>
              </w:rPr>
              <w:t>$</w:t>
            </w:r>
          </w:p>
        </w:tc>
        <w:tc>
          <w:tcPr>
            <w:tcW w:w="680" w:type="dxa"/>
            <w:vAlign w:val="bottom"/>
            <w:tcBorders>
              <w:bottom w:val="single" w:sz="8" w:color="E7417A"/>
            </w:tcBorders>
            <w:gridSpan w:val="2"/>
          </w:tcPr>
          <w:p>
            <w:pPr>
              <w:jc w:val="right"/>
              <w:spacing w:after="0" w:line="212" w:lineRule="exact"/>
              <w:rPr>
                <w:sz w:val="20"/>
                <w:szCs w:val="20"/>
                <w:color w:val="auto"/>
              </w:rPr>
            </w:pPr>
            <w:r>
              <w:rPr>
                <w:rFonts w:ascii="Arial" w:cs="Arial" w:eastAsia="Arial" w:hAnsi="Arial"/>
                <w:sz w:val="13"/>
                <w:szCs w:val="13"/>
                <w:color w:val="auto"/>
              </w:rPr>
              <w:t>46,644</w:t>
            </w:r>
            <w:r>
              <w:rPr>
                <w:rFonts w:ascii="Arial" w:cs="Arial" w:eastAsia="Arial" w:hAnsi="Arial"/>
                <w:sz w:val="24"/>
                <w:szCs w:val="24"/>
                <w:color w:val="auto"/>
                <w:vertAlign w:val="subscript"/>
              </w:rPr>
              <w:t>​</w:t>
            </w:r>
          </w:p>
        </w:tc>
        <w:tc>
          <w:tcPr>
            <w:tcW w:w="40" w:type="dxa"/>
            <w:vAlign w:val="bottom"/>
            <w:tcBorders>
              <w:bottom w:val="single" w:sz="8" w:color="E7417A"/>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4140" w:type="dxa"/>
            <w:vAlign w:val="bottom"/>
          </w:tcPr>
          <w:p>
            <w:pPr>
              <w:ind w:left="60"/>
              <w:spacing w:after="0"/>
              <w:rPr>
                <w:sz w:val="20"/>
                <w:szCs w:val="20"/>
                <w:color w:val="auto"/>
              </w:rPr>
            </w:pPr>
            <w:r>
              <w:rPr>
                <w:rFonts w:ascii="Arial" w:cs="Arial" w:eastAsia="Arial" w:hAnsi="Arial"/>
                <w:sz w:val="14"/>
                <w:szCs w:val="14"/>
                <w:color w:val="auto"/>
              </w:rPr>
              <w:t>Add Change in Fair Value as of Vesting Date of Stock Awards</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4140" w:type="dxa"/>
            <w:vAlign w:val="bottom"/>
          </w:tcPr>
          <w:p>
            <w:pPr>
              <w:ind w:left="60"/>
              <w:spacing w:after="0"/>
              <w:rPr>
                <w:sz w:val="20"/>
                <w:szCs w:val="20"/>
                <w:color w:val="auto"/>
              </w:rPr>
            </w:pPr>
            <w:r>
              <w:rPr>
                <w:rFonts w:ascii="Arial" w:cs="Arial" w:eastAsia="Arial" w:hAnsi="Arial"/>
                <w:sz w:val="14"/>
                <w:szCs w:val="14"/>
                <w:color w:val="auto"/>
              </w:rPr>
              <w:t>Granted in Prior Fiscal Years for which Applicable Vesting</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4140" w:type="dxa"/>
            <w:vAlign w:val="bottom"/>
          </w:tcPr>
          <w:p>
            <w:pPr>
              <w:ind w:left="60"/>
              <w:spacing w:after="0" w:line="158" w:lineRule="exact"/>
              <w:rPr>
                <w:sz w:val="20"/>
                <w:szCs w:val="20"/>
                <w:color w:val="auto"/>
              </w:rPr>
            </w:pPr>
            <w:r>
              <w:rPr>
                <w:rFonts w:ascii="Arial" w:cs="Arial" w:eastAsia="Arial" w:hAnsi="Arial"/>
                <w:sz w:val="14"/>
                <w:szCs w:val="14"/>
                <w:color w:val="auto"/>
              </w:rPr>
              <w:t>Conditions were Satisfied During Fiscal Year</w:t>
            </w:r>
          </w:p>
        </w:tc>
        <w:tc>
          <w:tcPr>
            <w:tcW w:w="340" w:type="dxa"/>
            <w:vAlign w:val="bottom"/>
          </w:tcPr>
          <w:p>
            <w:pPr>
              <w:ind w:left="24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40" w:type="dxa"/>
            <w:vAlign w:val="bottom"/>
            <w:gridSpan w:val="2"/>
          </w:tcPr>
          <w:p>
            <w:pPr>
              <w:ind w:left="20"/>
              <w:spacing w:after="0" w:line="158" w:lineRule="exact"/>
              <w:rPr>
                <w:sz w:val="20"/>
                <w:szCs w:val="20"/>
                <w:color w:val="auto"/>
              </w:rPr>
            </w:pPr>
            <w:r>
              <w:rPr>
                <w:rFonts w:ascii="Arial" w:cs="Arial" w:eastAsia="Arial" w:hAnsi="Arial"/>
                <w:sz w:val="14"/>
                <w:szCs w:val="14"/>
                <w:color w:val="auto"/>
              </w:rPr>
              <w:t>(155,977)</w:t>
            </w:r>
          </w:p>
        </w:tc>
        <w:tc>
          <w:tcPr>
            <w:tcW w:w="340" w:type="dxa"/>
            <w:vAlign w:val="bottom"/>
            <w:gridSpan w:val="2"/>
          </w:tcPr>
          <w:p>
            <w:pPr>
              <w:ind w:left="180"/>
              <w:spacing w:after="0" w:line="15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173,781</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(256,703)</w:t>
            </w:r>
          </w:p>
        </w:tc>
        <w:tc>
          <w:tcPr>
            <w:tcW w:w="340" w:type="dxa"/>
            <w:vAlign w:val="bottom"/>
            <w:gridSpan w:val="2"/>
          </w:tcPr>
          <w:p>
            <w:pPr>
              <w:ind w:left="180"/>
              <w:spacing w:after="0" w:line="15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207,877</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
              <w:spacing w:after="0" w:line="158"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37,349</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60" w:type="dxa"/>
            <w:vAlign w:val="bottom"/>
            <w:tcBorders>
              <w:bottom w:val="single" w:sz="8" w:color="E7417A"/>
            </w:tcBorders>
            <w:vMerge w:val="continue"/>
          </w:tcPr>
          <w:p>
            <w:pPr>
              <w:spacing w:after="0"/>
              <w:rPr>
                <w:sz w:val="4"/>
                <w:szCs w:val="4"/>
                <w:color w:val="auto"/>
              </w:rPr>
            </w:pPr>
          </w:p>
        </w:tc>
        <w:tc>
          <w:tcPr>
            <w:tcW w:w="4140" w:type="dxa"/>
            <w:vAlign w:val="bottom"/>
            <w:tcBorders>
              <w:bottom w:val="single" w:sz="8" w:color="E7417A"/>
            </w:tcBorders>
          </w:tcPr>
          <w:p>
            <w:pPr>
              <w:spacing w:after="0"/>
              <w:rPr>
                <w:sz w:val="4"/>
                <w:szCs w:val="4"/>
                <w:color w:val="auto"/>
              </w:rPr>
            </w:pPr>
          </w:p>
        </w:tc>
        <w:tc>
          <w:tcPr>
            <w:tcW w:w="340" w:type="dxa"/>
            <w:vAlign w:val="bottom"/>
            <w:tcBorders>
              <w:bottom w:val="single" w:sz="8" w:color="E7417A"/>
            </w:tcBorders>
          </w:tcPr>
          <w:p>
            <w:pPr>
              <w:ind w:left="20"/>
              <w:spacing w:after="0" w:line="54" w:lineRule="exact"/>
              <w:rPr>
                <w:sz w:val="20"/>
                <w:szCs w:val="20"/>
                <w:color w:val="auto"/>
              </w:rPr>
            </w:pPr>
            <w:r>
              <w:rPr>
                <w:rFonts w:ascii="Arial" w:cs="Arial" w:eastAsia="Arial" w:hAnsi="Arial"/>
                <w:sz w:val="6"/>
                <w:szCs w:val="6"/>
                <w:color w:val="auto"/>
              </w:rPr>
              <w:t>​ ​ ​</w:t>
            </w:r>
          </w:p>
        </w:tc>
        <w:tc>
          <w:tcPr>
            <w:tcW w:w="60" w:type="dxa"/>
            <w:vAlign w:val="bottom"/>
            <w:tcBorders>
              <w:bottom w:val="single" w:sz="8" w:color="E7417A"/>
            </w:tcBorders>
          </w:tcPr>
          <w:p>
            <w:pPr>
              <w:spacing w:after="0"/>
              <w:rPr>
                <w:sz w:val="4"/>
                <w:szCs w:val="4"/>
                <w:color w:val="auto"/>
              </w:rPr>
            </w:pPr>
          </w:p>
        </w:tc>
        <w:tc>
          <w:tcPr>
            <w:tcW w:w="580" w:type="dxa"/>
            <w:vAlign w:val="bottom"/>
            <w:tcBorders>
              <w:bottom w:val="single" w:sz="8" w:color="E7417A"/>
            </w:tcBorders>
          </w:tcPr>
          <w:p>
            <w:pPr>
              <w:spacing w:after="0"/>
              <w:rPr>
                <w:sz w:val="4"/>
                <w:szCs w:val="4"/>
                <w:color w:val="auto"/>
              </w:rPr>
            </w:pPr>
          </w:p>
        </w:tc>
        <w:tc>
          <w:tcPr>
            <w:tcW w:w="60" w:type="dxa"/>
            <w:vAlign w:val="bottom"/>
            <w:tcBorders>
              <w:bottom w:val="single" w:sz="8" w:color="E7417A"/>
            </w:tcBorders>
          </w:tcPr>
          <w:p>
            <w:pPr>
              <w:jc w:val="right"/>
              <w:spacing w:after="0" w:line="54" w:lineRule="exact"/>
              <w:rPr>
                <w:sz w:val="20"/>
                <w:szCs w:val="20"/>
                <w:color w:val="auto"/>
              </w:rPr>
            </w:pPr>
            <w:r>
              <w:rPr>
                <w:rFonts w:ascii="Arial" w:cs="Arial" w:eastAsia="Arial" w:hAnsi="Arial"/>
                <w:sz w:val="6"/>
                <w:szCs w:val="6"/>
                <w:color w:val="auto"/>
              </w:rPr>
              <w:t>​</w:t>
            </w:r>
          </w:p>
        </w:tc>
        <w:tc>
          <w:tcPr>
            <w:tcW w:w="240" w:type="dxa"/>
            <w:vAlign w:val="bottom"/>
            <w:tcBorders>
              <w:bottom w:val="single" w:sz="8" w:color="E7417A"/>
            </w:tcBorders>
          </w:tcPr>
          <w:p>
            <w:pPr>
              <w:ind w:left="60"/>
              <w:spacing w:after="0" w:line="54" w:lineRule="exact"/>
              <w:rPr>
                <w:sz w:val="20"/>
                <w:szCs w:val="20"/>
                <w:color w:val="auto"/>
              </w:rPr>
            </w:pPr>
            <w:r>
              <w:rPr>
                <w:rFonts w:ascii="Arial" w:cs="Arial" w:eastAsia="Arial" w:hAnsi="Arial"/>
                <w:sz w:val="6"/>
                <w:szCs w:val="6"/>
                <w:color w:val="auto"/>
              </w:rPr>
              <w:t>​ ​</w:t>
            </w:r>
          </w:p>
        </w:tc>
        <w:tc>
          <w:tcPr>
            <w:tcW w:w="100" w:type="dxa"/>
            <w:vAlign w:val="bottom"/>
            <w:tcBorders>
              <w:bottom w:val="single" w:sz="8" w:color="E7417A"/>
            </w:tcBorders>
          </w:tcPr>
          <w:p>
            <w:pPr>
              <w:spacing w:after="0"/>
              <w:rPr>
                <w:sz w:val="4"/>
                <w:szCs w:val="4"/>
                <w:color w:val="auto"/>
              </w:rPr>
            </w:pPr>
          </w:p>
        </w:tc>
        <w:tc>
          <w:tcPr>
            <w:tcW w:w="580" w:type="dxa"/>
            <w:vAlign w:val="bottom"/>
            <w:tcBorders>
              <w:bottom w:val="single" w:sz="8" w:color="E7417A"/>
            </w:tcBorders>
          </w:tcPr>
          <w:p>
            <w:pPr>
              <w:spacing w:after="0"/>
              <w:rPr>
                <w:sz w:val="4"/>
                <w:szCs w:val="4"/>
                <w:color w:val="auto"/>
              </w:rPr>
            </w:pPr>
          </w:p>
        </w:tc>
        <w:tc>
          <w:tcPr>
            <w:tcW w:w="40" w:type="dxa"/>
            <w:vAlign w:val="bottom"/>
            <w:tcBorders>
              <w:bottom w:val="single" w:sz="8" w:color="E7417A"/>
            </w:tcBorders>
            <w:vMerge w:val="continue"/>
          </w:tcPr>
          <w:p>
            <w:pPr>
              <w:spacing w:after="0"/>
              <w:rPr>
                <w:sz w:val="4"/>
                <w:szCs w:val="4"/>
                <w:color w:val="auto"/>
              </w:rPr>
            </w:pPr>
          </w:p>
        </w:tc>
        <w:tc>
          <w:tcPr>
            <w:tcW w:w="280" w:type="dxa"/>
            <w:vAlign w:val="bottom"/>
            <w:tcBorders>
              <w:bottom w:val="single" w:sz="8" w:color="E7417A"/>
            </w:tcBorders>
          </w:tcPr>
          <w:p>
            <w:pPr>
              <w:ind w:left="60"/>
              <w:spacing w:after="0" w:line="54" w:lineRule="exact"/>
              <w:rPr>
                <w:sz w:val="20"/>
                <w:szCs w:val="20"/>
                <w:color w:val="auto"/>
              </w:rPr>
            </w:pPr>
            <w:r>
              <w:rPr>
                <w:rFonts w:ascii="Arial" w:cs="Arial" w:eastAsia="Arial" w:hAnsi="Arial"/>
                <w:sz w:val="6"/>
                <w:szCs w:val="6"/>
                <w:color w:val="auto"/>
              </w:rPr>
              <w:t>​ ​</w:t>
            </w:r>
          </w:p>
        </w:tc>
        <w:tc>
          <w:tcPr>
            <w:tcW w:w="60" w:type="dxa"/>
            <w:vAlign w:val="bottom"/>
            <w:tcBorders>
              <w:bottom w:val="single" w:sz="8" w:color="E7417A"/>
            </w:tcBorders>
          </w:tcPr>
          <w:p>
            <w:pPr>
              <w:spacing w:after="0"/>
              <w:rPr>
                <w:sz w:val="4"/>
                <w:szCs w:val="4"/>
                <w:color w:val="auto"/>
              </w:rPr>
            </w:pPr>
          </w:p>
        </w:tc>
        <w:tc>
          <w:tcPr>
            <w:tcW w:w="640" w:type="dxa"/>
            <w:vAlign w:val="bottom"/>
            <w:tcBorders>
              <w:bottom w:val="single" w:sz="8" w:color="E7417A"/>
            </w:tcBorders>
          </w:tcPr>
          <w:p>
            <w:pPr>
              <w:jc w:val="right"/>
              <w:spacing w:after="0" w:line="54" w:lineRule="exact"/>
              <w:rPr>
                <w:sz w:val="20"/>
                <w:szCs w:val="20"/>
                <w:color w:val="auto"/>
              </w:rPr>
            </w:pPr>
            <w:r>
              <w:rPr>
                <w:rFonts w:ascii="Arial" w:cs="Arial" w:eastAsia="Arial" w:hAnsi="Arial"/>
                <w:sz w:val="6"/>
                <w:szCs w:val="6"/>
                <w:color w:val="auto"/>
              </w:rPr>
              <w:t>​</w:t>
            </w:r>
          </w:p>
        </w:tc>
        <w:tc>
          <w:tcPr>
            <w:tcW w:w="240" w:type="dxa"/>
            <w:vAlign w:val="bottom"/>
            <w:tcBorders>
              <w:bottom w:val="single" w:sz="8" w:color="E7417A"/>
            </w:tcBorders>
          </w:tcPr>
          <w:p>
            <w:pPr>
              <w:ind w:left="60"/>
              <w:spacing w:after="0" w:line="54" w:lineRule="exact"/>
              <w:rPr>
                <w:sz w:val="20"/>
                <w:szCs w:val="20"/>
                <w:color w:val="auto"/>
              </w:rPr>
            </w:pPr>
            <w:r>
              <w:rPr>
                <w:rFonts w:ascii="Arial" w:cs="Arial" w:eastAsia="Arial" w:hAnsi="Arial"/>
                <w:sz w:val="6"/>
                <w:szCs w:val="6"/>
                <w:color w:val="auto"/>
              </w:rPr>
              <w:t>​ ​</w:t>
            </w:r>
          </w:p>
        </w:tc>
        <w:tc>
          <w:tcPr>
            <w:tcW w:w="100" w:type="dxa"/>
            <w:vAlign w:val="bottom"/>
            <w:tcBorders>
              <w:bottom w:val="single" w:sz="8" w:color="E7417A"/>
            </w:tcBorders>
          </w:tcPr>
          <w:p>
            <w:pPr>
              <w:spacing w:after="0"/>
              <w:rPr>
                <w:sz w:val="4"/>
                <w:szCs w:val="4"/>
                <w:color w:val="auto"/>
              </w:rPr>
            </w:pPr>
          </w:p>
        </w:tc>
        <w:tc>
          <w:tcPr>
            <w:tcW w:w="580" w:type="dxa"/>
            <w:vAlign w:val="bottom"/>
            <w:tcBorders>
              <w:bottom w:val="single" w:sz="8" w:color="E7417A"/>
            </w:tcBorders>
          </w:tcPr>
          <w:p>
            <w:pPr>
              <w:spacing w:after="0"/>
              <w:rPr>
                <w:sz w:val="4"/>
                <w:szCs w:val="4"/>
                <w:color w:val="auto"/>
              </w:rPr>
            </w:pPr>
          </w:p>
        </w:tc>
        <w:tc>
          <w:tcPr>
            <w:tcW w:w="60" w:type="dxa"/>
            <w:vAlign w:val="bottom"/>
            <w:tcBorders>
              <w:bottom w:val="single" w:sz="8" w:color="E7417A"/>
            </w:tcBorders>
            <w:vMerge w:val="continue"/>
          </w:tcPr>
          <w:p>
            <w:pPr>
              <w:spacing w:after="0"/>
              <w:rPr>
                <w:sz w:val="4"/>
                <w:szCs w:val="4"/>
                <w:color w:val="auto"/>
              </w:rPr>
            </w:pPr>
          </w:p>
        </w:tc>
        <w:tc>
          <w:tcPr>
            <w:tcW w:w="320" w:type="dxa"/>
            <w:vAlign w:val="bottom"/>
            <w:tcBorders>
              <w:bottom w:val="single" w:sz="8" w:color="E7417A"/>
            </w:tcBorders>
          </w:tcPr>
          <w:p>
            <w:pPr>
              <w:jc w:val="right"/>
              <w:ind w:right="61"/>
              <w:spacing w:after="0" w:line="54" w:lineRule="exact"/>
              <w:rPr>
                <w:sz w:val="20"/>
                <w:szCs w:val="20"/>
                <w:color w:val="auto"/>
              </w:rPr>
            </w:pPr>
            <w:r>
              <w:rPr>
                <w:rFonts w:ascii="Arial" w:cs="Arial" w:eastAsia="Arial" w:hAnsi="Arial"/>
                <w:sz w:val="6"/>
                <w:szCs w:val="6"/>
                <w:color w:val="auto"/>
              </w:rPr>
              <w:t>​ ​</w:t>
            </w:r>
          </w:p>
        </w:tc>
        <w:tc>
          <w:tcPr>
            <w:tcW w:w="620" w:type="dxa"/>
            <w:vAlign w:val="bottom"/>
            <w:tcBorders>
              <w:bottom w:val="single" w:sz="8" w:color="E7417A"/>
            </w:tcBorders>
          </w:tcPr>
          <w:p>
            <w:pPr>
              <w:spacing w:after="0"/>
              <w:rPr>
                <w:sz w:val="4"/>
                <w:szCs w:val="4"/>
                <w:color w:val="auto"/>
              </w:rPr>
            </w:pPr>
          </w:p>
        </w:tc>
        <w:tc>
          <w:tcPr>
            <w:tcW w:w="60" w:type="dxa"/>
            <w:vAlign w:val="bottom"/>
            <w:tcBorders>
              <w:bottom w:val="single" w:sz="8" w:color="E7417A"/>
            </w:tcBorders>
            <w:vMerge w:val="continue"/>
          </w:tcPr>
          <w:p>
            <w:pPr>
              <w:spacing w:after="0"/>
              <w:rPr>
                <w:sz w:val="4"/>
                <w:szCs w:val="4"/>
                <w:color w:val="auto"/>
              </w:rPr>
            </w:pPr>
          </w:p>
        </w:tc>
        <w:tc>
          <w:tcPr>
            <w:tcW w:w="40" w:type="dxa"/>
            <w:vAlign w:val="bottom"/>
            <w:tcBorders>
              <w:bottom w:val="single" w:sz="8" w:color="E7417A"/>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4140" w:type="dxa"/>
            <w:vAlign w:val="bottom"/>
          </w:tcPr>
          <w:p>
            <w:pPr>
              <w:ind w:left="60"/>
              <w:spacing w:after="0"/>
              <w:rPr>
                <w:sz w:val="20"/>
                <w:szCs w:val="20"/>
                <w:color w:val="auto"/>
              </w:rPr>
            </w:pPr>
            <w:r>
              <w:rPr>
                <w:rFonts w:ascii="Arial" w:cs="Arial" w:eastAsia="Arial" w:hAnsi="Arial"/>
                <w:sz w:val="14"/>
                <w:szCs w:val="14"/>
                <w:color w:val="auto"/>
              </w:rPr>
              <w:t>Deduct Fair Value as of Prior Fiscal Year End of Stock</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4140" w:type="dxa"/>
            <w:vAlign w:val="bottom"/>
          </w:tcPr>
          <w:p>
            <w:pPr>
              <w:ind w:left="60"/>
              <w:spacing w:after="0"/>
              <w:rPr>
                <w:sz w:val="20"/>
                <w:szCs w:val="20"/>
                <w:color w:val="auto"/>
              </w:rPr>
            </w:pPr>
            <w:r>
              <w:rPr>
                <w:rFonts w:ascii="Arial" w:cs="Arial" w:eastAsia="Arial" w:hAnsi="Arial"/>
                <w:sz w:val="14"/>
                <w:szCs w:val="14"/>
                <w:color w:val="auto"/>
              </w:rPr>
              <w:t>Awards Granted in Prior Fiscal Years that Failed to Meet</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4140" w:type="dxa"/>
            <w:vAlign w:val="bottom"/>
          </w:tcPr>
          <w:p>
            <w:pPr>
              <w:ind w:left="60"/>
              <w:spacing w:after="0" w:line="158" w:lineRule="exact"/>
              <w:rPr>
                <w:sz w:val="20"/>
                <w:szCs w:val="20"/>
                <w:color w:val="auto"/>
              </w:rPr>
            </w:pPr>
            <w:r>
              <w:rPr>
                <w:rFonts w:ascii="Arial" w:cs="Arial" w:eastAsia="Arial" w:hAnsi="Arial"/>
                <w:sz w:val="14"/>
                <w:szCs w:val="14"/>
                <w:color w:val="auto"/>
              </w:rPr>
              <w:t>Applicable Vesting Conditions During Fiscal Year</w:t>
            </w:r>
          </w:p>
        </w:tc>
        <w:tc>
          <w:tcPr>
            <w:tcW w:w="340" w:type="dxa"/>
            <w:vAlign w:val="bottom"/>
          </w:tcPr>
          <w:p>
            <w:pPr>
              <w:ind w:left="24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474,633</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180"/>
              <w:spacing w:after="0" w:line="15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906,048</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(118,110)</w:t>
            </w:r>
          </w:p>
        </w:tc>
        <w:tc>
          <w:tcPr>
            <w:tcW w:w="24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10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(49,991)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60" w:type="dxa"/>
            <w:vAlign w:val="bottom"/>
            <w:tcBorders>
              <w:bottom w:val="single" w:sz="8" w:color="E7417A"/>
            </w:tcBorders>
            <w:vMerge w:val="continue"/>
          </w:tcPr>
          <w:p>
            <w:pPr>
              <w:spacing w:after="0"/>
              <w:rPr>
                <w:sz w:val="4"/>
                <w:szCs w:val="4"/>
                <w:color w:val="auto"/>
              </w:rPr>
            </w:pPr>
          </w:p>
        </w:tc>
        <w:tc>
          <w:tcPr>
            <w:tcW w:w="4140" w:type="dxa"/>
            <w:vAlign w:val="bottom"/>
            <w:tcBorders>
              <w:bottom w:val="single" w:sz="8" w:color="E7417A"/>
            </w:tcBorders>
          </w:tcPr>
          <w:p>
            <w:pPr>
              <w:spacing w:after="0"/>
              <w:rPr>
                <w:sz w:val="4"/>
                <w:szCs w:val="4"/>
                <w:color w:val="auto"/>
              </w:rPr>
            </w:pPr>
          </w:p>
        </w:tc>
        <w:tc>
          <w:tcPr>
            <w:tcW w:w="340" w:type="dxa"/>
            <w:vAlign w:val="bottom"/>
            <w:tcBorders>
              <w:bottom w:val="single" w:sz="8" w:color="E7417A"/>
            </w:tcBorders>
          </w:tcPr>
          <w:p>
            <w:pPr>
              <w:ind w:left="20"/>
              <w:spacing w:after="0" w:line="54" w:lineRule="exact"/>
              <w:rPr>
                <w:sz w:val="20"/>
                <w:szCs w:val="20"/>
                <w:color w:val="auto"/>
              </w:rPr>
            </w:pPr>
            <w:r>
              <w:rPr>
                <w:rFonts w:ascii="Arial" w:cs="Arial" w:eastAsia="Arial" w:hAnsi="Arial"/>
                <w:sz w:val="6"/>
                <w:szCs w:val="6"/>
                <w:color w:val="auto"/>
              </w:rPr>
              <w:t>​ ​ ​</w:t>
            </w:r>
          </w:p>
        </w:tc>
        <w:tc>
          <w:tcPr>
            <w:tcW w:w="60" w:type="dxa"/>
            <w:vAlign w:val="bottom"/>
            <w:tcBorders>
              <w:bottom w:val="single" w:sz="8" w:color="E7417A"/>
            </w:tcBorders>
          </w:tcPr>
          <w:p>
            <w:pPr>
              <w:spacing w:after="0"/>
              <w:rPr>
                <w:sz w:val="4"/>
                <w:szCs w:val="4"/>
                <w:color w:val="auto"/>
              </w:rPr>
            </w:pPr>
          </w:p>
        </w:tc>
        <w:tc>
          <w:tcPr>
            <w:tcW w:w="580" w:type="dxa"/>
            <w:vAlign w:val="bottom"/>
            <w:tcBorders>
              <w:bottom w:val="single" w:sz="8" w:color="E7417A"/>
            </w:tcBorders>
          </w:tcPr>
          <w:p>
            <w:pPr>
              <w:spacing w:after="0"/>
              <w:rPr>
                <w:sz w:val="4"/>
                <w:szCs w:val="4"/>
                <w:color w:val="auto"/>
              </w:rPr>
            </w:pPr>
          </w:p>
        </w:tc>
        <w:tc>
          <w:tcPr>
            <w:tcW w:w="60" w:type="dxa"/>
            <w:vAlign w:val="bottom"/>
            <w:tcBorders>
              <w:bottom w:val="single" w:sz="8" w:color="E7417A"/>
            </w:tcBorders>
            <w:vMerge w:val="continue"/>
          </w:tcPr>
          <w:p>
            <w:pPr>
              <w:spacing w:after="0"/>
              <w:rPr>
                <w:sz w:val="4"/>
                <w:szCs w:val="4"/>
                <w:color w:val="auto"/>
              </w:rPr>
            </w:pPr>
          </w:p>
        </w:tc>
        <w:tc>
          <w:tcPr>
            <w:tcW w:w="240" w:type="dxa"/>
            <w:vAlign w:val="bottom"/>
            <w:tcBorders>
              <w:bottom w:val="single" w:sz="8" w:color="E7417A"/>
            </w:tcBorders>
          </w:tcPr>
          <w:p>
            <w:pPr>
              <w:ind w:left="60"/>
              <w:spacing w:after="0" w:line="54" w:lineRule="exact"/>
              <w:rPr>
                <w:sz w:val="20"/>
                <w:szCs w:val="20"/>
                <w:color w:val="auto"/>
              </w:rPr>
            </w:pPr>
            <w:r>
              <w:rPr>
                <w:rFonts w:ascii="Arial" w:cs="Arial" w:eastAsia="Arial" w:hAnsi="Arial"/>
                <w:sz w:val="6"/>
                <w:szCs w:val="6"/>
                <w:color w:val="auto"/>
              </w:rPr>
              <w:t>​ ​</w:t>
            </w:r>
          </w:p>
        </w:tc>
        <w:tc>
          <w:tcPr>
            <w:tcW w:w="100" w:type="dxa"/>
            <w:vAlign w:val="bottom"/>
            <w:tcBorders>
              <w:bottom w:val="single" w:sz="8" w:color="E7417A"/>
            </w:tcBorders>
          </w:tcPr>
          <w:p>
            <w:pPr>
              <w:spacing w:after="0"/>
              <w:rPr>
                <w:sz w:val="4"/>
                <w:szCs w:val="4"/>
                <w:color w:val="auto"/>
              </w:rPr>
            </w:pPr>
          </w:p>
        </w:tc>
        <w:tc>
          <w:tcPr>
            <w:tcW w:w="580" w:type="dxa"/>
            <w:vAlign w:val="bottom"/>
            <w:tcBorders>
              <w:bottom w:val="single" w:sz="8" w:color="E7417A"/>
            </w:tcBorders>
          </w:tcPr>
          <w:p>
            <w:pPr>
              <w:spacing w:after="0"/>
              <w:rPr>
                <w:sz w:val="4"/>
                <w:szCs w:val="4"/>
                <w:color w:val="auto"/>
              </w:rPr>
            </w:pPr>
          </w:p>
        </w:tc>
        <w:tc>
          <w:tcPr>
            <w:tcW w:w="40" w:type="dxa"/>
            <w:vAlign w:val="bottom"/>
            <w:tcBorders>
              <w:bottom w:val="single" w:sz="8" w:color="E7417A"/>
            </w:tcBorders>
            <w:vMerge w:val="continue"/>
          </w:tcPr>
          <w:p>
            <w:pPr>
              <w:spacing w:after="0"/>
              <w:rPr>
                <w:sz w:val="4"/>
                <w:szCs w:val="4"/>
                <w:color w:val="auto"/>
              </w:rPr>
            </w:pPr>
          </w:p>
        </w:tc>
        <w:tc>
          <w:tcPr>
            <w:tcW w:w="280" w:type="dxa"/>
            <w:vAlign w:val="bottom"/>
            <w:tcBorders>
              <w:bottom w:val="single" w:sz="8" w:color="E7417A"/>
            </w:tcBorders>
          </w:tcPr>
          <w:p>
            <w:pPr>
              <w:ind w:left="60"/>
              <w:spacing w:after="0" w:line="54" w:lineRule="exact"/>
              <w:rPr>
                <w:sz w:val="20"/>
                <w:szCs w:val="20"/>
                <w:color w:val="auto"/>
              </w:rPr>
            </w:pPr>
            <w:r>
              <w:rPr>
                <w:rFonts w:ascii="Arial" w:cs="Arial" w:eastAsia="Arial" w:hAnsi="Arial"/>
                <w:sz w:val="6"/>
                <w:szCs w:val="6"/>
                <w:color w:val="auto"/>
              </w:rPr>
              <w:t>​ ​</w:t>
            </w:r>
          </w:p>
        </w:tc>
        <w:tc>
          <w:tcPr>
            <w:tcW w:w="60" w:type="dxa"/>
            <w:vAlign w:val="bottom"/>
            <w:tcBorders>
              <w:bottom w:val="single" w:sz="8" w:color="E7417A"/>
            </w:tcBorders>
          </w:tcPr>
          <w:p>
            <w:pPr>
              <w:spacing w:after="0"/>
              <w:rPr>
                <w:sz w:val="4"/>
                <w:szCs w:val="4"/>
                <w:color w:val="auto"/>
              </w:rPr>
            </w:pPr>
          </w:p>
        </w:tc>
        <w:tc>
          <w:tcPr>
            <w:tcW w:w="640" w:type="dxa"/>
            <w:vAlign w:val="bottom"/>
            <w:tcBorders>
              <w:bottom w:val="single" w:sz="8" w:color="E7417A"/>
            </w:tcBorders>
          </w:tcPr>
          <w:p>
            <w:pPr>
              <w:jc w:val="right"/>
              <w:spacing w:after="0" w:line="54" w:lineRule="exact"/>
              <w:rPr>
                <w:sz w:val="20"/>
                <w:szCs w:val="20"/>
                <w:color w:val="auto"/>
              </w:rPr>
            </w:pPr>
            <w:r>
              <w:rPr>
                <w:rFonts w:ascii="Arial" w:cs="Arial" w:eastAsia="Arial" w:hAnsi="Arial"/>
                <w:sz w:val="6"/>
                <w:szCs w:val="6"/>
                <w:color w:val="auto"/>
              </w:rPr>
              <w:t>​</w:t>
            </w:r>
          </w:p>
        </w:tc>
        <w:tc>
          <w:tcPr>
            <w:tcW w:w="240" w:type="dxa"/>
            <w:vAlign w:val="bottom"/>
            <w:tcBorders>
              <w:bottom w:val="single" w:sz="8" w:color="E7417A"/>
            </w:tcBorders>
            <w:vMerge w:val="continue"/>
          </w:tcPr>
          <w:p>
            <w:pPr>
              <w:spacing w:after="0"/>
              <w:rPr>
                <w:sz w:val="4"/>
                <w:szCs w:val="4"/>
                <w:color w:val="auto"/>
              </w:rPr>
            </w:pPr>
          </w:p>
        </w:tc>
        <w:tc>
          <w:tcPr>
            <w:tcW w:w="100" w:type="dxa"/>
            <w:vAlign w:val="bottom"/>
            <w:tcBorders>
              <w:bottom w:val="single" w:sz="8" w:color="E7417A"/>
            </w:tcBorders>
          </w:tcPr>
          <w:p>
            <w:pPr>
              <w:spacing w:after="0"/>
              <w:rPr>
                <w:sz w:val="4"/>
                <w:szCs w:val="4"/>
                <w:color w:val="auto"/>
              </w:rPr>
            </w:pPr>
          </w:p>
        </w:tc>
        <w:tc>
          <w:tcPr>
            <w:tcW w:w="580" w:type="dxa"/>
            <w:vAlign w:val="bottom"/>
            <w:tcBorders>
              <w:bottom w:val="single" w:sz="8" w:color="E7417A"/>
            </w:tcBorders>
          </w:tcPr>
          <w:p>
            <w:pPr>
              <w:spacing w:after="0"/>
              <w:rPr>
                <w:sz w:val="4"/>
                <w:szCs w:val="4"/>
                <w:color w:val="auto"/>
              </w:rPr>
            </w:pPr>
          </w:p>
        </w:tc>
        <w:tc>
          <w:tcPr>
            <w:tcW w:w="60" w:type="dxa"/>
            <w:vAlign w:val="bottom"/>
            <w:tcBorders>
              <w:bottom w:val="single" w:sz="8" w:color="E7417A"/>
            </w:tcBorders>
            <w:vMerge w:val="continue"/>
          </w:tcPr>
          <w:p>
            <w:pPr>
              <w:spacing w:after="0"/>
              <w:rPr>
                <w:sz w:val="4"/>
                <w:szCs w:val="4"/>
                <w:color w:val="auto"/>
              </w:rPr>
            </w:pPr>
          </w:p>
        </w:tc>
        <w:tc>
          <w:tcPr>
            <w:tcW w:w="320" w:type="dxa"/>
            <w:vAlign w:val="bottom"/>
            <w:tcBorders>
              <w:bottom w:val="single" w:sz="8" w:color="E7417A"/>
            </w:tcBorders>
          </w:tcPr>
          <w:p>
            <w:pPr>
              <w:jc w:val="right"/>
              <w:ind w:right="61"/>
              <w:spacing w:after="0" w:line="54" w:lineRule="exact"/>
              <w:rPr>
                <w:sz w:val="20"/>
                <w:szCs w:val="20"/>
                <w:color w:val="auto"/>
              </w:rPr>
            </w:pPr>
            <w:r>
              <w:rPr>
                <w:rFonts w:ascii="Arial" w:cs="Arial" w:eastAsia="Arial" w:hAnsi="Arial"/>
                <w:sz w:val="6"/>
                <w:szCs w:val="6"/>
                <w:color w:val="auto"/>
              </w:rPr>
              <w:t>​ ​</w:t>
            </w:r>
          </w:p>
        </w:tc>
        <w:tc>
          <w:tcPr>
            <w:tcW w:w="620" w:type="dxa"/>
            <w:vAlign w:val="bottom"/>
            <w:tcBorders>
              <w:bottom w:val="single" w:sz="8" w:color="E7417A"/>
            </w:tcBorders>
          </w:tcPr>
          <w:p>
            <w:pPr>
              <w:spacing w:after="0"/>
              <w:rPr>
                <w:sz w:val="4"/>
                <w:szCs w:val="4"/>
                <w:color w:val="auto"/>
              </w:rPr>
            </w:pPr>
          </w:p>
        </w:tc>
        <w:tc>
          <w:tcPr>
            <w:tcW w:w="60" w:type="dxa"/>
            <w:vAlign w:val="bottom"/>
            <w:tcBorders>
              <w:bottom w:val="single" w:sz="8" w:color="E7417A"/>
            </w:tcBorders>
          </w:tcPr>
          <w:p>
            <w:pPr>
              <w:jc w:val="right"/>
              <w:spacing w:after="0" w:line="54" w:lineRule="exact"/>
              <w:rPr>
                <w:sz w:val="20"/>
                <w:szCs w:val="20"/>
                <w:color w:val="auto"/>
              </w:rPr>
            </w:pPr>
            <w:r>
              <w:rPr>
                <w:rFonts w:ascii="Arial" w:cs="Arial" w:eastAsia="Arial" w:hAnsi="Arial"/>
                <w:sz w:val="6"/>
                <w:szCs w:val="6"/>
                <w:color w:val="auto"/>
              </w:rPr>
              <w:t>​</w:t>
            </w:r>
          </w:p>
        </w:tc>
        <w:tc>
          <w:tcPr>
            <w:tcW w:w="40" w:type="dxa"/>
            <w:vAlign w:val="bottom"/>
            <w:tcBorders>
              <w:bottom w:val="single" w:sz="8" w:color="E7417A"/>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200" w:type="dxa"/>
            <w:vAlign w:val="bottom"/>
            <w:tcBorders>
              <w:bottom w:val="single" w:sz="8" w:color="62259D"/>
            </w:tcBorders>
            <w:gridSpan w:val="2"/>
          </w:tcPr>
          <w:p>
            <w:pP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Compensation Actually Paid</w:t>
            </w:r>
          </w:p>
        </w:tc>
        <w:tc>
          <w:tcPr>
            <w:tcW w:w="340" w:type="dxa"/>
            <w:vAlign w:val="bottom"/>
            <w:tcBorders>
              <w:bottom w:val="single" w:sz="8" w:color="62259D"/>
            </w:tcBorders>
          </w:tcPr>
          <w:p>
            <w:pPr>
              <w:ind w:left="20"/>
              <w:spacing w:after="0" w:line="236" w:lineRule="exact"/>
              <w:rPr>
                <w:sz w:val="20"/>
                <w:szCs w:val="20"/>
                <w:color w:val="auto"/>
              </w:rPr>
            </w:pPr>
            <w:r>
              <w:rPr>
                <w:rFonts w:ascii="Arial" w:cs="Arial" w:eastAsia="Arial" w:hAnsi="Arial"/>
                <w:sz w:val="14"/>
                <w:szCs w:val="14"/>
                <w:color w:val="auto"/>
              </w:rPr>
              <w:t>​ ​ ​</w:t>
            </w:r>
            <w:r>
              <w:rPr>
                <w:rFonts w:ascii="Arial" w:cs="Arial" w:eastAsia="Arial" w:hAnsi="Arial"/>
                <w:sz w:val="27"/>
                <w:szCs w:val="27"/>
                <w:color w:val="auto"/>
                <w:vertAlign w:val="superscript"/>
              </w:rPr>
              <w:t>$</w:t>
            </w:r>
          </w:p>
        </w:tc>
        <w:tc>
          <w:tcPr>
            <w:tcW w:w="700" w:type="dxa"/>
            <w:vAlign w:val="bottom"/>
            <w:tcBorders>
              <w:bottom w:val="single" w:sz="8" w:color="62259D"/>
            </w:tcBorders>
            <w:gridSpan w:val="3"/>
          </w:tcPr>
          <w:p>
            <w:pPr>
              <w:jc w:val="right"/>
              <w:spacing w:after="0" w:line="236" w:lineRule="exact"/>
              <w:rPr>
                <w:sz w:val="20"/>
                <w:szCs w:val="20"/>
                <w:color w:val="auto"/>
              </w:rPr>
            </w:pPr>
            <w:r>
              <w:rPr>
                <w:rFonts w:ascii="Arial" w:cs="Arial" w:eastAsia="Arial" w:hAnsi="Arial"/>
                <w:sz w:val="14"/>
                <w:szCs w:val="14"/>
                <w:color w:val="auto"/>
              </w:rPr>
              <w:t>1,413,665</w:t>
            </w:r>
            <w:r>
              <w:rPr>
                <w:rFonts w:ascii="Arial" w:cs="Arial" w:eastAsia="Arial" w:hAnsi="Arial"/>
                <w:sz w:val="27"/>
                <w:szCs w:val="27"/>
                <w:color w:val="auto"/>
                <w:vertAlign w:val="subscript"/>
              </w:rPr>
              <w:t>​</w:t>
            </w:r>
          </w:p>
        </w:tc>
        <w:tc>
          <w:tcPr>
            <w:tcW w:w="960" w:type="dxa"/>
            <w:vAlign w:val="bottom"/>
            <w:tcBorders>
              <w:bottom w:val="single" w:sz="8" w:color="62259D"/>
            </w:tcBorders>
            <w:gridSpan w:val="4"/>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$ 1,040,387</w:t>
            </w:r>
            <w:r>
              <w:rPr>
                <w:rFonts w:ascii="Arial" w:cs="Arial" w:eastAsia="Arial" w:hAnsi="Arial"/>
                <w:sz w:val="27"/>
                <w:szCs w:val="27"/>
                <w:color w:val="auto"/>
                <w:vertAlign w:val="subscript"/>
              </w:rPr>
              <w:t>​</w:t>
            </w:r>
          </w:p>
        </w:tc>
        <w:tc>
          <w:tcPr>
            <w:tcW w:w="280" w:type="dxa"/>
            <w:vAlign w:val="bottom"/>
            <w:tcBorders>
              <w:bottom w:val="single" w:sz="8" w:color="62259D"/>
            </w:tcBorders>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60" w:type="dxa"/>
            <w:vAlign w:val="bottom"/>
            <w:tcBorders>
              <w:bottom w:val="single" w:sz="8" w:color="62259D"/>
            </w:tcBorders>
          </w:tcPr>
          <w:p>
            <w:pPr>
              <w:spacing w:after="0"/>
              <w:rPr>
                <w:sz w:val="20"/>
                <w:szCs w:val="20"/>
                <w:color w:val="auto"/>
              </w:rPr>
            </w:pPr>
          </w:p>
        </w:tc>
        <w:tc>
          <w:tcPr>
            <w:tcW w:w="640" w:type="dxa"/>
            <w:vAlign w:val="bottom"/>
            <w:tcBorders>
              <w:bottom w:val="single" w:sz="8" w:color="62259D"/>
            </w:tcBorders>
          </w:tcPr>
          <w:p>
            <w:pPr>
              <w:jc w:val="right"/>
              <w:spacing w:after="0" w:line="236" w:lineRule="exact"/>
              <w:rPr>
                <w:sz w:val="20"/>
                <w:szCs w:val="20"/>
                <w:color w:val="auto"/>
              </w:rPr>
            </w:pPr>
            <w:r>
              <w:rPr>
                <w:rFonts w:ascii="Arial" w:cs="Arial" w:eastAsia="Arial" w:hAnsi="Arial"/>
                <w:sz w:val="14"/>
                <w:szCs w:val="14"/>
                <w:color w:val="auto"/>
              </w:rPr>
              <w:t>352,253</w:t>
            </w:r>
            <w:r>
              <w:rPr>
                <w:rFonts w:ascii="Arial" w:cs="Arial" w:eastAsia="Arial" w:hAnsi="Arial"/>
                <w:sz w:val="27"/>
                <w:szCs w:val="27"/>
                <w:color w:val="auto"/>
                <w:vertAlign w:val="subscript"/>
              </w:rPr>
              <w:t>​</w:t>
            </w:r>
          </w:p>
        </w:tc>
        <w:tc>
          <w:tcPr>
            <w:tcW w:w="980" w:type="dxa"/>
            <w:vAlign w:val="bottom"/>
            <w:tcBorders>
              <w:bottom w:val="single" w:sz="8" w:color="62259D"/>
            </w:tcBorders>
            <w:gridSpan w:val="4"/>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$ 1,461,408</w:t>
            </w:r>
            <w:r>
              <w:rPr>
                <w:rFonts w:ascii="Arial" w:cs="Arial" w:eastAsia="Arial" w:hAnsi="Arial"/>
                <w:sz w:val="27"/>
                <w:szCs w:val="27"/>
                <w:color w:val="auto"/>
                <w:vertAlign w:val="subscript"/>
              </w:rPr>
              <w:t>​</w:t>
            </w:r>
          </w:p>
        </w:tc>
        <w:tc>
          <w:tcPr>
            <w:tcW w:w="1000" w:type="dxa"/>
            <w:vAlign w:val="bottom"/>
            <w:tcBorders>
              <w:bottom w:val="single" w:sz="8" w:color="62259D"/>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$ 2,487,383</w:t>
            </w:r>
            <w:r>
              <w:rPr>
                <w:rFonts w:ascii="Arial" w:cs="Arial" w:eastAsia="Arial" w:hAnsi="Arial"/>
                <w:sz w:val="27"/>
                <w:szCs w:val="27"/>
                <w:color w:val="auto"/>
                <w:vertAlign w:val="subscript"/>
              </w:rPr>
              <w:t>​</w:t>
            </w:r>
          </w:p>
        </w:tc>
        <w:tc>
          <w:tcPr>
            <w:tcW w:w="40" w:type="dxa"/>
            <w:vAlign w:val="bottom"/>
            <w:tcBorders>
              <w:bottom w:val="single" w:sz="8" w:color="62259D"/>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64</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20"/>
          </w:cols>
          <w:pgMar w:left="580" w:top="97" w:right="1199"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63" w:lineRule="exact"/>
        <w:rPr>
          <w:sz w:val="20"/>
          <w:szCs w:val="20"/>
          <w:color w:val="auto"/>
        </w:rPr>
      </w:pPr>
    </w:p>
    <w:p>
      <w:pPr>
        <w:ind w:left="1400" w:right="179" w:hanging="368"/>
        <w:spacing w:after="0" w:line="273" w:lineRule="auto"/>
        <w:tabs>
          <w:tab w:leader="none" w:pos="14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Represents the Company’s common stock cumulative TSR on a fixed investment of $100 over the fiscal year starting from the market close on the last trading day of fiscal 2019 through the end of each applicable fiscal year in the table, assuming reinvestment of any dividends.</w:t>
      </w:r>
    </w:p>
    <w:p>
      <w:pPr>
        <w:spacing w:after="0" w:line="31" w:lineRule="exact"/>
        <w:rPr>
          <w:rFonts w:ascii="Arial" w:cs="Arial" w:eastAsia="Arial" w:hAnsi="Arial"/>
          <w:sz w:val="14"/>
          <w:szCs w:val="14"/>
          <w:color w:val="auto"/>
        </w:rPr>
      </w:pPr>
    </w:p>
    <w:p>
      <w:pPr>
        <w:ind w:left="1400" w:right="259" w:hanging="368"/>
        <w:spacing w:after="0" w:line="269" w:lineRule="auto"/>
        <w:tabs>
          <w:tab w:leader="none" w:pos="14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Represents the cumulative TSR of the Nasdaq Telecommunications Index, the Company’s peer group for this Pay Versus Performance disclosure, on a fixed investment of $100 over the fiscal year starting from the market close on the last trading day of fiscal 2019 through the end of each applicable fiscal year in the table. This is the same peer group the Company uses for its disclosure under Item 201(e) of Regulation S-K.</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Financial Performance Measures</w:t>
      </w:r>
    </w:p>
    <w:p>
      <w:pPr>
        <w:spacing w:after="0" w:line="142" w:lineRule="exact"/>
        <w:rPr>
          <w:sz w:val="20"/>
          <w:szCs w:val="20"/>
          <w:color w:val="auto"/>
        </w:rPr>
      </w:pPr>
    </w:p>
    <w:p>
      <w:pPr>
        <w:ind w:left="920" w:right="179"/>
        <w:spacing w:after="0" w:line="243" w:lineRule="auto"/>
        <w:rPr>
          <w:sz w:val="20"/>
          <w:szCs w:val="20"/>
          <w:color w:val="auto"/>
        </w:rPr>
      </w:pPr>
      <w:r>
        <w:rPr>
          <w:rFonts w:ascii="Arial" w:cs="Arial" w:eastAsia="Arial" w:hAnsi="Arial"/>
          <w:sz w:val="18"/>
          <w:szCs w:val="18"/>
          <w:color w:val="auto"/>
        </w:rPr>
        <w:t>As described in greater detail in “Executive Compensation — Compensation Discussion and Analysis,” the Company’s executive compensation program reflects a variable pay-for-performance philosophy. The metrics that the Company uses for both our long-term and short-term incentive awards are selected based on an objective of incentivizing our NEOs to increase the value of our enterprise for our stockholders. The most important financial performance measures used by the Company to link executive compensation actually paid to the Company’s NEOs, for the most recently completed fiscal year, to the Company’s</w:t>
      </w:r>
    </w:p>
    <w:p>
      <w:pPr>
        <w:sectPr>
          <w:pgSz w:w="11900" w:h="16838" w:orient="portrait"/>
          <w:cols w:equalWidth="0" w:num="1">
            <w:col w:w="9879"/>
          </w:cols>
          <w:pgMar w:left="580" w:top="97" w:right="1440" w:bottom="1440" w:gutter="0" w:footer="0" w:header="0"/>
        </w:sectPr>
      </w:pPr>
    </w:p>
    <w:p>
      <w:pPr>
        <w:spacing w:after="0" w:line="3" w:lineRule="exact"/>
        <w:rPr>
          <w:sz w:val="20"/>
          <w:szCs w:val="20"/>
          <w:color w:val="auto"/>
        </w:rPr>
      </w:pPr>
    </w:p>
    <w:p>
      <w:pPr>
        <w:ind w:left="920"/>
        <w:spacing w:after="0" w:line="250" w:lineRule="auto"/>
        <w:rPr>
          <w:sz w:val="20"/>
          <w:szCs w:val="20"/>
          <w:color w:val="auto"/>
        </w:rPr>
      </w:pPr>
      <w:r>
        <w:rPr>
          <w:rFonts w:ascii="Arial" w:cs="Arial" w:eastAsia="Arial" w:hAnsi="Arial"/>
          <w:sz w:val="18"/>
          <w:szCs w:val="18"/>
          <w:color w:val="auto"/>
        </w:rPr>
        <w:t>performance are as follows (the performance measures included in this table are not ranked by relative importance):</w:t>
      </w:r>
    </w:p>
    <w:p>
      <w:pPr>
        <w:spacing w:after="0" w:line="81" w:lineRule="exact"/>
        <w:rPr>
          <w:sz w:val="20"/>
          <w:szCs w:val="20"/>
          <w:color w:val="auto"/>
        </w:rPr>
      </w:pPr>
    </w:p>
    <w:p>
      <w:pPr>
        <w:ind w:left="920"/>
        <w:spacing w:after="0"/>
        <w:tabs>
          <w:tab w:leader="none" w:pos="5220" w:val="left"/>
        </w:tabs>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color w:val="62259D"/>
        </w:rPr>
        <w:t xml:space="preserve"> ■ </w:t>
      </w:r>
      <w:r>
        <w:rPr>
          <w:rFonts w:ascii="Arial" w:cs="Arial" w:eastAsia="Arial" w:hAnsi="Arial"/>
          <w:sz w:val="16"/>
          <w:szCs w:val="16"/>
          <w:color w:val="000000"/>
        </w:rPr>
        <w:t>Revenue</w:t>
      </w:r>
      <w:r>
        <w:rPr>
          <w:sz w:val="20"/>
          <w:szCs w:val="20"/>
          <w:color w:val="auto"/>
        </w:rPr>
        <w:tab/>
      </w:r>
      <w:r>
        <w:rPr>
          <w:rFonts w:ascii="Arial" w:cs="Arial" w:eastAsia="Arial" w:hAnsi="Arial"/>
          <w:sz w:val="32"/>
          <w:szCs w:val="32"/>
          <w:color w:val="auto"/>
          <w:vertAlign w:val="superscript"/>
        </w:rPr>
        <w:t xml:space="preserve">​ ​ </w:t>
      </w:r>
      <w:r>
        <w:rPr>
          <w:rFonts w:ascii="Arial" w:cs="Arial" w:eastAsia="Arial" w:hAnsi="Arial"/>
          <w:sz w:val="32"/>
          <w:szCs w:val="32"/>
          <w:color w:val="62259D"/>
        </w:rPr>
        <w:t>■</w:t>
      </w:r>
      <w:r>
        <w:rPr>
          <w:rFonts w:ascii="Arial" w:cs="Arial" w:eastAsia="Arial" w:hAnsi="Arial"/>
          <w:sz w:val="32"/>
          <w:szCs w:val="32"/>
          <w:color w:val="auto"/>
        </w:rPr>
        <w:t xml:space="preserve"> </w:t>
      </w: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-189230</wp:posOffset>
            </wp:positionV>
            <wp:extent cx="562356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-8890</wp:posOffset>
            </wp:positionV>
            <wp:extent cx="562356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ind w:left="1200" w:right="2520" w:hanging="276"/>
        <w:spacing w:after="0" w:line="187" w:lineRule="auto"/>
        <w:tabs>
          <w:tab w:leader="none" w:pos="1038" w:val="left"/>
        </w:tabs>
        <w:numPr>
          <w:ilvl w:val="0"/>
          <w:numId w:val="129"/>
        </w:numPr>
        <w:rPr>
          <w:rFonts w:ascii="Arial" w:cs="Arial" w:eastAsia="Arial" w:hAnsi="Arial"/>
          <w:sz w:val="32"/>
          <w:szCs w:val="32"/>
          <w:color w:val="auto"/>
          <w:vertAlign w:val="superscript"/>
        </w:rPr>
      </w:pPr>
      <w:r>
        <w:rPr>
          <w:rFonts w:ascii="Arial" w:cs="Arial" w:eastAsia="Arial" w:hAnsi="Arial"/>
          <w:sz w:val="16"/>
          <w:szCs w:val="16"/>
          <w:color w:val="62259D"/>
        </w:rPr>
        <w:t xml:space="preserve">■ </w:t>
      </w:r>
      <w:r>
        <w:rPr>
          <w:rFonts w:ascii="Arial" w:cs="Arial" w:eastAsia="Arial" w:hAnsi="Arial"/>
          <w:sz w:val="16"/>
          <w:szCs w:val="16"/>
          <w:color w:val="000000"/>
        </w:rPr>
        <w:t>Relative TSR (the Company’s TSR as compared to a</w:t>
      </w:r>
      <w:r>
        <w:rPr>
          <w:rFonts w:ascii="Arial" w:cs="Arial" w:eastAsia="Arial" w:hAnsi="Arial"/>
          <w:sz w:val="16"/>
          <w:szCs w:val="16"/>
          <w:color w:val="62259D"/>
        </w:rPr>
        <w:t xml:space="preserve"> </w:t>
      </w:r>
      <w:r>
        <w:rPr>
          <w:rFonts w:ascii="Arial" w:cs="Arial" w:eastAsia="Arial" w:hAnsi="Arial"/>
          <w:sz w:val="32"/>
          <w:szCs w:val="32"/>
          <w:color w:val="000000"/>
          <w:vertAlign w:val="superscript"/>
        </w:rPr>
        <w:t>​ ​</w:t>
      </w:r>
      <w:r>
        <w:rPr>
          <w:rFonts w:ascii="Arial" w:cs="Arial" w:eastAsia="Arial" w:hAnsi="Arial"/>
          <w:sz w:val="16"/>
          <w:szCs w:val="16"/>
          <w:color w:val="62259D"/>
        </w:rPr>
        <w:t xml:space="preserve"> ■ </w:t>
      </w:r>
      <w:r>
        <w:rPr>
          <w:rFonts w:ascii="Arial" w:cs="Arial" w:eastAsia="Arial" w:hAnsi="Arial"/>
          <w:sz w:val="16"/>
          <w:szCs w:val="16"/>
          <w:color w:val="000000"/>
        </w:rPr>
        <w:t>Adjusted EBITDA</w:t>
      </w:r>
      <w:r>
        <w:rPr>
          <w:rFonts w:ascii="Arial" w:cs="Arial" w:eastAsia="Arial" w:hAnsi="Arial"/>
          <w:sz w:val="16"/>
          <w:szCs w:val="16"/>
          <w:color w:val="62259D"/>
        </w:rPr>
        <w:t xml:space="preserve"> </w:t>
      </w:r>
      <w:r>
        <w:rPr>
          <w:rFonts w:ascii="Arial" w:cs="Arial" w:eastAsia="Arial" w:hAnsi="Arial"/>
          <w:sz w:val="16"/>
          <w:szCs w:val="16"/>
          <w:color w:val="000000"/>
        </w:rPr>
        <w:t>peer group established by the Compensation</w:t>
      </w:r>
    </w:p>
    <w:p>
      <w:pPr>
        <w:spacing w:after="0" w:line="1" w:lineRule="exact"/>
        <w:rPr>
          <w:rFonts w:ascii="Arial" w:cs="Arial" w:eastAsia="Arial" w:hAnsi="Arial"/>
          <w:sz w:val="32"/>
          <w:szCs w:val="32"/>
          <w:color w:val="auto"/>
          <w:vertAlign w:val="superscript"/>
        </w:rPr>
      </w:pPr>
    </w:p>
    <w:p>
      <w:pPr>
        <w:ind w:left="1200"/>
        <w:spacing w:after="0"/>
        <w:rPr>
          <w:rFonts w:ascii="Arial" w:cs="Arial" w:eastAsia="Arial" w:hAnsi="Arial"/>
          <w:sz w:val="32"/>
          <w:szCs w:val="32"/>
          <w:color w:val="auto"/>
          <w:vertAlign w:val="superscript"/>
        </w:rPr>
      </w:pPr>
      <w:r>
        <w:rPr>
          <w:rFonts w:ascii="Arial" w:cs="Arial" w:eastAsia="Arial" w:hAnsi="Arial"/>
          <w:sz w:val="16"/>
          <w:szCs w:val="16"/>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27940</wp:posOffset>
            </wp:positionV>
            <wp:extent cx="562356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636" w:lineRule="exact"/>
        <w:rPr>
          <w:sz w:val="20"/>
          <w:szCs w:val="20"/>
          <w:color w:val="auto"/>
        </w:rPr>
      </w:pPr>
    </w:p>
    <w:p>
      <w:pPr>
        <w:sectPr>
          <w:pgSz w:w="11900" w:h="16838" w:orient="portrait"/>
          <w:cols w:equalWidth="0" w:num="2">
            <w:col w:w="9440" w:space="240"/>
            <w:col w:w="199"/>
          </w:cols>
          <w:pgMar w:left="580" w:top="97" w:right="1440" w:bottom="1440" w:gutter="0" w:footer="0" w:header="0"/>
          <w:type w:val="continuous"/>
        </w:sectPr>
      </w:pPr>
    </w:p>
    <w:p>
      <w:pPr>
        <w:ind w:left="920"/>
        <w:spacing w:after="0"/>
        <w:rPr>
          <w:sz w:val="20"/>
          <w:szCs w:val="20"/>
          <w:color w:val="auto"/>
        </w:rPr>
      </w:pPr>
      <w:r>
        <w:rPr>
          <w:rFonts w:ascii="Arial" w:cs="Arial" w:eastAsia="Arial" w:hAnsi="Arial"/>
          <w:sz w:val="18"/>
          <w:szCs w:val="18"/>
          <w:i w:val="1"/>
          <w:iCs w:val="1"/>
          <w:color w:val="auto"/>
        </w:rPr>
        <w:t>Analysis</w:t>
      </w:r>
    </w:p>
    <w:p>
      <w:pPr>
        <w:spacing w:after="0" w:line="142" w:lineRule="exact"/>
        <w:rPr>
          <w:sz w:val="20"/>
          <w:szCs w:val="20"/>
          <w:color w:val="auto"/>
        </w:rPr>
      </w:pPr>
    </w:p>
    <w:p>
      <w:pPr>
        <w:jc w:val="both"/>
        <w:ind w:left="920" w:right="159"/>
        <w:spacing w:after="0" w:line="278" w:lineRule="auto"/>
        <w:rPr>
          <w:sz w:val="20"/>
          <w:szCs w:val="20"/>
          <w:color w:val="auto"/>
        </w:rPr>
      </w:pPr>
      <w:r>
        <w:rPr>
          <w:rFonts w:ascii="Arial" w:cs="Arial" w:eastAsia="Arial" w:hAnsi="Arial"/>
          <w:sz w:val="18"/>
          <w:szCs w:val="18"/>
          <w:color w:val="auto"/>
        </w:rPr>
        <w:t>The graph below provides a comparison between the compensation actually paid to each of our PEOs and our average compensation actually paid to our Other NEOs against the Company TSR and the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247650</wp:posOffset>
            </wp:positionV>
            <wp:extent cx="4808855" cy="211772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808855" cy="21177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right="339"/>
        <w:spacing w:after="0" w:line="253" w:lineRule="auto"/>
        <w:rPr>
          <w:sz w:val="20"/>
          <w:szCs w:val="20"/>
          <w:color w:val="auto"/>
        </w:rPr>
      </w:pPr>
      <w:r>
        <w:rPr>
          <w:rFonts w:ascii="Arial" w:cs="Arial" w:eastAsia="Arial" w:hAnsi="Arial"/>
          <w:sz w:val="18"/>
          <w:szCs w:val="18"/>
          <w:color w:val="auto"/>
        </w:rPr>
        <w:t>The graph below demonstrates the correlation between compensation actually paid to each of our PEOs and average compensation actually paid to our Other NEOs against the Company’s net income for</w:t>
      </w:r>
    </w:p>
    <w:p>
      <w:pPr>
        <w:ind w:left="920"/>
        <w:spacing w:after="0"/>
        <w:rPr>
          <w:sz w:val="20"/>
          <w:szCs w:val="20"/>
          <w:color w:val="auto"/>
        </w:rPr>
      </w:pPr>
      <w:r>
        <w:rPr>
          <w:rFonts w:ascii="Arial" w:cs="Arial" w:eastAsia="Arial" w:hAnsi="Arial"/>
          <w:sz w:val="18"/>
          <w:szCs w:val="18"/>
          <w:color w:val="auto"/>
        </w:rPr>
        <w:t>the years ended December 31, 2024, 2023,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109220</wp:posOffset>
            </wp:positionV>
            <wp:extent cx="4808855" cy="21170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80885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20" w:right="139"/>
        <w:spacing w:after="0" w:line="246" w:lineRule="auto"/>
        <w:rPr>
          <w:sz w:val="20"/>
          <w:szCs w:val="20"/>
          <w:color w:val="auto"/>
        </w:rPr>
      </w:pPr>
      <w:r>
        <w:rPr>
          <w:rFonts w:ascii="Arial" w:cs="Arial" w:eastAsia="Arial" w:hAnsi="Arial"/>
          <w:sz w:val="18"/>
          <w:szCs w:val="18"/>
          <w:color w:val="auto"/>
        </w:rPr>
        <w:t>As demonstrated in the graph below, the amount of compensation actually paid to the PEOs and the average amount of compensation actually paid to the Other NEOs (as a group). While the Company uses numerous financial and non-financial performance measures for the purpose of evaluating performance for the Company’s compensation programs, the Company has determined that revenue is the financial performance measure that, in the Company’s assessment, represents the most important performance measure (that is not otherwise required to be disclosed in the table) used by the Company to link compensation actually paid to the company’s NEOs, for the periods presented,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97790</wp:posOffset>
            </wp:positionV>
            <wp:extent cx="4808855" cy="21170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808855" cy="2117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66</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843"/>
        </w:trPr>
        <w:tc>
          <w:tcPr>
            <w:tcW w:w="940" w:type="dxa"/>
            <w:vAlign w:val="bottom"/>
            <w:shd w:val="clear" w:color="auto" w:fill="62259D"/>
          </w:tcPr>
          <w:p>
            <w:pPr>
              <w:spacing w:after="0" w:line="843" w:lineRule="exact"/>
              <w:rPr>
                <w:sz w:val="20"/>
                <w:szCs w:val="20"/>
                <w:color w:val="auto"/>
              </w:rPr>
            </w:pPr>
            <w:r>
              <w:rPr>
                <w:rFonts w:ascii="Arial" w:cs="Arial" w:eastAsia="Arial" w:hAnsi="Arial"/>
                <w:sz w:val="36"/>
                <w:szCs w:val="36"/>
                <w:b w:val="1"/>
                <w:bCs w:val="1"/>
                <w:color w:val="FEFEFE"/>
              </w:rPr>
              <w:t xml:space="preserve">​ </w:t>
            </w:r>
            <w:r>
              <w:rPr>
                <w:rFonts w:ascii="Arial" w:cs="Arial" w:eastAsia="Arial" w:hAnsi="Arial"/>
                <w:sz w:val="93"/>
                <w:szCs w:val="93"/>
                <w:b w:val="1"/>
                <w:bCs w:val="1"/>
                <w:color w:val="FEFEFE"/>
                <w:vertAlign w:val="subscript"/>
              </w:rPr>
              <w:t>4</w:t>
            </w:r>
          </w:p>
        </w:tc>
        <w:tc>
          <w:tcPr>
            <w:tcW w:w="7920" w:type="dxa"/>
            <w:vAlign w:val="bottom"/>
          </w:tcPr>
          <w:p>
            <w:pPr>
              <w:spacing w:after="0"/>
              <w:rPr>
                <w:sz w:val="20"/>
                <w:szCs w:val="20"/>
                <w:color w:val="auto"/>
              </w:rPr>
            </w:pPr>
            <w:r>
              <w:rPr>
                <w:rFonts w:ascii="Arial" w:cs="Arial" w:eastAsia="Arial" w:hAnsi="Arial"/>
                <w:sz w:val="71"/>
                <w:szCs w:val="71"/>
                <w:b w:val="1"/>
                <w:bCs w:val="1"/>
                <w:color w:val="FEFEFE"/>
                <w:vertAlign w:val="superscript"/>
              </w:rPr>
              <w:t>​​</w:t>
            </w:r>
            <w:r>
              <w:rPr>
                <w:rFonts w:ascii="Arial" w:cs="Arial" w:eastAsia="Arial" w:hAnsi="Arial"/>
                <w:sz w:val="36"/>
                <w:szCs w:val="36"/>
                <w:b w:val="1"/>
                <w:bCs w:val="1"/>
                <w:color w:val="FEFEFE"/>
              </w:rPr>
              <w:t xml:space="preserve"> Proposal 4 — Approval of an</w:t>
            </w:r>
          </w:p>
        </w:tc>
        <w:tc>
          <w:tcPr>
            <w:tcW w:w="100" w:type="dxa"/>
            <w:vAlign w:val="bottom"/>
          </w:tcPr>
          <w:p>
            <w:pPr>
              <w:spacing w:after="0"/>
              <w:rPr>
                <w:sz w:val="20"/>
                <w:szCs w:val="20"/>
                <w:color w:val="auto"/>
              </w:rPr>
            </w:pPr>
            <w:r>
              <w:rPr>
                <w:rFonts w:ascii="Arial" w:cs="Arial" w:eastAsia="Arial" w:hAnsi="Arial"/>
                <w:sz w:val="36"/>
                <w:szCs w:val="36"/>
                <w:b w:val="1"/>
                <w:bCs w:val="1"/>
                <w:color w:val="FEFEFE"/>
              </w:rPr>
              <w:t>​</w:t>
            </w:r>
          </w:p>
        </w:tc>
      </w:tr>
      <w:tr>
        <w:trPr>
          <w:trHeight w:val="369"/>
        </w:trPr>
        <w:tc>
          <w:tcPr>
            <w:tcW w:w="940" w:type="dxa"/>
            <w:vAlign w:val="bottom"/>
            <w:shd w:val="clear" w:color="auto" w:fill="62259D"/>
          </w:tcPr>
          <w:p>
            <w:pPr>
              <w:spacing w:after="0"/>
              <w:rPr>
                <w:sz w:val="24"/>
                <w:szCs w:val="24"/>
                <w:color w:val="auto"/>
              </w:rPr>
            </w:pPr>
          </w:p>
        </w:tc>
        <w:tc>
          <w:tcPr>
            <w:tcW w:w="7920" w:type="dxa"/>
            <w:vAlign w:val="bottom"/>
          </w:tcPr>
          <w:p>
            <w:pPr>
              <w:ind w:left="300"/>
              <w:spacing w:after="0" w:line="368" w:lineRule="exact"/>
              <w:rPr>
                <w:sz w:val="20"/>
                <w:szCs w:val="20"/>
                <w:color w:val="auto"/>
              </w:rPr>
            </w:pPr>
            <w:r>
              <w:rPr>
                <w:rFonts w:ascii="Arial" w:cs="Arial" w:eastAsia="Arial" w:hAnsi="Arial"/>
                <w:sz w:val="36"/>
                <w:szCs w:val="36"/>
                <w:b w:val="1"/>
                <w:bCs w:val="1"/>
                <w:color w:val="FEFEFE"/>
              </w:rPr>
              <w:t>Amendment to Our Restated Certificate</w:t>
            </w:r>
          </w:p>
        </w:tc>
        <w:tc>
          <w:tcPr>
            <w:tcW w:w="100" w:type="dxa"/>
            <w:vAlign w:val="bottom"/>
          </w:tcPr>
          <w:p>
            <w:pPr>
              <w:spacing w:after="0"/>
              <w:rPr>
                <w:sz w:val="24"/>
                <w:szCs w:val="24"/>
                <w:color w:val="auto"/>
              </w:rPr>
            </w:pPr>
          </w:p>
        </w:tc>
      </w:tr>
      <w:tr>
        <w:trPr>
          <w:trHeight w:val="392"/>
        </w:trPr>
        <w:tc>
          <w:tcPr>
            <w:tcW w:w="940" w:type="dxa"/>
            <w:vAlign w:val="bottom"/>
            <w:shd w:val="clear" w:color="auto" w:fill="62259D"/>
          </w:tcPr>
          <w:p>
            <w:pPr>
              <w:spacing w:after="0"/>
              <w:rPr>
                <w:sz w:val="24"/>
                <w:szCs w:val="24"/>
                <w:color w:val="auto"/>
              </w:rPr>
            </w:pPr>
          </w:p>
        </w:tc>
        <w:tc>
          <w:tcPr>
            <w:tcW w:w="7920" w:type="dxa"/>
            <w:vAlign w:val="bottom"/>
          </w:tcPr>
          <w:p>
            <w:pPr>
              <w:ind w:left="300"/>
              <w:spacing w:after="0" w:line="390" w:lineRule="exact"/>
              <w:rPr>
                <w:sz w:val="20"/>
                <w:szCs w:val="20"/>
                <w:color w:val="auto"/>
              </w:rPr>
            </w:pPr>
            <w:r>
              <w:rPr>
                <w:rFonts w:ascii="Arial" w:cs="Arial" w:eastAsia="Arial" w:hAnsi="Arial"/>
                <w:sz w:val="36"/>
                <w:szCs w:val="36"/>
                <w:b w:val="1"/>
                <w:bCs w:val="1"/>
                <w:color w:val="FEFEFE"/>
              </w:rPr>
              <w:t>of Incorporation to Increase the Number</w:t>
            </w:r>
          </w:p>
        </w:tc>
        <w:tc>
          <w:tcPr>
            <w:tcW w:w="100" w:type="dxa"/>
            <w:vAlign w:val="bottom"/>
          </w:tcPr>
          <w:p>
            <w:pPr>
              <w:spacing w:after="0"/>
              <w:rPr>
                <w:sz w:val="24"/>
                <w:szCs w:val="24"/>
                <w:color w:val="auto"/>
              </w:rPr>
            </w:pPr>
          </w:p>
        </w:tc>
      </w:tr>
      <w:tr>
        <w:trPr>
          <w:trHeight w:val="392"/>
        </w:trPr>
        <w:tc>
          <w:tcPr>
            <w:tcW w:w="940" w:type="dxa"/>
            <w:vAlign w:val="bottom"/>
            <w:shd w:val="clear" w:color="auto" w:fill="62259D"/>
          </w:tcPr>
          <w:p>
            <w:pPr>
              <w:spacing w:after="0"/>
              <w:rPr>
                <w:sz w:val="24"/>
                <w:szCs w:val="24"/>
                <w:color w:val="auto"/>
              </w:rPr>
            </w:pPr>
          </w:p>
        </w:tc>
        <w:tc>
          <w:tcPr>
            <w:tcW w:w="7920" w:type="dxa"/>
            <w:vAlign w:val="bottom"/>
          </w:tcPr>
          <w:p>
            <w:pPr>
              <w:ind w:left="300"/>
              <w:spacing w:after="0" w:line="390" w:lineRule="exact"/>
              <w:rPr>
                <w:sz w:val="20"/>
                <w:szCs w:val="20"/>
                <w:color w:val="auto"/>
              </w:rPr>
            </w:pPr>
            <w:r>
              <w:rPr>
                <w:rFonts w:ascii="Arial" w:cs="Arial" w:eastAsia="Arial" w:hAnsi="Arial"/>
                <w:sz w:val="36"/>
                <w:szCs w:val="36"/>
                <w:b w:val="1"/>
                <w:bCs w:val="1"/>
                <w:color w:val="FEFEFE"/>
              </w:rPr>
              <w:t>of Authorized Shares of Common Stock</w:t>
            </w:r>
          </w:p>
        </w:tc>
        <w:tc>
          <w:tcPr>
            <w:tcW w:w="100" w:type="dxa"/>
            <w:vAlign w:val="bottom"/>
          </w:tcPr>
          <w:p>
            <w:pPr>
              <w:spacing w:after="0"/>
              <w:rPr>
                <w:sz w:val="24"/>
                <w:szCs w:val="24"/>
                <w:color w:val="auto"/>
              </w:rPr>
            </w:pPr>
          </w:p>
        </w:tc>
      </w:tr>
      <w:tr>
        <w:trPr>
          <w:trHeight w:val="470"/>
        </w:trPr>
        <w:tc>
          <w:tcPr>
            <w:tcW w:w="940" w:type="dxa"/>
            <w:vAlign w:val="bottom"/>
            <w:shd w:val="clear" w:color="auto" w:fill="62259D"/>
          </w:tcPr>
          <w:p>
            <w:pPr>
              <w:spacing w:after="0"/>
              <w:rPr>
                <w:sz w:val="24"/>
                <w:szCs w:val="24"/>
                <w:color w:val="auto"/>
              </w:rPr>
            </w:pPr>
          </w:p>
        </w:tc>
        <w:tc>
          <w:tcPr>
            <w:tcW w:w="7920" w:type="dxa"/>
            <w:vAlign w:val="bottom"/>
          </w:tcPr>
          <w:p>
            <w:pPr>
              <w:ind w:left="300"/>
              <w:spacing w:after="0"/>
              <w:rPr>
                <w:sz w:val="20"/>
                <w:szCs w:val="20"/>
                <w:color w:val="auto"/>
              </w:rPr>
            </w:pPr>
            <w:r>
              <w:rPr>
                <w:rFonts w:ascii="Arial" w:cs="Arial" w:eastAsia="Arial" w:hAnsi="Arial"/>
                <w:sz w:val="36"/>
                <w:szCs w:val="36"/>
                <w:b w:val="1"/>
                <w:bCs w:val="1"/>
                <w:color w:val="FEFEFE"/>
              </w:rPr>
              <w:t>from 240 Million to 390 Million</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-1328420</wp:posOffset>
            </wp:positionV>
            <wp:extent cx="5031740" cy="133731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031740" cy="1337310"/>
                    </a:xfrm>
                    <a:prstGeom prst="rect">
                      <a:avLst/>
                    </a:prstGeom>
                    <a:noFill/>
                  </pic:spPr>
                </pic:pic>
              </a:graphicData>
            </a:graphic>
          </wp:anchor>
        </w:drawing>
      </w:r>
    </w:p>
    <w:p>
      <w:pPr>
        <w:spacing w:after="0" w:line="245" w:lineRule="exact"/>
        <w:rPr>
          <w:sz w:val="20"/>
          <w:szCs w:val="20"/>
          <w:color w:val="auto"/>
        </w:rPr>
      </w:pPr>
    </w:p>
    <w:p>
      <w:pPr>
        <w:ind w:left="920" w:right="180"/>
        <w:spacing w:after="0" w:line="255" w:lineRule="auto"/>
        <w:rPr>
          <w:sz w:val="20"/>
          <w:szCs w:val="20"/>
          <w:color w:val="auto"/>
        </w:rPr>
      </w:pPr>
      <w:r>
        <w:rPr>
          <w:rFonts w:ascii="Arial" w:cs="Arial" w:eastAsia="Arial" w:hAnsi="Arial"/>
          <w:sz w:val="18"/>
          <w:szCs w:val="18"/>
          <w:color w:val="auto"/>
        </w:rPr>
        <w:t>Our Restated Certificate of Incorporation, as amended (the “Certificate of Incorporation”), currently authorizes the issuance of 240,000,000 shares of our common stock, par value $ 0.0001 per share (the “Common Stock”). On March 31, 2025, our Board adopted a resolution to amend the Certificate of Incorporation, subject to stockholder approval, by increasing the number of authorized shares of our Common Stock by 150 million shares to 390 million shares (the “Share Increase Amendment”). The additional 150 million shares of Common Stock authorized for issuance pursuant to the proposed Share Increase Amendment would be part of the existing class of Common Stock, and if and when issued, would have the same rights and privileges as the shares of Common Stock presently issued and outstanding. The holders of Common Stock are not entitled to preemptive rights or cumulative voting.</w:t>
      </w:r>
    </w:p>
    <w:p>
      <w:pPr>
        <w:spacing w:after="0" w:line="113" w:lineRule="exact"/>
        <w:rPr>
          <w:sz w:val="20"/>
          <w:szCs w:val="20"/>
          <w:color w:val="auto"/>
        </w:rPr>
      </w:pPr>
    </w:p>
    <w:p>
      <w:pPr>
        <w:jc w:val="both"/>
        <w:ind w:left="920" w:right="360"/>
        <w:spacing w:after="0" w:line="268" w:lineRule="auto"/>
        <w:rPr>
          <w:sz w:val="20"/>
          <w:szCs w:val="20"/>
          <w:color w:val="auto"/>
        </w:rPr>
      </w:pPr>
      <w:r>
        <w:rPr>
          <w:rFonts w:ascii="Arial" w:cs="Arial" w:eastAsia="Arial" w:hAnsi="Arial"/>
          <w:sz w:val="18"/>
          <w:szCs w:val="18"/>
          <w:color w:val="auto"/>
        </w:rPr>
        <w:t>The Share Increase Amendment will not affect the number of authorized shares of the preferred stock of the Company, par value $0.01 per share (the “Preferred Stock”), which is 10,000,000 shares. Currently, there are no shares of Preferred Stock issued and outstanding.</w:t>
      </w:r>
    </w:p>
    <w:p>
      <w:pPr>
        <w:spacing w:after="0" w:line="103" w:lineRule="exact"/>
        <w:rPr>
          <w:sz w:val="20"/>
          <w:szCs w:val="20"/>
          <w:color w:val="auto"/>
        </w:rPr>
      </w:pPr>
    </w:p>
    <w:p>
      <w:pPr>
        <w:ind w:left="920" w:right="260"/>
        <w:spacing w:after="0" w:line="257" w:lineRule="auto"/>
        <w:rPr>
          <w:sz w:val="20"/>
          <w:szCs w:val="20"/>
          <w:color w:val="auto"/>
        </w:rPr>
      </w:pPr>
      <w:r>
        <w:rPr>
          <w:rFonts w:ascii="Arial" w:cs="Arial" w:eastAsia="Arial" w:hAnsi="Arial"/>
          <w:sz w:val="18"/>
          <w:szCs w:val="18"/>
          <w:color w:val="auto"/>
        </w:rPr>
        <w:t>The form of the proposed Share Increase Amendment to our Certificate of Incorporation, which would be filed with the Secretary of the State of Delaware (the “Delaware Secretary of State”) if the Share Increase Amendment is approved by our stockholders is attached to this proxy statement as Exhibit B (the “Certificate Amendment”) . The form of the proposed Share Increase Amendment is subject to revision to include such changes as may be required by the Delaware Secretary of State and as our Board deems necessary and advisable to effect the proposed Share Increase Amendment to our Certificate of Incorporation.</w:t>
      </w:r>
    </w:p>
    <w:p>
      <w:pPr>
        <w:spacing w:after="0" w:line="317" w:lineRule="exact"/>
        <w:rPr>
          <w:sz w:val="20"/>
          <w:szCs w:val="20"/>
          <w:color w:val="auto"/>
        </w:rPr>
      </w:pPr>
    </w:p>
    <w:p>
      <w:pPr>
        <w:ind w:left="920" w:right="640"/>
        <w:spacing w:after="0" w:line="287" w:lineRule="auto"/>
        <w:rPr>
          <w:sz w:val="20"/>
          <w:szCs w:val="20"/>
          <w:color w:val="auto"/>
        </w:rPr>
      </w:pPr>
      <w:r>
        <w:rPr>
          <w:rFonts w:ascii="Arial" w:cs="Arial" w:eastAsia="Arial" w:hAnsi="Arial"/>
          <w:sz w:val="18"/>
          <w:szCs w:val="18"/>
          <w:color w:val="auto"/>
        </w:rPr>
        <w:t>The following table illustrates the effect the proposed Share Increase Amendment would have on the number of shares of Common Stock available for issuance, if approved by our stockholders:</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215"/>
        </w:trPr>
        <w:tc>
          <w:tcPr>
            <w:tcW w:w="60" w:type="dxa"/>
            <w:vAlign w:val="bottom"/>
            <w:shd w:val="clear" w:color="auto" w:fill="62259D"/>
          </w:tcPr>
          <w:p>
            <w:pPr>
              <w:spacing w:after="0"/>
              <w:rPr>
                <w:sz w:val="18"/>
                <w:szCs w:val="18"/>
                <w:color w:val="auto"/>
              </w:rPr>
            </w:pPr>
          </w:p>
        </w:tc>
        <w:tc>
          <w:tcPr>
            <w:tcW w:w="5880" w:type="dxa"/>
            <w:vAlign w:val="bottom"/>
            <w:shd w:val="clear" w:color="auto" w:fill="62259D"/>
          </w:tcPr>
          <w:p>
            <w:pPr>
              <w:spacing w:after="0"/>
              <w:rPr>
                <w:sz w:val="18"/>
                <w:szCs w:val="18"/>
                <w:color w:val="auto"/>
              </w:rPr>
            </w:pPr>
          </w:p>
        </w:tc>
        <w:tc>
          <w:tcPr>
            <w:tcW w:w="240" w:type="dxa"/>
            <w:vAlign w:val="bottom"/>
            <w:shd w:val="clear" w:color="auto" w:fill="62259D"/>
          </w:tcPr>
          <w:p>
            <w:pPr>
              <w:spacing w:after="0"/>
              <w:rPr>
                <w:sz w:val="18"/>
                <w:szCs w:val="18"/>
                <w:color w:val="auto"/>
              </w:rPr>
            </w:pPr>
          </w:p>
        </w:tc>
        <w:tc>
          <w:tcPr>
            <w:tcW w:w="140" w:type="dxa"/>
            <w:vAlign w:val="bottom"/>
            <w:shd w:val="clear" w:color="auto" w:fill="62259D"/>
          </w:tcPr>
          <w:p>
            <w:pPr>
              <w:spacing w:after="0"/>
              <w:rPr>
                <w:sz w:val="18"/>
                <w:szCs w:val="18"/>
                <w:color w:val="auto"/>
              </w:rPr>
            </w:pPr>
          </w:p>
        </w:tc>
        <w:tc>
          <w:tcPr>
            <w:tcW w:w="740" w:type="dxa"/>
            <w:vAlign w:val="bottom"/>
            <w:shd w:val="clear" w:color="auto" w:fill="62259D"/>
          </w:tcPr>
          <w:p>
            <w:pPr>
              <w:jc w:val="right"/>
              <w:ind w:right="140"/>
              <w:spacing w:after="0"/>
              <w:rPr>
                <w:sz w:val="20"/>
                <w:szCs w:val="20"/>
                <w:color w:val="auto"/>
              </w:rPr>
            </w:pPr>
            <w:r>
              <w:rPr>
                <w:rFonts w:ascii="Arial" w:cs="Arial" w:eastAsia="Arial" w:hAnsi="Arial"/>
                <w:sz w:val="16"/>
                <w:szCs w:val="16"/>
                <w:b w:val="1"/>
                <w:bCs w:val="1"/>
                <w:color w:val="FEFEFE"/>
              </w:rPr>
              <w:t>As of</w:t>
            </w:r>
          </w:p>
        </w:tc>
        <w:tc>
          <w:tcPr>
            <w:tcW w:w="260" w:type="dxa"/>
            <w:vAlign w:val="bottom"/>
            <w:shd w:val="clear" w:color="auto" w:fill="62259D"/>
          </w:tcPr>
          <w:p>
            <w:pPr>
              <w:spacing w:after="0"/>
              <w:rPr>
                <w:sz w:val="18"/>
                <w:szCs w:val="18"/>
                <w:color w:val="auto"/>
              </w:rPr>
            </w:pPr>
          </w:p>
        </w:tc>
        <w:tc>
          <w:tcPr>
            <w:tcW w:w="280" w:type="dxa"/>
            <w:vAlign w:val="bottom"/>
            <w:shd w:val="clear" w:color="auto" w:fill="62259D"/>
          </w:tcPr>
          <w:p>
            <w:pPr>
              <w:spacing w:after="0"/>
              <w:rPr>
                <w:sz w:val="18"/>
                <w:szCs w:val="18"/>
                <w:color w:val="auto"/>
              </w:rPr>
            </w:pPr>
          </w:p>
        </w:tc>
        <w:tc>
          <w:tcPr>
            <w:tcW w:w="1100" w:type="dxa"/>
            <w:vAlign w:val="bottom"/>
            <w:shd w:val="clear" w:color="auto" w:fill="62259D"/>
          </w:tcPr>
          <w:p>
            <w:pPr>
              <w:jc w:val="right"/>
              <w:ind w:right="399"/>
              <w:spacing w:after="0"/>
              <w:rPr>
                <w:sz w:val="20"/>
                <w:szCs w:val="20"/>
                <w:color w:val="auto"/>
              </w:rPr>
            </w:pPr>
            <w:r>
              <w:rPr>
                <w:rFonts w:ascii="Arial" w:cs="Arial" w:eastAsia="Arial" w:hAnsi="Arial"/>
                <w:sz w:val="16"/>
                <w:szCs w:val="16"/>
                <w:b w:val="1"/>
                <w:bCs w:val="1"/>
                <w:color w:val="FEFEFE"/>
              </w:rPr>
              <w:t>Upon</w:t>
            </w:r>
          </w:p>
        </w:tc>
        <w:tc>
          <w:tcPr>
            <w:tcW w:w="160" w:type="dxa"/>
            <w:vAlign w:val="bottom"/>
            <w:shd w:val="clear" w:color="auto" w:fill="62259D"/>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shd w:val="clear" w:color="auto" w:fill="62259D"/>
          </w:tcPr>
          <w:p>
            <w:pPr>
              <w:spacing w:after="0"/>
              <w:rPr>
                <w:sz w:val="16"/>
                <w:szCs w:val="16"/>
                <w:color w:val="auto"/>
              </w:rPr>
            </w:pPr>
          </w:p>
        </w:tc>
        <w:tc>
          <w:tcPr>
            <w:tcW w:w="5880" w:type="dxa"/>
            <w:vAlign w:val="bottom"/>
            <w:shd w:val="clear" w:color="auto" w:fill="62259D"/>
          </w:tcPr>
          <w:p>
            <w:pPr>
              <w:spacing w:after="0"/>
              <w:rPr>
                <w:sz w:val="16"/>
                <w:szCs w:val="16"/>
                <w:color w:val="auto"/>
              </w:rPr>
            </w:pPr>
          </w:p>
        </w:tc>
        <w:tc>
          <w:tcPr>
            <w:tcW w:w="240" w:type="dxa"/>
            <w:vAlign w:val="bottom"/>
            <w:shd w:val="clear" w:color="auto" w:fill="62259D"/>
          </w:tcPr>
          <w:p>
            <w:pPr>
              <w:spacing w:after="0"/>
              <w:rPr>
                <w:sz w:val="16"/>
                <w:szCs w:val="16"/>
                <w:color w:val="auto"/>
              </w:rPr>
            </w:pPr>
          </w:p>
        </w:tc>
        <w:tc>
          <w:tcPr>
            <w:tcW w:w="880" w:type="dxa"/>
            <w:vAlign w:val="bottom"/>
            <w:gridSpan w:val="2"/>
            <w:shd w:val="clear" w:color="auto" w:fill="62259D"/>
          </w:tcPr>
          <w:p>
            <w:pPr>
              <w:jc w:val="right"/>
              <w:spacing w:after="0"/>
              <w:rPr>
                <w:sz w:val="20"/>
                <w:szCs w:val="20"/>
                <w:color w:val="auto"/>
              </w:rPr>
            </w:pPr>
            <w:r>
              <w:rPr>
                <w:rFonts w:ascii="Arial" w:cs="Arial" w:eastAsia="Arial" w:hAnsi="Arial"/>
                <w:sz w:val="16"/>
                <w:szCs w:val="16"/>
                <w:b w:val="1"/>
                <w:bCs w:val="1"/>
                <w:color w:val="FEFEFE"/>
              </w:rPr>
              <w:t>March 31,</w:t>
            </w:r>
          </w:p>
        </w:tc>
        <w:tc>
          <w:tcPr>
            <w:tcW w:w="260" w:type="dxa"/>
            <w:vAlign w:val="bottom"/>
            <w:shd w:val="clear" w:color="auto" w:fill="62259D"/>
          </w:tcPr>
          <w:p>
            <w:pPr>
              <w:spacing w:after="0"/>
              <w:rPr>
                <w:sz w:val="16"/>
                <w:szCs w:val="16"/>
                <w:color w:val="auto"/>
              </w:rPr>
            </w:pPr>
          </w:p>
        </w:tc>
        <w:tc>
          <w:tcPr>
            <w:tcW w:w="1380" w:type="dxa"/>
            <w:vAlign w:val="bottom"/>
            <w:gridSpan w:val="2"/>
            <w:shd w:val="clear" w:color="auto" w:fill="62259D"/>
          </w:tcPr>
          <w:p>
            <w:pPr>
              <w:jc w:val="right"/>
              <w:spacing w:after="0"/>
              <w:rPr>
                <w:sz w:val="20"/>
                <w:szCs w:val="20"/>
                <w:color w:val="auto"/>
              </w:rPr>
            </w:pPr>
            <w:r>
              <w:rPr>
                <w:rFonts w:ascii="Arial" w:cs="Arial" w:eastAsia="Arial" w:hAnsi="Arial"/>
                <w:sz w:val="16"/>
                <w:szCs w:val="16"/>
                <w:b w:val="1"/>
                <w:bCs w:val="1"/>
                <w:color w:val="FEFEFE"/>
              </w:rPr>
              <w:t>Effectiveness of</w:t>
            </w:r>
          </w:p>
        </w:tc>
        <w:tc>
          <w:tcPr>
            <w:tcW w:w="160" w:type="dxa"/>
            <w:vAlign w:val="bottom"/>
            <w:shd w:val="clear" w:color="auto" w:fill="62259D"/>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62259D"/>
          </w:tcPr>
          <w:p>
            <w:pPr>
              <w:ind w:left="40"/>
              <w:spacing w:after="0"/>
              <w:rPr>
                <w:sz w:val="20"/>
                <w:szCs w:val="20"/>
                <w:color w:val="auto"/>
              </w:rPr>
            </w:pPr>
            <w:r>
              <w:rPr>
                <w:rFonts w:ascii="Arial" w:cs="Arial" w:eastAsia="Arial" w:hAnsi="Arial"/>
                <w:sz w:val="16"/>
                <w:szCs w:val="16"/>
                <w:b w:val="1"/>
                <w:bCs w:val="1"/>
                <w:color w:val="FEFEFE"/>
              </w:rPr>
              <w:t>​​</w:t>
            </w:r>
          </w:p>
        </w:tc>
        <w:tc>
          <w:tcPr>
            <w:tcW w:w="240" w:type="dxa"/>
            <w:vAlign w:val="bottom"/>
            <w:shd w:val="clear" w:color="auto" w:fill="62259D"/>
          </w:tcPr>
          <w:p>
            <w:pPr>
              <w:ind w:left="100"/>
              <w:spacing w:after="0"/>
              <w:rPr>
                <w:sz w:val="20"/>
                <w:szCs w:val="20"/>
                <w:color w:val="auto"/>
              </w:rPr>
            </w:pPr>
            <w:r>
              <w:rPr>
                <w:rFonts w:ascii="Arial" w:cs="Arial" w:eastAsia="Arial" w:hAnsi="Arial"/>
                <w:sz w:val="16"/>
                <w:szCs w:val="16"/>
                <w:b w:val="1"/>
                <w:bCs w:val="1"/>
                <w:color w:val="FEFEFE"/>
              </w:rPr>
              <w:t>​ ​</w:t>
            </w:r>
          </w:p>
        </w:tc>
        <w:tc>
          <w:tcPr>
            <w:tcW w:w="140" w:type="dxa"/>
            <w:vAlign w:val="bottom"/>
            <w:shd w:val="clear" w:color="auto" w:fill="62259D"/>
          </w:tcPr>
          <w:p>
            <w:pPr>
              <w:spacing w:after="0"/>
              <w:rPr>
                <w:sz w:val="20"/>
                <w:szCs w:val="20"/>
                <w:color w:val="auto"/>
              </w:rPr>
            </w:pPr>
          </w:p>
        </w:tc>
        <w:tc>
          <w:tcPr>
            <w:tcW w:w="740" w:type="dxa"/>
            <w:vAlign w:val="bottom"/>
            <w:shd w:val="clear" w:color="auto" w:fill="62259D"/>
          </w:tcPr>
          <w:p>
            <w:pPr>
              <w:jc w:val="right"/>
              <w:ind w:right="140"/>
              <w:spacing w:after="0"/>
              <w:rPr>
                <w:sz w:val="20"/>
                <w:szCs w:val="20"/>
                <w:color w:val="auto"/>
              </w:rPr>
            </w:pPr>
            <w:r>
              <w:rPr>
                <w:rFonts w:ascii="Arial" w:cs="Arial" w:eastAsia="Arial" w:hAnsi="Arial"/>
                <w:sz w:val="16"/>
                <w:szCs w:val="16"/>
                <w:b w:val="1"/>
                <w:bCs w:val="1"/>
                <w:color w:val="FEFEFE"/>
              </w:rPr>
              <w:t>2025</w:t>
            </w:r>
          </w:p>
        </w:tc>
        <w:tc>
          <w:tcPr>
            <w:tcW w:w="260" w:type="dxa"/>
            <w:vAlign w:val="bottom"/>
            <w:shd w:val="clear" w:color="auto" w:fill="62259D"/>
          </w:tcPr>
          <w:p>
            <w:pPr>
              <w:jc w:val="right"/>
              <w:spacing w:after="0"/>
              <w:rPr>
                <w:sz w:val="20"/>
                <w:szCs w:val="20"/>
                <w:color w:val="auto"/>
              </w:rPr>
            </w:pPr>
            <w:r>
              <w:rPr>
                <w:rFonts w:ascii="Arial" w:cs="Arial" w:eastAsia="Arial" w:hAnsi="Arial"/>
                <w:sz w:val="16"/>
                <w:szCs w:val="16"/>
                <w:b w:val="1"/>
                <w:bCs w:val="1"/>
                <w:color w:val="FEFEFE"/>
              </w:rPr>
              <w:t>​ ​</w:t>
            </w:r>
          </w:p>
        </w:tc>
        <w:tc>
          <w:tcPr>
            <w:tcW w:w="1380" w:type="dxa"/>
            <w:vAlign w:val="bottom"/>
            <w:gridSpan w:val="2"/>
            <w:shd w:val="clear" w:color="auto" w:fill="62259D"/>
          </w:tcPr>
          <w:p>
            <w:pPr>
              <w:jc w:val="right"/>
              <w:ind w:right="79"/>
              <w:spacing w:after="0"/>
              <w:rPr>
                <w:sz w:val="20"/>
                <w:szCs w:val="20"/>
                <w:color w:val="auto"/>
              </w:rPr>
            </w:pPr>
            <w:r>
              <w:rPr>
                <w:rFonts w:ascii="Arial" w:cs="Arial" w:eastAsia="Arial" w:hAnsi="Arial"/>
                <w:sz w:val="16"/>
                <w:szCs w:val="16"/>
                <w:b w:val="1"/>
                <w:bCs w:val="1"/>
                <w:color w:val="FEFEFE"/>
              </w:rPr>
              <w:t>Amendment</w:t>
            </w:r>
          </w:p>
        </w:tc>
        <w:tc>
          <w:tcPr>
            <w:tcW w:w="160" w:type="dxa"/>
            <w:vAlign w:val="bottom"/>
            <w:shd w:val="clear" w:color="auto" w:fill="62259D"/>
          </w:tcPr>
          <w:p>
            <w:pPr>
              <w:ind w:left="10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57"/>
        </w:trPr>
        <w:tc>
          <w:tcPr>
            <w:tcW w:w="5940" w:type="dxa"/>
            <w:vAlign w:val="bottom"/>
            <w:tcBorders>
              <w:bottom w:val="single" w:sz="8" w:color="E7417A"/>
            </w:tcBorders>
            <w:gridSpan w:val="2"/>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b w:val="1"/>
                <w:bCs w:val="1"/>
                <w:color w:val="auto"/>
              </w:rPr>
              <w:t xml:space="preserve"> Total Authorized Shares of Common Stock</w:t>
            </w:r>
          </w:p>
        </w:tc>
        <w:tc>
          <w:tcPr>
            <w:tcW w:w="1380" w:type="dxa"/>
            <w:vAlign w:val="bottom"/>
            <w:tcBorders>
              <w:bottom w:val="single" w:sz="8" w:color="E7417A"/>
            </w:tcBorders>
            <w:gridSpan w:val="4"/>
          </w:tcPr>
          <w:p>
            <w:pPr>
              <w:jc w:val="right"/>
              <w:ind w:right="9"/>
              <w:spacing w:after="0" w:line="256" w:lineRule="exact"/>
              <w:rPr>
                <w:sz w:val="20"/>
                <w:szCs w:val="20"/>
                <w:color w:val="auto"/>
              </w:rPr>
            </w:pPr>
            <w:r>
              <w:rPr>
                <w:rFonts w:ascii="Arial" w:cs="Arial" w:eastAsia="Arial" w:hAnsi="Arial"/>
                <w:sz w:val="29"/>
                <w:szCs w:val="29"/>
                <w:color w:val="auto"/>
                <w:vertAlign w:val="subscript"/>
              </w:rPr>
              <w:t>​ ​ ​</w:t>
            </w:r>
            <w:r>
              <w:rPr>
                <w:rFonts w:ascii="Arial" w:cs="Arial" w:eastAsia="Arial" w:hAnsi="Arial"/>
                <w:sz w:val="15"/>
                <w:szCs w:val="15"/>
                <w:color w:val="auto"/>
              </w:rPr>
              <w:t>​240,000,000</w:t>
            </w:r>
            <w:r>
              <w:rPr>
                <w:rFonts w:ascii="Arial" w:cs="Arial" w:eastAsia="Arial" w:hAnsi="Arial"/>
                <w:sz w:val="29"/>
                <w:szCs w:val="29"/>
                <w:color w:val="auto"/>
                <w:vertAlign w:val="subscript"/>
              </w:rPr>
              <w:t>​ ​</w:t>
            </w:r>
          </w:p>
        </w:tc>
        <w:tc>
          <w:tcPr>
            <w:tcW w:w="280" w:type="dxa"/>
            <w:vAlign w:val="bottom"/>
            <w:tcBorders>
              <w:bottom w:val="single" w:sz="8" w:color="E7417A"/>
            </w:tcBorders>
          </w:tcPr>
          <w:p>
            <w:pPr>
              <w:jc w:val="right"/>
              <w:spacing w:after="0" w:line="256" w:lineRule="exact"/>
              <w:rPr>
                <w:sz w:val="20"/>
                <w:szCs w:val="20"/>
                <w:color w:val="auto"/>
              </w:rPr>
            </w:pPr>
            <w:r>
              <w:rPr>
                <w:rFonts w:ascii="Arial" w:cs="Arial" w:eastAsia="Arial" w:hAnsi="Arial"/>
                <w:sz w:val="15"/>
                <w:szCs w:val="15"/>
                <w:color w:val="auto"/>
              </w:rPr>
              <w:t>​</w:t>
            </w:r>
            <w:r>
              <w:rPr>
                <w:rFonts w:ascii="Arial" w:cs="Arial" w:eastAsia="Arial" w:hAnsi="Arial"/>
                <w:sz w:val="29"/>
                <w:szCs w:val="29"/>
                <w:color w:val="auto"/>
                <w:vertAlign w:val="superscript"/>
              </w:rPr>
              <w:t>​</w:t>
            </w:r>
          </w:p>
        </w:tc>
        <w:tc>
          <w:tcPr>
            <w:tcW w:w="1100" w:type="dxa"/>
            <w:vAlign w:val="bottom"/>
            <w:tcBorders>
              <w:bottom w:val="single" w:sz="8" w:color="E7417A"/>
            </w:tcBorders>
          </w:tcPr>
          <w:p>
            <w:pPr>
              <w:jc w:val="right"/>
              <w:ind w:right="79"/>
              <w:spacing w:after="0"/>
              <w:rPr>
                <w:sz w:val="20"/>
                <w:szCs w:val="20"/>
                <w:color w:val="auto"/>
              </w:rPr>
            </w:pPr>
            <w:r>
              <w:rPr>
                <w:rFonts w:ascii="Arial" w:cs="Arial" w:eastAsia="Arial" w:hAnsi="Arial"/>
                <w:sz w:val="16"/>
                <w:szCs w:val="16"/>
                <w:color w:val="auto"/>
              </w:rPr>
              <w:t>390,000,000</w:t>
            </w:r>
          </w:p>
        </w:tc>
        <w:tc>
          <w:tcPr>
            <w:tcW w:w="16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940" w:type="dxa"/>
            <w:vAlign w:val="bottom"/>
            <w:tcBorders>
              <w:bottom w:val="single" w:sz="8" w:color="E7417A"/>
            </w:tcBorders>
            <w:gridSpan w:val="2"/>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Outstanding shares of Common Stock</w:t>
            </w:r>
          </w:p>
        </w:tc>
        <w:tc>
          <w:tcPr>
            <w:tcW w:w="1380" w:type="dxa"/>
            <w:vAlign w:val="bottom"/>
            <w:tcBorders>
              <w:bottom w:val="single" w:sz="8" w:color="E7417A"/>
            </w:tcBorders>
            <w:gridSpan w:val="4"/>
          </w:tcPr>
          <w:p>
            <w:pPr>
              <w:jc w:val="right"/>
              <w:ind w:right="9"/>
              <w:spacing w:after="0" w:line="250"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5"/>
                <w:szCs w:val="15"/>
                <w:color w:val="auto"/>
              </w:rPr>
              <w:t>​175,933,338</w:t>
            </w:r>
            <w:r>
              <w:rPr>
                <w:rFonts w:ascii="Arial" w:cs="Arial" w:eastAsia="Arial" w:hAnsi="Arial"/>
                <w:sz w:val="28"/>
                <w:szCs w:val="28"/>
                <w:color w:val="auto"/>
                <w:vertAlign w:val="subscript"/>
              </w:rPr>
              <w:t>​ ​</w:t>
            </w:r>
          </w:p>
        </w:tc>
        <w:tc>
          <w:tcPr>
            <w:tcW w:w="280" w:type="dxa"/>
            <w:vAlign w:val="bottom"/>
            <w:tcBorders>
              <w:bottom w:val="single" w:sz="8" w:color="E7417A"/>
            </w:tcBorders>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100" w:type="dxa"/>
            <w:vAlign w:val="bottom"/>
            <w:tcBorders>
              <w:bottom w:val="single" w:sz="8" w:color="E7417A"/>
            </w:tcBorders>
          </w:tcPr>
          <w:p>
            <w:pPr>
              <w:jc w:val="right"/>
              <w:ind w:right="79"/>
              <w:spacing w:after="0"/>
              <w:rPr>
                <w:sz w:val="20"/>
                <w:szCs w:val="20"/>
                <w:color w:val="auto"/>
              </w:rPr>
            </w:pPr>
            <w:r>
              <w:rPr>
                <w:rFonts w:ascii="Arial" w:cs="Arial" w:eastAsia="Arial" w:hAnsi="Arial"/>
                <w:sz w:val="16"/>
                <w:szCs w:val="16"/>
                <w:color w:val="auto"/>
              </w:rPr>
              <w:t>175,933,338</w:t>
            </w:r>
          </w:p>
        </w:tc>
        <w:tc>
          <w:tcPr>
            <w:tcW w:w="16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5880" w:type="dxa"/>
            <w:vAlign w:val="bottom"/>
          </w:tcPr>
          <w:p>
            <w:pPr>
              <w:ind w:left="20"/>
              <w:spacing w:after="0"/>
              <w:rPr>
                <w:sz w:val="20"/>
                <w:szCs w:val="20"/>
                <w:color w:val="auto"/>
              </w:rPr>
            </w:pPr>
            <w:r>
              <w:rPr>
                <w:rFonts w:ascii="Arial" w:cs="Arial" w:eastAsia="Arial" w:hAnsi="Arial"/>
                <w:sz w:val="16"/>
                <w:szCs w:val="16"/>
                <w:color w:val="auto"/>
              </w:rPr>
              <w:t>Shares of Common Stock authorized for future issuance under the Company’s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right"/>
              <w:ind w:right="49"/>
              <w:spacing w:after="0"/>
              <w:rPr>
                <w:sz w:val="20"/>
                <w:szCs w:val="20"/>
                <w:color w:val="auto"/>
              </w:rPr>
            </w:pPr>
            <w:r>
              <w:rPr>
                <w:rFonts w:ascii="Arial" w:cs="Arial" w:eastAsia="Arial" w:hAnsi="Arial"/>
                <w:sz w:val="16"/>
                <w:szCs w:val="16"/>
                <w:color w:val="auto"/>
              </w:rPr>
              <w:t>2,180,307</w:t>
            </w:r>
            <w:r>
              <w:rPr>
                <w:rFonts w:ascii="Arial" w:cs="Arial" w:eastAsia="Arial" w:hAnsi="Arial"/>
                <w:sz w:val="19"/>
                <w:szCs w:val="19"/>
                <w:color w:val="auto"/>
                <w:vertAlign w:val="superscript"/>
              </w:rPr>
              <w:t>(1)</w:t>
            </w:r>
          </w:p>
        </w:tc>
        <w:tc>
          <w:tcPr>
            <w:tcW w:w="28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16,180,307</w:t>
            </w:r>
            <w:r>
              <w:rPr>
                <w:rFonts w:ascii="Arial" w:cs="Arial" w:eastAsia="Arial" w:hAnsi="Arial"/>
                <w:sz w:val="19"/>
                <w:szCs w:val="19"/>
                <w:color w:val="auto"/>
                <w:vertAlign w:val="superscript"/>
              </w:rPr>
              <w:t>(2)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5880" w:type="dxa"/>
            <w:vAlign w:val="bottom"/>
          </w:tcPr>
          <w:p>
            <w:pPr>
              <w:ind w:left="20"/>
              <w:spacing w:after="0" w:line="163" w:lineRule="exact"/>
              <w:rPr>
                <w:sz w:val="20"/>
                <w:szCs w:val="20"/>
                <w:color w:val="auto"/>
              </w:rPr>
            </w:pPr>
            <w:r>
              <w:rPr>
                <w:rFonts w:ascii="Arial" w:cs="Arial" w:eastAsia="Arial" w:hAnsi="Arial"/>
                <w:sz w:val="16"/>
                <w:szCs w:val="16"/>
                <w:color w:val="auto"/>
              </w:rPr>
              <w:t>equity plans</w:t>
            </w:r>
          </w:p>
        </w:tc>
        <w:tc>
          <w:tcPr>
            <w:tcW w:w="24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140" w:type="dxa"/>
            <w:vAlign w:val="bottom"/>
          </w:tcPr>
          <w:p>
            <w:pPr>
              <w:jc w:val="right"/>
              <w:ind w:right="17"/>
              <w:spacing w:after="0" w:line="163" w:lineRule="exact"/>
              <w:rPr>
                <w:sz w:val="20"/>
                <w:szCs w:val="20"/>
                <w:color w:val="auto"/>
              </w:rPr>
            </w:pPr>
            <w:r>
              <w:rPr>
                <w:rFonts w:ascii="Arial" w:cs="Arial" w:eastAsia="Arial" w:hAnsi="Arial"/>
                <w:sz w:val="16"/>
                <w:szCs w:val="16"/>
                <w:color w:val="auto"/>
              </w:rPr>
              <w:t>​</w:t>
            </w:r>
          </w:p>
        </w:tc>
        <w:tc>
          <w:tcPr>
            <w:tcW w:w="1000" w:type="dxa"/>
            <w:vAlign w:val="bottom"/>
            <w:gridSpan w:val="2"/>
            <w:vMerge w:val="continue"/>
          </w:tcPr>
          <w:p>
            <w:pPr>
              <w:spacing w:after="0"/>
              <w:rPr>
                <w:sz w:val="14"/>
                <w:szCs w:val="14"/>
                <w:color w:val="auto"/>
              </w:rPr>
            </w:pPr>
          </w:p>
        </w:tc>
        <w:tc>
          <w:tcPr>
            <w:tcW w:w="280" w:type="dxa"/>
            <w:vAlign w:val="bottom"/>
          </w:tcPr>
          <w:p>
            <w:pPr>
              <w:jc w:val="right"/>
              <w:spacing w:after="0" w:line="163" w:lineRule="exact"/>
              <w:rPr>
                <w:sz w:val="20"/>
                <w:szCs w:val="20"/>
                <w:color w:val="auto"/>
              </w:rPr>
            </w:pPr>
            <w:r>
              <w:rPr>
                <w:rFonts w:ascii="Arial" w:cs="Arial" w:eastAsia="Arial" w:hAnsi="Arial"/>
                <w:sz w:val="16"/>
                <w:szCs w:val="16"/>
                <w:color w:val="auto"/>
              </w:rPr>
              <w:t>​</w:t>
            </w:r>
          </w:p>
        </w:tc>
        <w:tc>
          <w:tcPr>
            <w:tcW w:w="1100" w:type="dxa"/>
            <w:vAlign w:val="bottom"/>
            <w:vMerge w:val="continue"/>
          </w:tcPr>
          <w:p>
            <w:pPr>
              <w:spacing w:after="0"/>
              <w:rPr>
                <w:sz w:val="14"/>
                <w:szCs w:val="14"/>
                <w:color w:val="auto"/>
              </w:rPr>
            </w:pP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60" w:type="dxa"/>
            <w:vAlign w:val="bottom"/>
            <w:tcBorders>
              <w:bottom w:val="single" w:sz="8" w:color="E7417A"/>
            </w:tcBorders>
            <w:vMerge w:val="continue"/>
          </w:tcPr>
          <w:p>
            <w:pPr>
              <w:spacing w:after="0"/>
              <w:rPr>
                <w:sz w:val="5"/>
                <w:szCs w:val="5"/>
                <w:color w:val="auto"/>
              </w:rPr>
            </w:pPr>
          </w:p>
        </w:tc>
        <w:tc>
          <w:tcPr>
            <w:tcW w:w="5880" w:type="dxa"/>
            <w:vAlign w:val="bottom"/>
            <w:tcBorders>
              <w:bottom w:val="single" w:sz="8" w:color="E7417A"/>
            </w:tcBorders>
          </w:tcPr>
          <w:p>
            <w:pPr>
              <w:spacing w:after="0"/>
              <w:rPr>
                <w:sz w:val="5"/>
                <w:szCs w:val="5"/>
                <w:color w:val="auto"/>
              </w:rPr>
            </w:pPr>
          </w:p>
        </w:tc>
        <w:tc>
          <w:tcPr>
            <w:tcW w:w="240" w:type="dxa"/>
            <w:vAlign w:val="bottom"/>
            <w:tcBorders>
              <w:bottom w:val="single" w:sz="8" w:color="E7417A"/>
            </w:tcBorders>
            <w:vMerge w:val="continue"/>
          </w:tcPr>
          <w:p>
            <w:pPr>
              <w:spacing w:after="0"/>
              <w:rPr>
                <w:sz w:val="5"/>
                <w:szCs w:val="5"/>
                <w:color w:val="auto"/>
              </w:rPr>
            </w:pPr>
          </w:p>
        </w:tc>
        <w:tc>
          <w:tcPr>
            <w:tcW w:w="140" w:type="dxa"/>
            <w:vAlign w:val="bottom"/>
            <w:tcBorders>
              <w:bottom w:val="single" w:sz="8" w:color="E7417A"/>
            </w:tcBorders>
          </w:tcPr>
          <w:p>
            <w:pPr>
              <w:jc w:val="right"/>
              <w:ind w:right="17"/>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E7417A"/>
            </w:tcBorders>
          </w:tcPr>
          <w:p>
            <w:pPr>
              <w:spacing w:after="0"/>
              <w:rPr>
                <w:sz w:val="5"/>
                <w:szCs w:val="5"/>
                <w:color w:val="auto"/>
              </w:rPr>
            </w:pPr>
          </w:p>
        </w:tc>
        <w:tc>
          <w:tcPr>
            <w:tcW w:w="260" w:type="dxa"/>
            <w:vAlign w:val="bottom"/>
            <w:tcBorders>
              <w:bottom w:val="single" w:sz="8" w:color="E7417A"/>
            </w:tcBorders>
          </w:tcPr>
          <w:p>
            <w:pPr>
              <w:jc w:val="right"/>
              <w:ind w:right="9"/>
              <w:spacing w:after="0" w:line="68" w:lineRule="exact"/>
              <w:rPr>
                <w:sz w:val="20"/>
                <w:szCs w:val="20"/>
                <w:color w:val="auto"/>
              </w:rPr>
            </w:pPr>
            <w:r>
              <w:rPr>
                <w:rFonts w:ascii="Arial" w:cs="Arial" w:eastAsia="Arial" w:hAnsi="Arial"/>
                <w:sz w:val="7"/>
                <w:szCs w:val="7"/>
                <w:color w:val="auto"/>
              </w:rPr>
              <w:t>​ ​</w:t>
            </w:r>
          </w:p>
        </w:tc>
        <w:tc>
          <w:tcPr>
            <w:tcW w:w="280" w:type="dxa"/>
            <w:vAlign w:val="bottom"/>
            <w:tcBorders>
              <w:bottom w:val="single" w:sz="8" w:color="E7417A"/>
            </w:tcBorders>
          </w:tcPr>
          <w:p>
            <w:pPr>
              <w:jc w:val="right"/>
              <w:spacing w:after="0" w:line="68" w:lineRule="exact"/>
              <w:rPr>
                <w:sz w:val="20"/>
                <w:szCs w:val="20"/>
                <w:color w:val="auto"/>
              </w:rPr>
            </w:pPr>
            <w:r>
              <w:rPr>
                <w:rFonts w:ascii="Arial" w:cs="Arial" w:eastAsia="Arial" w:hAnsi="Arial"/>
                <w:sz w:val="7"/>
                <w:szCs w:val="7"/>
                <w:color w:val="auto"/>
              </w:rPr>
              <w:t>​</w:t>
            </w:r>
          </w:p>
        </w:tc>
        <w:tc>
          <w:tcPr>
            <w:tcW w:w="1100" w:type="dxa"/>
            <w:vAlign w:val="bottom"/>
            <w:tcBorders>
              <w:bottom w:val="single" w:sz="8" w:color="E7417A"/>
            </w:tcBorders>
          </w:tcPr>
          <w:p>
            <w:pPr>
              <w:spacing w:after="0"/>
              <w:rPr>
                <w:sz w:val="5"/>
                <w:szCs w:val="5"/>
                <w:color w:val="auto"/>
              </w:rPr>
            </w:pPr>
          </w:p>
        </w:tc>
        <w:tc>
          <w:tcPr>
            <w:tcW w:w="160" w:type="dxa"/>
            <w:vAlign w:val="bottom"/>
            <w:tcBorders>
              <w:bottom w:val="single" w:sz="8" w:color="E7417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5880" w:type="dxa"/>
            <w:vAlign w:val="bottom"/>
          </w:tcPr>
          <w:p>
            <w:pPr>
              <w:ind w:left="20"/>
              <w:spacing w:after="0"/>
              <w:rPr>
                <w:sz w:val="20"/>
                <w:szCs w:val="20"/>
                <w:color w:val="auto"/>
              </w:rPr>
            </w:pPr>
            <w:r>
              <w:rPr>
                <w:rFonts w:ascii="Arial" w:cs="Arial" w:eastAsia="Arial" w:hAnsi="Arial"/>
                <w:sz w:val="16"/>
                <w:szCs w:val="16"/>
                <w:color w:val="auto"/>
              </w:rPr>
              <w:t>Shares of Common Stock subject to outstanding equity awards under the</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right"/>
              <w:ind w:right="49"/>
              <w:spacing w:after="0"/>
              <w:rPr>
                <w:sz w:val="20"/>
                <w:szCs w:val="20"/>
                <w:color w:val="auto"/>
              </w:rPr>
            </w:pPr>
            <w:r>
              <w:rPr>
                <w:rFonts w:ascii="Arial" w:cs="Arial" w:eastAsia="Arial" w:hAnsi="Arial"/>
                <w:sz w:val="16"/>
                <w:szCs w:val="16"/>
                <w:color w:val="auto"/>
              </w:rPr>
              <w:t>6,997,186</w:t>
            </w:r>
            <w:r>
              <w:rPr>
                <w:rFonts w:ascii="Arial" w:cs="Arial" w:eastAsia="Arial" w:hAnsi="Arial"/>
                <w:sz w:val="19"/>
                <w:szCs w:val="19"/>
                <w:color w:val="auto"/>
                <w:vertAlign w:val="superscript"/>
              </w:rPr>
              <w:t>(3)</w:t>
            </w:r>
          </w:p>
        </w:tc>
        <w:tc>
          <w:tcPr>
            <w:tcW w:w="28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6,997,186</w:t>
            </w:r>
            <w:r>
              <w:rPr>
                <w:rFonts w:ascii="Arial" w:cs="Arial" w:eastAsia="Arial" w:hAnsi="Arial"/>
                <w:sz w:val="19"/>
                <w:szCs w:val="19"/>
                <w:color w:val="auto"/>
                <w:vertAlign w:val="superscript"/>
              </w:rPr>
              <w:t>(3)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5880" w:type="dxa"/>
            <w:vAlign w:val="bottom"/>
          </w:tcPr>
          <w:p>
            <w:pPr>
              <w:ind w:left="20"/>
              <w:spacing w:after="0" w:line="163" w:lineRule="exact"/>
              <w:rPr>
                <w:sz w:val="20"/>
                <w:szCs w:val="20"/>
                <w:color w:val="auto"/>
              </w:rPr>
            </w:pPr>
            <w:r>
              <w:rPr>
                <w:rFonts w:ascii="Arial" w:cs="Arial" w:eastAsia="Arial" w:hAnsi="Arial"/>
                <w:sz w:val="16"/>
                <w:szCs w:val="16"/>
                <w:color w:val="auto"/>
              </w:rPr>
              <w:t>Company’s equity plans</w:t>
            </w:r>
          </w:p>
        </w:tc>
        <w:tc>
          <w:tcPr>
            <w:tcW w:w="24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140" w:type="dxa"/>
            <w:vAlign w:val="bottom"/>
          </w:tcPr>
          <w:p>
            <w:pPr>
              <w:jc w:val="right"/>
              <w:ind w:right="17"/>
              <w:spacing w:after="0" w:line="163" w:lineRule="exact"/>
              <w:rPr>
                <w:sz w:val="20"/>
                <w:szCs w:val="20"/>
                <w:color w:val="auto"/>
              </w:rPr>
            </w:pPr>
            <w:r>
              <w:rPr>
                <w:rFonts w:ascii="Arial" w:cs="Arial" w:eastAsia="Arial" w:hAnsi="Arial"/>
                <w:sz w:val="16"/>
                <w:szCs w:val="16"/>
                <w:color w:val="auto"/>
              </w:rPr>
              <w:t>​</w:t>
            </w:r>
          </w:p>
        </w:tc>
        <w:tc>
          <w:tcPr>
            <w:tcW w:w="1000" w:type="dxa"/>
            <w:vAlign w:val="bottom"/>
            <w:gridSpan w:val="2"/>
            <w:vMerge w:val="continue"/>
          </w:tcPr>
          <w:p>
            <w:pPr>
              <w:spacing w:after="0"/>
              <w:rPr>
                <w:sz w:val="14"/>
                <w:szCs w:val="14"/>
                <w:color w:val="auto"/>
              </w:rPr>
            </w:pPr>
          </w:p>
        </w:tc>
        <w:tc>
          <w:tcPr>
            <w:tcW w:w="280" w:type="dxa"/>
            <w:vAlign w:val="bottom"/>
          </w:tcPr>
          <w:p>
            <w:pPr>
              <w:jc w:val="right"/>
              <w:spacing w:after="0" w:line="163" w:lineRule="exact"/>
              <w:rPr>
                <w:sz w:val="20"/>
                <w:szCs w:val="20"/>
                <w:color w:val="auto"/>
              </w:rPr>
            </w:pPr>
            <w:r>
              <w:rPr>
                <w:rFonts w:ascii="Arial" w:cs="Arial" w:eastAsia="Arial" w:hAnsi="Arial"/>
                <w:sz w:val="16"/>
                <w:szCs w:val="16"/>
                <w:color w:val="auto"/>
              </w:rPr>
              <w:t>​</w:t>
            </w:r>
          </w:p>
        </w:tc>
        <w:tc>
          <w:tcPr>
            <w:tcW w:w="1100" w:type="dxa"/>
            <w:vAlign w:val="bottom"/>
            <w:vMerge w:val="continue"/>
          </w:tcPr>
          <w:p>
            <w:pPr>
              <w:spacing w:after="0"/>
              <w:rPr>
                <w:sz w:val="14"/>
                <w:szCs w:val="14"/>
                <w:color w:val="auto"/>
              </w:rPr>
            </w:pP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60" w:type="dxa"/>
            <w:vAlign w:val="bottom"/>
            <w:tcBorders>
              <w:bottom w:val="single" w:sz="8" w:color="E7417A"/>
            </w:tcBorders>
            <w:vMerge w:val="continue"/>
          </w:tcPr>
          <w:p>
            <w:pPr>
              <w:spacing w:after="0"/>
              <w:rPr>
                <w:sz w:val="5"/>
                <w:szCs w:val="5"/>
                <w:color w:val="auto"/>
              </w:rPr>
            </w:pPr>
          </w:p>
        </w:tc>
        <w:tc>
          <w:tcPr>
            <w:tcW w:w="5880" w:type="dxa"/>
            <w:vAlign w:val="bottom"/>
            <w:tcBorders>
              <w:bottom w:val="single" w:sz="8" w:color="E7417A"/>
            </w:tcBorders>
          </w:tcPr>
          <w:p>
            <w:pPr>
              <w:spacing w:after="0"/>
              <w:rPr>
                <w:sz w:val="5"/>
                <w:szCs w:val="5"/>
                <w:color w:val="auto"/>
              </w:rPr>
            </w:pPr>
          </w:p>
        </w:tc>
        <w:tc>
          <w:tcPr>
            <w:tcW w:w="240" w:type="dxa"/>
            <w:vAlign w:val="bottom"/>
            <w:tcBorders>
              <w:bottom w:val="single" w:sz="8" w:color="E7417A"/>
            </w:tcBorders>
            <w:vMerge w:val="continue"/>
          </w:tcPr>
          <w:p>
            <w:pPr>
              <w:spacing w:after="0"/>
              <w:rPr>
                <w:sz w:val="5"/>
                <w:szCs w:val="5"/>
                <w:color w:val="auto"/>
              </w:rPr>
            </w:pPr>
          </w:p>
        </w:tc>
        <w:tc>
          <w:tcPr>
            <w:tcW w:w="140" w:type="dxa"/>
            <w:vAlign w:val="bottom"/>
            <w:tcBorders>
              <w:bottom w:val="single" w:sz="8" w:color="E7417A"/>
            </w:tcBorders>
          </w:tcPr>
          <w:p>
            <w:pPr>
              <w:jc w:val="right"/>
              <w:ind w:right="17"/>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E7417A"/>
            </w:tcBorders>
          </w:tcPr>
          <w:p>
            <w:pPr>
              <w:spacing w:after="0"/>
              <w:rPr>
                <w:sz w:val="5"/>
                <w:szCs w:val="5"/>
                <w:color w:val="auto"/>
              </w:rPr>
            </w:pPr>
          </w:p>
        </w:tc>
        <w:tc>
          <w:tcPr>
            <w:tcW w:w="260" w:type="dxa"/>
            <w:vAlign w:val="bottom"/>
            <w:tcBorders>
              <w:bottom w:val="single" w:sz="8" w:color="E7417A"/>
            </w:tcBorders>
          </w:tcPr>
          <w:p>
            <w:pPr>
              <w:jc w:val="right"/>
              <w:ind w:right="9"/>
              <w:spacing w:after="0" w:line="68" w:lineRule="exact"/>
              <w:rPr>
                <w:sz w:val="20"/>
                <w:szCs w:val="20"/>
                <w:color w:val="auto"/>
              </w:rPr>
            </w:pPr>
            <w:r>
              <w:rPr>
                <w:rFonts w:ascii="Arial" w:cs="Arial" w:eastAsia="Arial" w:hAnsi="Arial"/>
                <w:sz w:val="7"/>
                <w:szCs w:val="7"/>
                <w:color w:val="auto"/>
              </w:rPr>
              <w:t>​ ​</w:t>
            </w:r>
          </w:p>
        </w:tc>
        <w:tc>
          <w:tcPr>
            <w:tcW w:w="280" w:type="dxa"/>
            <w:vAlign w:val="bottom"/>
            <w:tcBorders>
              <w:bottom w:val="single" w:sz="8" w:color="E7417A"/>
            </w:tcBorders>
          </w:tcPr>
          <w:p>
            <w:pPr>
              <w:jc w:val="right"/>
              <w:spacing w:after="0" w:line="68" w:lineRule="exact"/>
              <w:rPr>
                <w:sz w:val="20"/>
                <w:szCs w:val="20"/>
                <w:color w:val="auto"/>
              </w:rPr>
            </w:pPr>
            <w:r>
              <w:rPr>
                <w:rFonts w:ascii="Arial" w:cs="Arial" w:eastAsia="Arial" w:hAnsi="Arial"/>
                <w:sz w:val="7"/>
                <w:szCs w:val="7"/>
                <w:color w:val="auto"/>
              </w:rPr>
              <w:t>​</w:t>
            </w:r>
          </w:p>
        </w:tc>
        <w:tc>
          <w:tcPr>
            <w:tcW w:w="1100" w:type="dxa"/>
            <w:vAlign w:val="bottom"/>
            <w:tcBorders>
              <w:bottom w:val="single" w:sz="8" w:color="E7417A"/>
            </w:tcBorders>
          </w:tcPr>
          <w:p>
            <w:pPr>
              <w:spacing w:after="0"/>
              <w:rPr>
                <w:sz w:val="5"/>
                <w:szCs w:val="5"/>
                <w:color w:val="auto"/>
              </w:rPr>
            </w:pPr>
          </w:p>
        </w:tc>
        <w:tc>
          <w:tcPr>
            <w:tcW w:w="160" w:type="dxa"/>
            <w:vAlign w:val="bottom"/>
            <w:tcBorders>
              <w:bottom w:val="single" w:sz="8" w:color="E7417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E7417A"/>
            </w:tcBorders>
            <w:gridSpan w:val="2"/>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Shares of Common Stock subject to outstanding warrants</w:t>
            </w:r>
          </w:p>
        </w:tc>
        <w:tc>
          <w:tcPr>
            <w:tcW w:w="380" w:type="dxa"/>
            <w:vAlign w:val="bottom"/>
            <w:tcBorders>
              <w:bottom w:val="single" w:sz="8" w:color="E7417A"/>
            </w:tcBorders>
            <w:gridSpan w:val="2"/>
          </w:tcPr>
          <w:p>
            <w:pPr>
              <w:jc w:val="right"/>
              <w:ind w:right="17"/>
              <w:spacing w:after="0" w:line="250" w:lineRule="exact"/>
              <w:rPr>
                <w:sz w:val="20"/>
                <w:szCs w:val="20"/>
                <w:color w:val="auto"/>
              </w:rPr>
            </w:pPr>
            <w:r>
              <w:rPr>
                <w:rFonts w:ascii="Arial" w:cs="Arial" w:eastAsia="Arial" w:hAnsi="Arial"/>
                <w:sz w:val="15"/>
                <w:szCs w:val="15"/>
                <w:color w:val="auto"/>
              </w:rPr>
              <w:t>​ ​ ​</w:t>
            </w:r>
            <w:r>
              <w:rPr>
                <w:rFonts w:ascii="Arial" w:cs="Arial" w:eastAsia="Arial" w:hAnsi="Arial"/>
                <w:sz w:val="28"/>
                <w:szCs w:val="28"/>
                <w:color w:val="auto"/>
                <w:vertAlign w:val="superscript"/>
              </w:rPr>
              <w:t>​</w:t>
            </w:r>
          </w:p>
        </w:tc>
        <w:tc>
          <w:tcPr>
            <w:tcW w:w="1000" w:type="dxa"/>
            <w:vAlign w:val="bottom"/>
            <w:tcBorders>
              <w:bottom w:val="single" w:sz="8" w:color="E7417A"/>
            </w:tcBorders>
            <w:gridSpan w:val="2"/>
          </w:tcPr>
          <w:p>
            <w:pPr>
              <w:jc w:val="right"/>
              <w:ind w:right="9"/>
              <w:spacing w:after="0" w:line="250" w:lineRule="exact"/>
              <w:rPr>
                <w:sz w:val="20"/>
                <w:szCs w:val="20"/>
                <w:color w:val="auto"/>
              </w:rPr>
            </w:pPr>
            <w:r>
              <w:rPr>
                <w:rFonts w:ascii="Arial" w:cs="Arial" w:eastAsia="Arial" w:hAnsi="Arial"/>
                <w:sz w:val="15"/>
                <w:szCs w:val="15"/>
                <w:color w:val="auto"/>
              </w:rPr>
              <w:t>4,681,432</w:t>
            </w:r>
            <w:r>
              <w:rPr>
                <w:rFonts w:ascii="Arial" w:cs="Arial" w:eastAsia="Arial" w:hAnsi="Arial"/>
                <w:sz w:val="28"/>
                <w:szCs w:val="28"/>
                <w:color w:val="auto"/>
                <w:vertAlign w:val="subscript"/>
              </w:rPr>
              <w:t>​ ​</w:t>
            </w:r>
          </w:p>
        </w:tc>
        <w:tc>
          <w:tcPr>
            <w:tcW w:w="280" w:type="dxa"/>
            <w:vAlign w:val="bottom"/>
            <w:tcBorders>
              <w:bottom w:val="single" w:sz="8" w:color="E7417A"/>
            </w:tcBorders>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100" w:type="dxa"/>
            <w:vAlign w:val="bottom"/>
            <w:tcBorders>
              <w:bottom w:val="single" w:sz="8" w:color="E7417A"/>
            </w:tcBorders>
          </w:tcPr>
          <w:p>
            <w:pPr>
              <w:jc w:val="right"/>
              <w:ind w:right="79"/>
              <w:spacing w:after="0"/>
              <w:rPr>
                <w:sz w:val="20"/>
                <w:szCs w:val="20"/>
                <w:color w:val="auto"/>
              </w:rPr>
            </w:pPr>
            <w:r>
              <w:rPr>
                <w:rFonts w:ascii="Arial" w:cs="Arial" w:eastAsia="Arial" w:hAnsi="Arial"/>
                <w:sz w:val="16"/>
                <w:szCs w:val="16"/>
                <w:color w:val="auto"/>
              </w:rPr>
              <w:t>4,681,432</w:t>
            </w:r>
          </w:p>
        </w:tc>
        <w:tc>
          <w:tcPr>
            <w:tcW w:w="16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940" w:type="dxa"/>
            <w:vAlign w:val="bottom"/>
            <w:tcBorders>
              <w:bottom w:val="single" w:sz="8" w:color="E7417A"/>
            </w:tcBorders>
            <w:gridSpan w:val="2"/>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 xml:space="preserve"> Total</w:t>
            </w:r>
          </w:p>
        </w:tc>
        <w:tc>
          <w:tcPr>
            <w:tcW w:w="1380" w:type="dxa"/>
            <w:vAlign w:val="bottom"/>
            <w:tcBorders>
              <w:bottom w:val="single" w:sz="8" w:color="E7417A"/>
            </w:tcBorders>
            <w:gridSpan w:val="4"/>
          </w:tcPr>
          <w:p>
            <w:pPr>
              <w:jc w:val="right"/>
              <w:ind w:right="9"/>
              <w:spacing w:after="0" w:line="250"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5"/>
                <w:szCs w:val="15"/>
                <w:color w:val="auto"/>
              </w:rPr>
              <w:t>​188,501,726</w:t>
            </w:r>
            <w:r>
              <w:rPr>
                <w:rFonts w:ascii="Arial" w:cs="Arial" w:eastAsia="Arial" w:hAnsi="Arial"/>
                <w:sz w:val="28"/>
                <w:szCs w:val="28"/>
                <w:color w:val="auto"/>
                <w:vertAlign w:val="subscript"/>
              </w:rPr>
              <w:t>​ ​</w:t>
            </w:r>
          </w:p>
        </w:tc>
        <w:tc>
          <w:tcPr>
            <w:tcW w:w="280" w:type="dxa"/>
            <w:vAlign w:val="bottom"/>
            <w:tcBorders>
              <w:bottom w:val="single" w:sz="8" w:color="E7417A"/>
            </w:tcBorders>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100" w:type="dxa"/>
            <w:vAlign w:val="bottom"/>
            <w:tcBorders>
              <w:bottom w:val="single" w:sz="8" w:color="E7417A"/>
            </w:tcBorders>
          </w:tcPr>
          <w:p>
            <w:pPr>
              <w:jc w:val="right"/>
              <w:ind w:right="79"/>
              <w:spacing w:after="0"/>
              <w:rPr>
                <w:sz w:val="20"/>
                <w:szCs w:val="20"/>
                <w:color w:val="auto"/>
              </w:rPr>
            </w:pPr>
            <w:r>
              <w:rPr>
                <w:rFonts w:ascii="Arial" w:cs="Arial" w:eastAsia="Arial" w:hAnsi="Arial"/>
                <w:sz w:val="16"/>
                <w:szCs w:val="16"/>
                <w:color w:val="auto"/>
              </w:rPr>
              <w:t>202,501,726</w:t>
            </w:r>
          </w:p>
        </w:tc>
        <w:tc>
          <w:tcPr>
            <w:tcW w:w="16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940" w:type="dxa"/>
            <w:vAlign w:val="bottom"/>
            <w:tcBorders>
              <w:bottom w:val="single" w:sz="8" w:color="62259D"/>
            </w:tcBorders>
            <w:gridSpan w:val="2"/>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 xml:space="preserve"> Shares of Common Stock Available for Issuance</w:t>
            </w:r>
          </w:p>
        </w:tc>
        <w:tc>
          <w:tcPr>
            <w:tcW w:w="1380" w:type="dxa"/>
            <w:vAlign w:val="bottom"/>
            <w:tcBorders>
              <w:bottom w:val="single" w:sz="8" w:color="62259D"/>
            </w:tcBorders>
            <w:gridSpan w:val="4"/>
          </w:tcPr>
          <w:p>
            <w:pPr>
              <w:jc w:val="right"/>
              <w:ind w:right="9"/>
              <w:spacing w:after="0" w:line="250"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5"/>
                <w:szCs w:val="15"/>
                <w:color w:val="auto"/>
              </w:rPr>
              <w:t>​ 51,498,274</w:t>
            </w:r>
            <w:r>
              <w:rPr>
                <w:rFonts w:ascii="Arial" w:cs="Arial" w:eastAsia="Arial" w:hAnsi="Arial"/>
                <w:sz w:val="28"/>
                <w:szCs w:val="28"/>
                <w:color w:val="auto"/>
                <w:vertAlign w:val="subscript"/>
              </w:rPr>
              <w:t>​ ​</w:t>
            </w:r>
          </w:p>
        </w:tc>
        <w:tc>
          <w:tcPr>
            <w:tcW w:w="280" w:type="dxa"/>
            <w:vAlign w:val="bottom"/>
            <w:tcBorders>
              <w:bottom w:val="single" w:sz="8" w:color="62259D"/>
            </w:tcBorders>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100" w:type="dxa"/>
            <w:vAlign w:val="bottom"/>
            <w:tcBorders>
              <w:bottom w:val="single" w:sz="8" w:color="62259D"/>
            </w:tcBorders>
          </w:tcPr>
          <w:p>
            <w:pPr>
              <w:jc w:val="right"/>
              <w:ind w:right="79"/>
              <w:spacing w:after="0"/>
              <w:rPr>
                <w:sz w:val="20"/>
                <w:szCs w:val="20"/>
                <w:color w:val="auto"/>
              </w:rPr>
            </w:pPr>
            <w:r>
              <w:rPr>
                <w:rFonts w:ascii="Arial" w:cs="Arial" w:eastAsia="Arial" w:hAnsi="Arial"/>
                <w:sz w:val="16"/>
                <w:szCs w:val="16"/>
                <w:color w:val="auto"/>
              </w:rPr>
              <w:t>187,498,274</w:t>
            </w:r>
          </w:p>
        </w:tc>
        <w:tc>
          <w:tcPr>
            <w:tcW w:w="160" w:type="dxa"/>
            <w:vAlign w:val="bottom"/>
            <w:tcBorders>
              <w:bottom w:val="single" w:sz="8" w:color="62259D"/>
            </w:tcBorders>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400" w:right="340" w:hanging="368"/>
        <w:spacing w:after="0" w:line="305" w:lineRule="auto"/>
        <w:tabs>
          <w:tab w:leader="none" w:pos="14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Does not include shares of Common Stock that would be authorized for future issuance under the Ribbon Communications, Inc. 2025 Incentive Award Plan, as proposed for approval under Proposal 5.</w:t>
      </w:r>
    </w:p>
    <w:p>
      <w:pPr>
        <w:spacing w:after="0" w:line="22" w:lineRule="exact"/>
        <w:rPr>
          <w:rFonts w:ascii="Arial" w:cs="Arial" w:eastAsia="Arial" w:hAnsi="Arial"/>
          <w:sz w:val="14"/>
          <w:szCs w:val="14"/>
          <w:color w:val="auto"/>
        </w:rPr>
      </w:pPr>
    </w:p>
    <w:p>
      <w:pPr>
        <w:ind w:left="1400" w:right="1040" w:hanging="368"/>
        <w:spacing w:after="0" w:line="305" w:lineRule="auto"/>
        <w:tabs>
          <w:tab w:leader="none" w:pos="14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Includes the 14,000,000 shares of Common Stock that would be authorized for future issuance under the Ribbon Communications, Inc. 2025 Incentive Award Plan, as proposed for approval under Proposal 5.</w:t>
      </w:r>
    </w:p>
    <w:p>
      <w:pPr>
        <w:spacing w:after="0" w:line="22" w:lineRule="exact"/>
        <w:rPr>
          <w:rFonts w:ascii="Arial" w:cs="Arial" w:eastAsia="Arial" w:hAnsi="Arial"/>
          <w:sz w:val="14"/>
          <w:szCs w:val="14"/>
          <w:color w:val="auto"/>
        </w:rPr>
      </w:pPr>
    </w:p>
    <w:p>
      <w:pPr>
        <w:ind w:left="1400" w:hanging="368"/>
        <w:spacing w:after="0"/>
        <w:tabs>
          <w:tab w:leader="none" w:pos="14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Assumes outstanding equity awards vest at maximum.</w:t>
      </w:r>
    </w:p>
    <w:p>
      <w:pPr>
        <w:sectPr>
          <w:pgSz w:w="11900" w:h="16838" w:orient="portrait"/>
          <w:cols w:equalWidth="0" w:num="1">
            <w:col w:w="9880"/>
          </w:cols>
          <w:pgMar w:left="580" w:top="97" w:right="1439" w:bottom="1440" w:gutter="0" w:footer="0" w:header="0"/>
        </w:sectPr>
      </w:pPr>
    </w:p>
    <w:p>
      <w:pPr>
        <w:spacing w:after="0" w:line="207"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Purpose of the Proposed Amendment</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Board believes it is in the best interests of the Company and our stockholders to have additional</w:t>
      </w:r>
    </w:p>
    <w:p>
      <w:pPr>
        <w:spacing w:after="0" w:line="14" w:lineRule="exact"/>
        <w:rPr>
          <w:sz w:val="20"/>
          <w:szCs w:val="20"/>
          <w:color w:val="auto"/>
        </w:rPr>
      </w:pPr>
    </w:p>
    <w:p>
      <w:pPr>
        <w:ind w:left="920" w:right="279"/>
        <w:spacing w:after="0" w:line="226" w:lineRule="auto"/>
        <w:rPr>
          <w:sz w:val="20"/>
          <w:szCs w:val="20"/>
          <w:color w:val="auto"/>
        </w:rPr>
      </w:pPr>
      <w:r>
        <w:rPr>
          <w:rFonts w:ascii="Arial" w:cs="Arial" w:eastAsia="Arial" w:hAnsi="Arial"/>
          <w:sz w:val="18"/>
          <w:szCs w:val="18"/>
          <w:color w:val="auto"/>
        </w:rPr>
        <w:t>shares available to provide increased flexibility regarding the potential use of shares of Common Stock in considering and planning for future strategic, business and financial purposes. An increased number of</w:t>
      </w:r>
    </w:p>
    <w:p>
      <w:pPr>
        <w:ind w:left="920"/>
        <w:spacing w:after="0" w:line="236" w:lineRule="auto"/>
        <w:rPr>
          <w:sz w:val="20"/>
          <w:szCs w:val="20"/>
          <w:color w:val="auto"/>
        </w:rPr>
      </w:pPr>
      <w:r>
        <w:rPr>
          <w:rFonts w:ascii="Arial" w:cs="Arial" w:eastAsia="Arial" w:hAnsi="Arial"/>
          <w:sz w:val="18"/>
          <w:szCs w:val="18"/>
          <w:color w:val="auto"/>
        </w:rPr>
        <w:t>authorized but unissued shares of Common Stock would allow us to take prompt action with respect to</w:t>
      </w:r>
    </w:p>
    <w:p>
      <w:pPr>
        <w:spacing w:after="0" w:line="1" w:lineRule="exact"/>
        <w:rPr>
          <w:sz w:val="20"/>
          <w:szCs w:val="20"/>
          <w:color w:val="auto"/>
        </w:rPr>
      </w:pPr>
    </w:p>
    <w:p>
      <w:pPr>
        <w:ind w:left="920" w:right="499"/>
        <w:spacing w:after="0" w:line="226" w:lineRule="auto"/>
        <w:rPr>
          <w:sz w:val="20"/>
          <w:szCs w:val="20"/>
          <w:color w:val="auto"/>
        </w:rPr>
      </w:pPr>
      <w:r>
        <w:rPr>
          <w:rFonts w:ascii="Arial" w:cs="Arial" w:eastAsia="Arial" w:hAnsi="Arial"/>
          <w:sz w:val="18"/>
          <w:szCs w:val="18"/>
          <w:color w:val="auto"/>
        </w:rPr>
        <w:t>corporate opportunities that develop, without the delay and expense of convening a special meeting of stockholders for the purpose of approving an increase in our authorized shares. The additional shares</w:t>
      </w:r>
    </w:p>
    <w:p>
      <w:pPr>
        <w:ind w:left="920"/>
        <w:spacing w:after="0" w:line="236" w:lineRule="auto"/>
        <w:rPr>
          <w:sz w:val="20"/>
          <w:szCs w:val="20"/>
          <w:color w:val="auto"/>
        </w:rPr>
      </w:pPr>
      <w:r>
        <w:rPr>
          <w:rFonts w:ascii="Arial" w:cs="Arial" w:eastAsia="Arial" w:hAnsi="Arial"/>
          <w:sz w:val="18"/>
          <w:szCs w:val="18"/>
          <w:color w:val="auto"/>
        </w:rPr>
        <w:t>could be used for various purposes without further stockholder approval (subject to compliance with</w:t>
      </w:r>
    </w:p>
    <w:p>
      <w:pPr>
        <w:spacing w:after="0" w:line="1" w:lineRule="exact"/>
        <w:rPr>
          <w:sz w:val="20"/>
          <w:szCs w:val="20"/>
          <w:color w:val="auto"/>
        </w:rPr>
      </w:pPr>
    </w:p>
    <w:p>
      <w:pPr>
        <w:ind w:left="920" w:right="379"/>
        <w:spacing w:after="0" w:line="226" w:lineRule="auto"/>
        <w:rPr>
          <w:sz w:val="20"/>
          <w:szCs w:val="20"/>
          <w:color w:val="auto"/>
        </w:rPr>
      </w:pPr>
      <w:r>
        <w:rPr>
          <w:rFonts w:ascii="Arial" w:cs="Arial" w:eastAsia="Arial" w:hAnsi="Arial"/>
          <w:sz w:val="18"/>
          <w:szCs w:val="18"/>
          <w:color w:val="auto"/>
        </w:rPr>
        <w:t>applicable law and Nasdaq rules). These purposes could include, without limitation, (i) raising additional capital through offerings of Common Stock or securities that are convertible into Common Stock,</w:t>
      </w:r>
    </w:p>
    <w:p>
      <w:pPr>
        <w:ind w:left="1200" w:hanging="276"/>
        <w:spacing w:after="0" w:line="236" w:lineRule="auto"/>
        <w:tabs>
          <w:tab w:leader="none" w:pos="12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expanding our business through potential strategic transactions, including mergers, acquisitions and</w:t>
      </w:r>
    </w:p>
    <w:p>
      <w:pPr>
        <w:ind w:left="920"/>
        <w:spacing w:after="0" w:line="219" w:lineRule="auto"/>
        <w:rPr>
          <w:rFonts w:ascii="Arial" w:cs="Arial" w:eastAsia="Arial" w:hAnsi="Arial"/>
          <w:sz w:val="18"/>
          <w:szCs w:val="18"/>
          <w:color w:val="auto"/>
        </w:rPr>
      </w:pPr>
      <w:r>
        <w:rPr>
          <w:rFonts w:ascii="Arial" w:cs="Arial" w:eastAsia="Arial" w:hAnsi="Arial"/>
          <w:sz w:val="18"/>
          <w:szCs w:val="18"/>
          <w:color w:val="auto"/>
        </w:rPr>
        <w:t>other business combinations, or acquisitions, (iii) establishing strategic relationships with other companies,</w:t>
      </w:r>
    </w:p>
    <w:p>
      <w:pPr>
        <w:ind w:left="920" w:right="119" w:firstLine="4"/>
        <w:spacing w:after="0" w:line="233" w:lineRule="auto"/>
        <w:tabs>
          <w:tab w:leader="none" w:pos="123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exchanges of Common Stock or securities that are convertible into Common Stock for other outstanding securities, (v) providing equity incentives to attract and retain employees, executive officers and non-employee directors, (vi) stock dividends and stock splits and (vii) other purposes. Our Board will determine whether, when and on what terms the issuance of shares of Common Stock may be warranted in connection with any of the foregoing purposes. As of the date of this Proxy Statement, we currently have no specific plans, arrangements or understandings to issue any of the newly authorized shares of Common Stock that would be authorized pursuant to the Share Increase Amendment.</w:t>
      </w:r>
    </w:p>
    <w:p>
      <w:pPr>
        <w:spacing w:after="0" w:line="114" w:lineRule="exact"/>
        <w:rPr>
          <w:sz w:val="20"/>
          <w:szCs w:val="20"/>
          <w:color w:val="auto"/>
        </w:rPr>
      </w:pPr>
    </w:p>
    <w:p>
      <w:pPr>
        <w:ind w:left="920" w:right="99"/>
        <w:spacing w:after="0" w:line="248" w:lineRule="auto"/>
        <w:rPr>
          <w:sz w:val="20"/>
          <w:szCs w:val="20"/>
          <w:color w:val="auto"/>
        </w:rPr>
      </w:pPr>
      <w:r>
        <w:rPr>
          <w:rFonts w:ascii="Arial" w:cs="Arial" w:eastAsia="Arial" w:hAnsi="Arial"/>
          <w:sz w:val="18"/>
          <w:szCs w:val="18"/>
          <w:color w:val="auto"/>
        </w:rPr>
        <w:t>Other than shares that are or will be reserved for issuance under the Company’s equity incentive plans and employee stock purchase plan, as well as shares that are reserved for issuance under warrants, we do not currently have any other arrangements, agreements or understandings that would require the issuance of additional shares of Common Stock. Because our directors and executive officers have outstanding equity awards under our equity incentive plans, and may be granted additional equity awards under these plans, they may be deemed to have an indirect interest in the Share Increase Amendment.</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Effects of the Proposed Amendment</w:t>
      </w:r>
    </w:p>
    <w:p>
      <w:pPr>
        <w:spacing w:after="0" w:line="158" w:lineRule="exact"/>
        <w:rPr>
          <w:sz w:val="20"/>
          <w:szCs w:val="20"/>
          <w:color w:val="auto"/>
        </w:rPr>
      </w:pPr>
    </w:p>
    <w:p>
      <w:pPr>
        <w:ind w:left="920" w:right="159"/>
        <w:spacing w:after="0" w:line="248" w:lineRule="auto"/>
        <w:rPr>
          <w:sz w:val="20"/>
          <w:szCs w:val="20"/>
          <w:color w:val="auto"/>
        </w:rPr>
      </w:pPr>
      <w:r>
        <w:rPr>
          <w:rFonts w:ascii="Arial" w:cs="Arial" w:eastAsia="Arial" w:hAnsi="Arial"/>
          <w:sz w:val="18"/>
          <w:szCs w:val="18"/>
          <w:color w:val="auto"/>
        </w:rPr>
        <w:t>The Share Increase Amendment will not have any immediate effect on the rights of our existing stockholders. However, our Board will have the authority to issue authorized Common Stock without requiring future stockholder approval of such issuances, except as may be required by applicable law or Nasdaq rules. Future issuances of Common Stock or securities convertible into or exchangeable for Common Stock could have a dilutive effect on our earnings per share, book value per share and the voting power and interest of current stockholders.</w:t>
      </w:r>
    </w:p>
    <w:p>
      <w:pPr>
        <w:spacing w:after="0" w:line="107" w:lineRule="exact"/>
        <w:rPr>
          <w:sz w:val="20"/>
          <w:szCs w:val="20"/>
          <w:color w:val="auto"/>
        </w:rPr>
      </w:pPr>
    </w:p>
    <w:p>
      <w:pPr>
        <w:ind w:left="920" w:right="119"/>
        <w:spacing w:after="0" w:line="242" w:lineRule="auto"/>
        <w:rPr>
          <w:sz w:val="20"/>
          <w:szCs w:val="20"/>
          <w:color w:val="auto"/>
        </w:rPr>
      </w:pPr>
      <w:r>
        <w:rPr>
          <w:rFonts w:ascii="Arial" w:cs="Arial" w:eastAsia="Arial" w:hAnsi="Arial"/>
          <w:sz w:val="18"/>
          <w:szCs w:val="18"/>
          <w:color w:val="auto"/>
        </w:rPr>
        <w:t>Our Board has not proposed the Share Increase Amendment with the intention of discouraging tender offers or takeover attempts of the Company. However, the availability of additional authorized shares for issuance could, under certain circumstances, discourage or make more difficult efforts to obtain control of the Company. The additional shares could be issued to dilute the stock ownership or voting rights of persons seeking to obtain control of the Company or could be issued to persons allied with the Board or management and thereby have the effect of making it more difficult to remove directors or members of management by diluting the stock ownership or voting rights of persons seeking to effect such a removal. Accordingly, if the proposed Share Increase Amendment is approved, the additional shares of authorized Common Stock may render more difficult or discourage a merger, tender offer or proxy contest, the assumption of control by a holder of a large block of Common Stock, or the replacement or removal of members of the Board or management. Although the Share Increase Amendment has been prompted by business and financial considerations and not by any current or threatened hostile takeover attempt, stockholders should be aware that approval of the Share Increase Amendment could facilitate future attempts by the Company to oppose changes in control of the Company and to perpetuate our then-current management, including the opposition of transactions in which the stockholders might otherwise receive a premium for their shares over then-current market prices.</w:t>
      </w:r>
    </w:p>
    <w:p>
      <w:pPr>
        <w:spacing w:after="0" w:line="39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68</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167640</wp:posOffset>
            </wp:positionV>
            <wp:extent cx="683196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our stockholders approve this proposal, then the first sentence of Article IV of our Certificate of</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Incorporation will be deleted and replaced in its entirety to read as follows:</w:t>
      </w:r>
    </w:p>
    <w:p>
      <w:pPr>
        <w:spacing w:after="0" w:line="126" w:lineRule="exact"/>
        <w:rPr>
          <w:sz w:val="20"/>
          <w:szCs w:val="20"/>
          <w:color w:val="auto"/>
        </w:rPr>
      </w:pPr>
    </w:p>
    <w:p>
      <w:pPr>
        <w:ind w:left="1280" w:right="199"/>
        <w:spacing w:after="0" w:line="287" w:lineRule="auto"/>
        <w:rPr>
          <w:sz w:val="20"/>
          <w:szCs w:val="20"/>
          <w:color w:val="auto"/>
        </w:rPr>
      </w:pPr>
      <w:r>
        <w:rPr>
          <w:rFonts w:ascii="Arial" w:cs="Arial" w:eastAsia="Arial" w:hAnsi="Arial"/>
          <w:sz w:val="18"/>
          <w:szCs w:val="18"/>
          <w:color w:val="auto"/>
        </w:rPr>
        <w:t>“The total number of shares of all classes of stock that the Corporation shall have authority to issue is 400,000,000 shares, consisting solely of:</w:t>
      </w:r>
    </w:p>
    <w:p>
      <w:pPr>
        <w:spacing w:after="0" w:line="7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390,000,000 shares of common stock, par value $0.0001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w:t>
      </w:r>
    </w:p>
    <w:p>
      <w:pPr>
        <w:spacing w:after="0" w:line="14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10,000,000 shares of preferred stock, par value $0.01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144" w:lineRule="exact"/>
        <w:rPr>
          <w:sz w:val="20"/>
          <w:szCs w:val="20"/>
          <w:color w:val="auto"/>
        </w:rPr>
      </w:pPr>
    </w:p>
    <w:p>
      <w:pPr>
        <w:ind w:left="920" w:right="119"/>
        <w:spacing w:after="0" w:line="243" w:lineRule="auto"/>
        <w:rPr>
          <w:sz w:val="20"/>
          <w:szCs w:val="20"/>
          <w:color w:val="auto"/>
        </w:rPr>
      </w:pPr>
      <w:r>
        <w:rPr>
          <w:rFonts w:ascii="Arial" w:cs="Arial" w:eastAsia="Arial" w:hAnsi="Arial"/>
          <w:sz w:val="18"/>
          <w:szCs w:val="18"/>
          <w:color w:val="auto"/>
        </w:rPr>
        <w:t>If the Share Increase Amendment is approved by stockholders, all other sections of the Certificate of Incorporation would be maintained in their current form. The Share Increase Amendment would become effective upon the filing of the Certificate Amendment with the Delaware Secretary of State, which the Company would do as soon as practicable following stockholder approval of the Share Increase Amendment. In the event that the Share Increase Amendment is not approved by our stockholders at the Annual Meeting, the current Certificate of Incorporation would remain in effect in its entirety. Our Board reserves the right, notwithstanding stockholder approval of the Share Increase Amendment and without further action by our stockholders, not to proceed with the Share Increase Amendment at any time before it becomes effective.</w:t>
      </w:r>
    </w:p>
    <w:p>
      <w:pPr>
        <w:spacing w:after="0" w:line="370"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Dissenters’ Right of Appraisal</w:t>
      </w:r>
    </w:p>
    <w:p>
      <w:pPr>
        <w:spacing w:after="0" w:line="158" w:lineRule="exact"/>
        <w:rPr>
          <w:sz w:val="20"/>
          <w:szCs w:val="20"/>
          <w:color w:val="auto"/>
        </w:rPr>
      </w:pPr>
    </w:p>
    <w:p>
      <w:pPr>
        <w:ind w:left="920" w:right="419"/>
        <w:spacing w:after="0" w:line="271" w:lineRule="auto"/>
        <w:rPr>
          <w:sz w:val="20"/>
          <w:szCs w:val="20"/>
          <w:color w:val="auto"/>
        </w:rPr>
      </w:pPr>
      <w:r>
        <w:rPr>
          <w:rFonts w:ascii="Arial" w:cs="Arial" w:eastAsia="Arial" w:hAnsi="Arial"/>
          <w:sz w:val="18"/>
          <w:szCs w:val="18"/>
          <w:color w:val="auto"/>
        </w:rPr>
        <w:t>Under Delaware law, stockholders are not entitled to appraisal rights with respect to the Share Increase Amendment, and we will not independently provide our stockholders with any such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83820</wp:posOffset>
            </wp:positionV>
            <wp:extent cx="5623560" cy="63436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623560" cy="634365"/>
                    </a:xfrm>
                    <a:prstGeom prst="rect">
                      <a:avLst/>
                    </a:prstGeom>
                    <a:noFill/>
                  </pic:spPr>
                </pic:pic>
              </a:graphicData>
            </a:graphic>
          </wp:anchor>
        </w:drawing>
      </w:r>
    </w:p>
    <w:p>
      <w:pPr>
        <w:spacing w:after="0" w:line="103" w:lineRule="exact"/>
        <w:rPr>
          <w:sz w:val="20"/>
          <w:szCs w:val="20"/>
          <w:color w:val="auto"/>
        </w:rPr>
      </w:pPr>
    </w:p>
    <w:p>
      <w:pPr>
        <w:ind w:left="1120"/>
        <w:spacing w:after="0"/>
        <w:rPr>
          <w:sz w:val="20"/>
          <w:szCs w:val="20"/>
          <w:color w:val="auto"/>
        </w:rPr>
      </w:pPr>
      <w:r>
        <w:rPr>
          <w:rFonts w:ascii="Arial" w:cs="Arial" w:eastAsia="Arial" w:hAnsi="Arial"/>
          <w:sz w:val="16"/>
          <w:szCs w:val="16"/>
          <w:color w:val="FEFEFE"/>
        </w:rPr>
        <w:t>PROPOSAL</w:t>
      </w:r>
    </w:p>
    <w:p>
      <w:pPr>
        <w:ind w:left="2540"/>
        <w:spacing w:after="0" w:line="198" w:lineRule="auto"/>
        <w:rPr>
          <w:sz w:val="20"/>
          <w:szCs w:val="20"/>
          <w:color w:val="auto"/>
        </w:rPr>
      </w:pPr>
      <w:r>
        <w:rPr>
          <w:rFonts w:ascii="Arial" w:cs="Arial" w:eastAsia="Arial" w:hAnsi="Arial"/>
          <w:sz w:val="18"/>
          <w:szCs w:val="18"/>
          <w:color w:val="FEFEFE"/>
        </w:rPr>
        <w:t xml:space="preserve">The Board recommends that stockholders vote </w:t>
      </w:r>
      <w:r>
        <w:rPr>
          <w:rFonts w:ascii="Arial" w:cs="Arial" w:eastAsia="Arial" w:hAnsi="Arial"/>
          <w:sz w:val="18"/>
          <w:szCs w:val="18"/>
          <w:b w:val="1"/>
          <w:bCs w:val="1"/>
          <w:color w:val="FEFEFE"/>
        </w:rPr>
        <w:t>FOR</w:t>
      </w:r>
      <w:r>
        <w:rPr>
          <w:rFonts w:ascii="Arial" w:cs="Arial" w:eastAsia="Arial" w:hAnsi="Arial"/>
          <w:sz w:val="18"/>
          <w:szCs w:val="18"/>
          <w:color w:val="FEFEFE"/>
        </w:rPr>
        <w:t xml:space="preserve"> the approval, of the</w:t>
      </w:r>
    </w:p>
    <w:tbl>
      <w:tblPr>
        <w:tblLayout w:type="fixed"/>
        <w:tblInd w:w="920" w:type="dxa"/>
        <w:tblCellMar>
          <w:top w:w="0" w:type="dxa"/>
          <w:left w:w="0" w:type="dxa"/>
          <w:bottom w:w="0" w:type="dxa"/>
          <w:right w:w="0" w:type="dxa"/>
        </w:tblCellMar>
      </w:tblPr>
      <w:tr>
        <w:trPr>
          <w:trHeight w:val="27"/>
        </w:trPr>
        <w:tc>
          <w:tcPr>
            <w:tcW w:w="280" w:type="dxa"/>
            <w:vAlign w:val="bottom"/>
            <w:vMerge w:val="restart"/>
          </w:tcPr>
          <w:p>
            <w:pPr>
              <w:spacing w:after="0"/>
              <w:rPr>
                <w:sz w:val="20"/>
                <w:szCs w:val="20"/>
                <w:color w:val="auto"/>
              </w:rPr>
            </w:pPr>
            <w:r>
              <w:rPr>
                <w:rFonts w:ascii="Arial" w:cs="Arial" w:eastAsia="Arial" w:hAnsi="Arial"/>
                <w:sz w:val="18"/>
                <w:szCs w:val="18"/>
                <w:color w:val="FEFEFE"/>
              </w:rPr>
              <w:t>​</w:t>
            </w:r>
          </w:p>
        </w:tc>
        <w:tc>
          <w:tcPr>
            <w:tcW w:w="1220" w:type="dxa"/>
            <w:vAlign w:val="bottom"/>
          </w:tcPr>
          <w:p>
            <w:pPr>
              <w:ind w:left="240"/>
              <w:spacing w:after="0" w:line="28" w:lineRule="exact"/>
              <w:rPr>
                <w:sz w:val="20"/>
                <w:szCs w:val="20"/>
                <w:color w:val="auto"/>
              </w:rPr>
            </w:pPr>
            <w:r>
              <w:rPr>
                <w:rFonts w:ascii="Arial" w:cs="Arial" w:eastAsia="Arial" w:hAnsi="Arial"/>
                <w:sz w:val="3"/>
                <w:szCs w:val="3"/>
                <w:b w:val="1"/>
                <w:bCs w:val="1"/>
                <w:color w:val="FEFEFE"/>
              </w:rPr>
              <w:t>4</w:t>
            </w:r>
            <w:r>
              <w:rPr>
                <w:rFonts w:ascii="Arial" w:cs="Arial" w:eastAsia="Arial" w:hAnsi="Arial"/>
                <w:sz w:val="1"/>
                <w:szCs w:val="1"/>
                <w:color w:val="FEFEFE"/>
              </w:rPr>
              <w:t>​</w:t>
            </w:r>
          </w:p>
        </w:tc>
        <w:tc>
          <w:tcPr>
            <w:tcW w:w="6780" w:type="dxa"/>
            <w:vAlign w:val="bottom"/>
            <w:vMerge w:val="restart"/>
          </w:tcPr>
          <w:p>
            <w:pPr>
              <w:ind w:left="120"/>
              <w:spacing w:after="0"/>
              <w:rPr>
                <w:sz w:val="20"/>
                <w:szCs w:val="20"/>
                <w:color w:val="auto"/>
              </w:rPr>
            </w:pPr>
            <w:r>
              <w:rPr>
                <w:rFonts w:ascii="Arial" w:cs="Arial" w:eastAsia="Arial" w:hAnsi="Arial"/>
                <w:sz w:val="18"/>
                <w:szCs w:val="18"/>
                <w:color w:val="FEFEFE"/>
              </w:rPr>
              <w:t>amendment to the Restated Certificate of Incorporation to increase the  ​</w:t>
            </w:r>
          </w:p>
        </w:tc>
        <w:tc>
          <w:tcPr>
            <w:tcW w:w="640" w:type="dxa"/>
            <w:vAlign w:val="bottom"/>
            <w:vMerge w:val="restart"/>
          </w:tcPr>
          <w:p>
            <w:pPr>
              <w:ind w:left="580"/>
              <w:spacing w:after="0"/>
              <w:rPr>
                <w:sz w:val="20"/>
                <w:szCs w:val="20"/>
                <w:color w:val="auto"/>
              </w:rPr>
            </w:pPr>
            <w:r>
              <w:rPr>
                <w:rFonts w:ascii="Arial" w:cs="Arial" w:eastAsia="Arial" w:hAnsi="Arial"/>
                <w:sz w:val="18"/>
                <w:szCs w:val="18"/>
                <w:color w:val="FEFEFE"/>
              </w:rPr>
              <w:t>​</w:t>
            </w:r>
          </w:p>
        </w:tc>
        <w:tc>
          <w:tcPr>
            <w:tcW w:w="0" w:type="dxa"/>
            <w:vAlign w:val="bottom"/>
          </w:tcPr>
          <w:p>
            <w:pPr>
              <w:spacing w:after="0" w:line="20" w:lineRule="exact"/>
              <w:rPr>
                <w:sz w:val="1"/>
                <w:szCs w:val="1"/>
                <w:color w:val="auto"/>
              </w:rPr>
            </w:pPr>
          </w:p>
        </w:tc>
      </w:tr>
      <w:tr>
        <w:trPr>
          <w:trHeight w:val="181"/>
        </w:trPr>
        <w:tc>
          <w:tcPr>
            <w:tcW w:w="280" w:type="dxa"/>
            <w:vAlign w:val="bottom"/>
            <w:vMerge w:val="continue"/>
          </w:tcPr>
          <w:p>
            <w:pPr>
              <w:spacing w:after="0"/>
              <w:rPr>
                <w:sz w:val="15"/>
                <w:szCs w:val="15"/>
                <w:color w:val="auto"/>
              </w:rPr>
            </w:pPr>
          </w:p>
        </w:tc>
        <w:tc>
          <w:tcPr>
            <w:tcW w:w="1220" w:type="dxa"/>
            <w:vAlign w:val="bottom"/>
          </w:tcPr>
          <w:p>
            <w:pPr>
              <w:ind w:left="1040"/>
              <w:spacing w:after="0" w:line="181" w:lineRule="exact"/>
              <w:rPr>
                <w:sz w:val="20"/>
                <w:szCs w:val="20"/>
                <w:color w:val="auto"/>
              </w:rPr>
            </w:pPr>
            <w:r>
              <w:rPr>
                <w:rFonts w:ascii="Arial" w:cs="Arial" w:eastAsia="Arial" w:hAnsi="Arial"/>
                <w:sz w:val="18"/>
                <w:szCs w:val="18"/>
                <w:color w:val="FEFEFE"/>
              </w:rPr>
              <w:t>​​</w:t>
            </w:r>
          </w:p>
        </w:tc>
        <w:tc>
          <w:tcPr>
            <w:tcW w:w="67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780" w:type="dxa"/>
            <w:vAlign w:val="bottom"/>
          </w:tcPr>
          <w:p>
            <w:pPr>
              <w:ind w:left="120"/>
              <w:spacing w:after="0"/>
              <w:rPr>
                <w:sz w:val="20"/>
                <w:szCs w:val="20"/>
                <w:color w:val="auto"/>
              </w:rPr>
            </w:pPr>
            <w:r>
              <w:rPr>
                <w:rFonts w:ascii="Arial" w:cs="Arial" w:eastAsia="Arial" w:hAnsi="Arial"/>
                <w:sz w:val="18"/>
                <w:szCs w:val="18"/>
                <w:color w:val="FEFEFE"/>
              </w:rPr>
              <w:t>authorized shares of common stock to 390 million shares.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843"/>
        </w:trPr>
        <w:tc>
          <w:tcPr>
            <w:tcW w:w="940" w:type="dxa"/>
            <w:vAlign w:val="bottom"/>
            <w:shd w:val="clear" w:color="auto" w:fill="62259D"/>
          </w:tcPr>
          <w:p>
            <w:pPr>
              <w:spacing w:after="0" w:line="843" w:lineRule="exact"/>
              <w:rPr>
                <w:sz w:val="20"/>
                <w:szCs w:val="20"/>
                <w:color w:val="auto"/>
              </w:rPr>
            </w:pPr>
            <w:r>
              <w:rPr>
                <w:rFonts w:ascii="Arial" w:cs="Arial" w:eastAsia="Arial" w:hAnsi="Arial"/>
                <w:sz w:val="36"/>
                <w:szCs w:val="36"/>
                <w:b w:val="1"/>
                <w:bCs w:val="1"/>
                <w:color w:val="FEFEFE"/>
              </w:rPr>
              <w:t xml:space="preserve">​ </w:t>
            </w:r>
            <w:r>
              <w:rPr>
                <w:rFonts w:ascii="Arial" w:cs="Arial" w:eastAsia="Arial" w:hAnsi="Arial"/>
                <w:sz w:val="93"/>
                <w:szCs w:val="93"/>
                <w:b w:val="1"/>
                <w:bCs w:val="1"/>
                <w:color w:val="FEFEFE"/>
                <w:vertAlign w:val="subscript"/>
              </w:rPr>
              <w:t>5</w:t>
            </w:r>
          </w:p>
        </w:tc>
        <w:tc>
          <w:tcPr>
            <w:tcW w:w="7920" w:type="dxa"/>
            <w:vAlign w:val="bottom"/>
          </w:tcPr>
          <w:p>
            <w:pPr>
              <w:spacing w:after="0"/>
              <w:rPr>
                <w:sz w:val="20"/>
                <w:szCs w:val="20"/>
                <w:color w:val="auto"/>
              </w:rPr>
            </w:pPr>
            <w:r>
              <w:rPr>
                <w:rFonts w:ascii="Arial" w:cs="Arial" w:eastAsia="Arial" w:hAnsi="Arial"/>
                <w:sz w:val="71"/>
                <w:szCs w:val="71"/>
                <w:b w:val="1"/>
                <w:bCs w:val="1"/>
                <w:color w:val="FEFEFE"/>
                <w:vertAlign w:val="superscript"/>
              </w:rPr>
              <w:t>​​</w:t>
            </w:r>
            <w:r>
              <w:rPr>
                <w:rFonts w:ascii="Arial" w:cs="Arial" w:eastAsia="Arial" w:hAnsi="Arial"/>
                <w:sz w:val="36"/>
                <w:szCs w:val="36"/>
                <w:b w:val="1"/>
                <w:bCs w:val="1"/>
                <w:color w:val="FEFEFE"/>
              </w:rPr>
              <w:t xml:space="preserve"> Proposal 5 — Adoption of the Ribbon</w:t>
            </w:r>
          </w:p>
        </w:tc>
        <w:tc>
          <w:tcPr>
            <w:tcW w:w="100" w:type="dxa"/>
            <w:vAlign w:val="bottom"/>
          </w:tcPr>
          <w:p>
            <w:pPr>
              <w:spacing w:after="0"/>
              <w:rPr>
                <w:sz w:val="20"/>
                <w:szCs w:val="20"/>
                <w:color w:val="auto"/>
              </w:rPr>
            </w:pPr>
            <w:r>
              <w:rPr>
                <w:rFonts w:ascii="Arial" w:cs="Arial" w:eastAsia="Arial" w:hAnsi="Arial"/>
                <w:sz w:val="36"/>
                <w:szCs w:val="36"/>
                <w:b w:val="1"/>
                <w:bCs w:val="1"/>
                <w:color w:val="FEFEFE"/>
              </w:rPr>
              <w:t>​</w:t>
            </w:r>
          </w:p>
        </w:tc>
      </w:tr>
      <w:tr>
        <w:trPr>
          <w:trHeight w:val="369"/>
        </w:trPr>
        <w:tc>
          <w:tcPr>
            <w:tcW w:w="940" w:type="dxa"/>
            <w:vAlign w:val="bottom"/>
            <w:shd w:val="clear" w:color="auto" w:fill="62259D"/>
          </w:tcPr>
          <w:p>
            <w:pPr>
              <w:spacing w:after="0"/>
              <w:rPr>
                <w:sz w:val="24"/>
                <w:szCs w:val="24"/>
                <w:color w:val="auto"/>
              </w:rPr>
            </w:pPr>
          </w:p>
        </w:tc>
        <w:tc>
          <w:tcPr>
            <w:tcW w:w="7920" w:type="dxa"/>
            <w:vAlign w:val="bottom"/>
          </w:tcPr>
          <w:p>
            <w:pPr>
              <w:ind w:left="300"/>
              <w:spacing w:after="0" w:line="368" w:lineRule="exact"/>
              <w:rPr>
                <w:sz w:val="20"/>
                <w:szCs w:val="20"/>
                <w:color w:val="auto"/>
              </w:rPr>
            </w:pPr>
            <w:r>
              <w:rPr>
                <w:rFonts w:ascii="Arial" w:cs="Arial" w:eastAsia="Arial" w:hAnsi="Arial"/>
                <w:sz w:val="36"/>
                <w:szCs w:val="36"/>
                <w:b w:val="1"/>
                <w:bCs w:val="1"/>
                <w:color w:val="FEFEFE"/>
              </w:rPr>
              <w:t>Communications Inc. 2025 Incentive</w:t>
            </w:r>
          </w:p>
        </w:tc>
        <w:tc>
          <w:tcPr>
            <w:tcW w:w="100" w:type="dxa"/>
            <w:vAlign w:val="bottom"/>
          </w:tcPr>
          <w:p>
            <w:pPr>
              <w:spacing w:after="0"/>
              <w:rPr>
                <w:sz w:val="24"/>
                <w:szCs w:val="24"/>
                <w:color w:val="auto"/>
              </w:rPr>
            </w:pPr>
          </w:p>
        </w:tc>
      </w:tr>
      <w:tr>
        <w:trPr>
          <w:trHeight w:val="456"/>
        </w:trPr>
        <w:tc>
          <w:tcPr>
            <w:tcW w:w="940" w:type="dxa"/>
            <w:vAlign w:val="bottom"/>
            <w:shd w:val="clear" w:color="auto" w:fill="62259D"/>
          </w:tcPr>
          <w:p>
            <w:pPr>
              <w:spacing w:after="0"/>
              <w:rPr>
                <w:sz w:val="24"/>
                <w:szCs w:val="24"/>
                <w:color w:val="auto"/>
              </w:rPr>
            </w:pPr>
          </w:p>
        </w:tc>
        <w:tc>
          <w:tcPr>
            <w:tcW w:w="7920" w:type="dxa"/>
            <w:vAlign w:val="bottom"/>
          </w:tcPr>
          <w:p>
            <w:pPr>
              <w:ind w:left="300"/>
              <w:spacing w:after="0"/>
              <w:rPr>
                <w:sz w:val="20"/>
                <w:szCs w:val="20"/>
                <w:color w:val="auto"/>
              </w:rPr>
            </w:pPr>
            <w:r>
              <w:rPr>
                <w:rFonts w:ascii="Arial" w:cs="Arial" w:eastAsia="Arial" w:hAnsi="Arial"/>
                <w:sz w:val="36"/>
                <w:szCs w:val="36"/>
                <w:b w:val="1"/>
                <w:bCs w:val="1"/>
                <w:color w:val="FEFEFE"/>
              </w:rPr>
              <w:t>Award Plan</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-822325</wp:posOffset>
            </wp:positionV>
            <wp:extent cx="5031740" cy="8318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031740" cy="831850"/>
                    </a:xfrm>
                    <a:prstGeom prst="rect">
                      <a:avLst/>
                    </a:prstGeom>
                    <a:noFill/>
                  </pic:spPr>
                </pic:pic>
              </a:graphicData>
            </a:graphic>
          </wp:anchor>
        </w:drawing>
      </w:r>
    </w:p>
    <w:p>
      <w:pPr>
        <w:spacing w:after="0" w:line="123" w:lineRule="exact"/>
        <w:rPr>
          <w:sz w:val="20"/>
          <w:szCs w:val="20"/>
          <w:color w:val="auto"/>
        </w:rPr>
      </w:pPr>
    </w:p>
    <w:p>
      <w:pPr>
        <w:ind w:left="920" w:right="160"/>
        <w:spacing w:after="0" w:line="245" w:lineRule="auto"/>
        <w:rPr>
          <w:sz w:val="20"/>
          <w:szCs w:val="20"/>
          <w:color w:val="auto"/>
        </w:rPr>
      </w:pPr>
      <w:r>
        <w:rPr>
          <w:rFonts w:ascii="Arial" w:cs="Arial" w:eastAsia="Arial" w:hAnsi="Arial"/>
          <w:sz w:val="18"/>
          <w:szCs w:val="18"/>
          <w:color w:val="auto"/>
        </w:rPr>
        <w:t>Our Board believes that the future success of Ribbon depends, in large part, on our ability to maintain a competitive position in attracting, retaining and motivating individuals with relevant experience and superior ability. On February 19, 2025 (the “Effective Date”), our Board adopted the Ribbon Communications Inc. 2025 Incentive Award Plan (the “New Plan”), subject to stockholder approval within the 12 months after the Board’s adoption of the New Plan. Awards granted under the New Plan are intended to attract, retain and motivate persons who are expected to make important contributions to the Company and to provide such persons with equity ownership opportunities and performance -based incentives that align their interests with those of our stockholders. The New Plan is intended to replace our current Amended and Restated 2019 Incentive Award Plan, as further amended (the “2019 Plan”).</w:t>
      </w:r>
    </w:p>
    <w:p>
      <w:pPr>
        <w:spacing w:after="0" w:line="110" w:lineRule="exact"/>
        <w:rPr>
          <w:sz w:val="20"/>
          <w:szCs w:val="20"/>
          <w:color w:val="auto"/>
        </w:rPr>
      </w:pPr>
    </w:p>
    <w:p>
      <w:pPr>
        <w:ind w:left="920" w:right="140"/>
        <w:spacing w:after="0" w:line="245" w:lineRule="auto"/>
        <w:rPr>
          <w:sz w:val="20"/>
          <w:szCs w:val="20"/>
          <w:color w:val="auto"/>
        </w:rPr>
      </w:pPr>
      <w:r>
        <w:rPr>
          <w:rFonts w:ascii="Arial" w:cs="Arial" w:eastAsia="Arial" w:hAnsi="Arial"/>
          <w:sz w:val="18"/>
          <w:szCs w:val="18"/>
          <w:color w:val="auto"/>
        </w:rPr>
        <w:t>Awards, other than Restricted Stock or similar awards under which shares of our common stock are issued as of the grant date of the award, may be granted under the New Plan on and after the Effective Date; but no such awards may be exercised, vested, paid or otherwise settled, or any shares of common stock issued with respect thereto, unless and until our stockholders approve the New Plan. Restricted Stock and similar awards under which shares of our common stock are issued as of the grant date of the award may only be granted under the New Plan if and after our stockholders approve the New Plan.</w:t>
      </w:r>
    </w:p>
    <w:p>
      <w:pPr>
        <w:spacing w:after="0" w:line="109" w:lineRule="exact"/>
        <w:rPr>
          <w:sz w:val="20"/>
          <w:szCs w:val="20"/>
          <w:color w:val="auto"/>
        </w:rPr>
      </w:pPr>
    </w:p>
    <w:p>
      <w:pPr>
        <w:ind w:left="920" w:right="160"/>
        <w:spacing w:after="0" w:line="243" w:lineRule="auto"/>
        <w:rPr>
          <w:sz w:val="20"/>
          <w:szCs w:val="20"/>
          <w:color w:val="auto"/>
        </w:rPr>
      </w:pPr>
      <w:r>
        <w:rPr>
          <w:rFonts w:ascii="Arial" w:cs="Arial" w:eastAsia="Arial" w:hAnsi="Arial"/>
          <w:sz w:val="18"/>
          <w:szCs w:val="18"/>
          <w:color w:val="auto"/>
        </w:rPr>
        <w:t>We may grant awards under the New Plan with respect to up to 16,180,307 shares of our common stock, consisting of (i) 14,000,000 new shares of our common stock plus (ii) 2,180,307 shares of our common stock previously reserved for issuance under our 2019 Plan that remain available for grant as of the Effective Date, plus (not included in the total above) that number of shares of our common stock subject to awards granted previously under our Amended and Restated Stock Incentive Plan, our 2008 Stock Incentive Plan (the “2008 Plan,” which was assumed in connection with our August 24, 2012 acquisition of Network Equipment Technologies, Inc. (“NET”), our 2012 Amended Performance Technologies, Incorporated Omnibus Incentive Plan (the “2012 Plan,” which was assumed in connection with our February 19, 2014 acquisition of Performance Technologies, Incorporated (“PT”) and the 2019 Plan (collectively, the “Prior Plans”) which become available after the Effective Date for grant under the New Plan in accordance with the provisions below (subject in each case to adjustments in the event of stock splits and other similar events). Notwithstanding anything to the contrary herein, no more than 16,180,307 shares of our common stock may be issued as incentive stock options under the New Plan.</w:t>
      </w:r>
    </w:p>
    <w:p>
      <w:pPr>
        <w:spacing w:after="0" w:line="111" w:lineRule="exact"/>
        <w:rPr>
          <w:sz w:val="20"/>
          <w:szCs w:val="20"/>
          <w:color w:val="auto"/>
        </w:rPr>
      </w:pPr>
    </w:p>
    <w:p>
      <w:pPr>
        <w:ind w:left="920" w:right="120"/>
        <w:spacing w:after="0" w:line="242" w:lineRule="auto"/>
        <w:rPr>
          <w:sz w:val="20"/>
          <w:szCs w:val="20"/>
          <w:color w:val="auto"/>
        </w:rPr>
      </w:pPr>
      <w:r>
        <w:rPr>
          <w:rFonts w:ascii="Arial" w:cs="Arial" w:eastAsia="Arial" w:hAnsi="Arial"/>
          <w:sz w:val="18"/>
          <w:szCs w:val="18"/>
          <w:color w:val="auto"/>
        </w:rPr>
        <w:t>If the New Plan is approved by our stockholders, no further awards will be made under the 2019 Plan after the Effective Date (and none have been granted to date after the Effective Date); no further awards were able to be granted under any of the other Prior Plans after adoption of the 2019 Plan. We expect the proposed aggregate share reserve under the New Plan to provide us with sufficient shares for awards for at least three years, assuming we continue to grant awards consistent with our current practices and historical usage, as reflected in our historical burn rate, and further dependent on the price of our shares of common stock and our hiring activity during the next few years, forfeitures of outstanding awards, and noting that future circumstances may require us to change our current equity grant practices. We cannot predict our future equity grant practices, the future price of our shares of common stock or future hiring activity with any degree of certainty at this time, and the share reserve under the New Plan could last for a shorter or longer time. If our stockholders do not approve the New Plan, the 2019 Plan will remain in effect in its current form. However, there will be insufficient shares remaining available under the 2019 Plan to make annual awards and to provide grants to new hires in the coming years. In this event, the Compensation Committee would be required to revise its compensation philosophy and formulate other cash-based programs to attract, retain, and compensate our employees, non-employee directors and consultants and advisors.</w:t>
      </w:r>
    </w:p>
    <w:p>
      <w:pPr>
        <w:spacing w:after="0" w:line="39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70</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167640</wp:posOffset>
            </wp:positionV>
            <wp:extent cx="683196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right="519"/>
        <w:spacing w:after="0" w:line="237" w:lineRule="auto"/>
        <w:rPr>
          <w:sz w:val="20"/>
          <w:szCs w:val="20"/>
          <w:color w:val="auto"/>
        </w:rPr>
      </w:pPr>
      <w:r>
        <w:rPr>
          <w:rFonts w:ascii="Arial" w:cs="Arial" w:eastAsia="Arial" w:hAnsi="Arial"/>
          <w:sz w:val="18"/>
          <w:szCs w:val="18"/>
          <w:color w:val="auto"/>
        </w:rPr>
        <w:t xml:space="preserve">The Board believes that the future success of the Company depends, in large part, upon its ability to maintain a competitive position in attracting, retraining and motivating key persons. </w:t>
      </w:r>
      <w:r>
        <w:rPr>
          <w:rFonts w:ascii="Arial" w:cs="Arial" w:eastAsia="Arial" w:hAnsi="Arial"/>
          <w:sz w:val="18"/>
          <w:szCs w:val="18"/>
          <w:b w:val="1"/>
          <w:bCs w:val="1"/>
          <w:color w:val="auto"/>
        </w:rPr>
        <w:t>Accordingly, the</w:t>
      </w:r>
    </w:p>
    <w:p>
      <w:pPr>
        <w:spacing w:after="0" w:line="1" w:lineRule="exact"/>
        <w:rPr>
          <w:sz w:val="20"/>
          <w:szCs w:val="20"/>
          <w:color w:val="auto"/>
        </w:rPr>
      </w:pPr>
    </w:p>
    <w:p>
      <w:pPr>
        <w:ind w:left="920" w:right="359"/>
        <w:spacing w:after="0" w:line="260" w:lineRule="auto"/>
        <w:rPr>
          <w:sz w:val="20"/>
          <w:szCs w:val="20"/>
          <w:color w:val="auto"/>
        </w:rPr>
      </w:pPr>
      <w:r>
        <w:rPr>
          <w:rFonts w:ascii="Arial" w:cs="Arial" w:eastAsia="Arial" w:hAnsi="Arial"/>
          <w:sz w:val="18"/>
          <w:szCs w:val="18"/>
          <w:b w:val="1"/>
          <w:bCs w:val="1"/>
          <w:color w:val="auto"/>
        </w:rPr>
        <w:t>Board believes the adoption of the New Plan is in the best interests of the Company and its stockholders and recommends a vote “FOR” the approval of the New Plan.</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Highlights of the New Plan</w:t>
      </w:r>
    </w:p>
    <w:p>
      <w:pPr>
        <w:spacing w:after="0" w:line="178"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3200" w:type="dxa"/>
            <w:vAlign w:val="bottom"/>
            <w:tcBorders>
              <w:top w:val="single" w:sz="8" w:color="62259D"/>
            </w:tcBorders>
          </w:tcPr>
          <w:p>
            <w:pPr>
              <w:spacing w:after="0" w:line="228"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xml:space="preserve"> No Evergreen Provision</w:t>
            </w:r>
          </w:p>
        </w:tc>
        <w:tc>
          <w:tcPr>
            <w:tcW w:w="5660" w:type="dxa"/>
            <w:vAlign w:val="bottom"/>
            <w:tcBorders>
              <w:top w:val="single" w:sz="8" w:color="62259D"/>
            </w:tcBorders>
          </w:tcPr>
          <w:p>
            <w:pPr>
              <w:ind w:left="1120"/>
              <w:spacing w:after="0" w:line="228"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 Shares authorized for issuance under the New Plan are </w:t>
            </w:r>
            <w:r>
              <w:rPr>
                <w:rFonts w:ascii="Arial" w:cs="Arial" w:eastAsia="Arial" w:hAnsi="Arial"/>
                <w:sz w:val="26"/>
                <w:szCs w:val="26"/>
                <w:color w:val="auto"/>
                <w:vertAlign w:val="superscript"/>
              </w:rPr>
              <w:t>​</w:t>
            </w:r>
          </w:p>
        </w:tc>
      </w:tr>
      <w:tr>
        <w:trPr>
          <w:trHeight w:val="224"/>
        </w:trPr>
        <w:tc>
          <w:tcPr>
            <w:tcW w:w="3200" w:type="dxa"/>
            <w:vAlign w:val="bottom"/>
            <w:tcBorders>
              <w:bottom w:val="single" w:sz="8" w:color="E7417A"/>
            </w:tcBorders>
          </w:tcPr>
          <w:p>
            <w:pPr>
              <w:spacing w:after="0"/>
              <w:rPr>
                <w:sz w:val="19"/>
                <w:szCs w:val="19"/>
                <w:color w:val="auto"/>
              </w:rPr>
            </w:pPr>
          </w:p>
        </w:tc>
        <w:tc>
          <w:tcPr>
            <w:tcW w:w="5660" w:type="dxa"/>
            <w:vAlign w:val="bottom"/>
            <w:tcBorders>
              <w:bottom w:val="single" w:sz="8" w:color="E7417A"/>
            </w:tcBorders>
          </w:tcPr>
          <w:p>
            <w:pPr>
              <w:ind w:left="1340"/>
              <w:spacing w:after="0"/>
              <w:rPr>
                <w:sz w:val="20"/>
                <w:szCs w:val="20"/>
                <w:color w:val="auto"/>
              </w:rPr>
            </w:pPr>
            <w:r>
              <w:rPr>
                <w:rFonts w:ascii="Arial" w:cs="Arial" w:eastAsia="Arial" w:hAnsi="Arial"/>
                <w:sz w:val="16"/>
                <w:szCs w:val="16"/>
                <w:color w:val="auto"/>
              </w:rPr>
              <w:t>not automatically replenished.</w:t>
            </w:r>
          </w:p>
        </w:tc>
      </w:tr>
      <w:tr>
        <w:trPr>
          <w:trHeight w:val="202"/>
        </w:trPr>
        <w:tc>
          <w:tcPr>
            <w:tcW w:w="3200" w:type="dxa"/>
            <w:vAlign w:val="bottom"/>
          </w:tcPr>
          <w:p>
            <w:pPr>
              <w:spacing w:after="0"/>
              <w:rPr>
                <w:sz w:val="20"/>
                <w:szCs w:val="20"/>
                <w:color w:val="auto"/>
              </w:rPr>
            </w:pPr>
            <w:r>
              <w:rPr>
                <w:rFonts w:ascii="Arial" w:cs="Arial" w:eastAsia="Arial" w:hAnsi="Arial"/>
                <w:sz w:val="16"/>
                <w:szCs w:val="16"/>
                <w:color w:val="auto"/>
              </w:rPr>
              <w:t>​ No Liberal Share Counting</w:t>
            </w:r>
          </w:p>
        </w:tc>
        <w:tc>
          <w:tcPr>
            <w:tcW w:w="5660" w:type="dxa"/>
            <w:vAlign w:val="bottom"/>
          </w:tcPr>
          <w:p>
            <w:pPr>
              <w:ind w:left="1120"/>
              <w:spacing w:after="0"/>
              <w:rPr>
                <w:sz w:val="20"/>
                <w:szCs w:val="20"/>
                <w:color w:val="auto"/>
              </w:rPr>
            </w:pPr>
            <w:r>
              <w:rPr>
                <w:rFonts w:ascii="Arial" w:cs="Arial" w:eastAsia="Arial" w:hAnsi="Arial"/>
                <w:sz w:val="16"/>
                <w:szCs w:val="16"/>
                <w:color w:val="auto"/>
              </w:rPr>
              <w:t>​ ​ The New Plan prohibits the re-use of shares withheld or ​</w:t>
            </w:r>
          </w:p>
        </w:tc>
      </w:tr>
      <w:tr>
        <w:trPr>
          <w:trHeight w:val="189"/>
        </w:trPr>
        <w:tc>
          <w:tcPr>
            <w:tcW w:w="3200" w:type="dxa"/>
            <w:vAlign w:val="bottom"/>
          </w:tcPr>
          <w:p>
            <w:pPr>
              <w:spacing w:after="0"/>
              <w:rPr>
                <w:sz w:val="16"/>
                <w:szCs w:val="16"/>
                <w:color w:val="auto"/>
              </w:rPr>
            </w:pPr>
          </w:p>
        </w:tc>
        <w:tc>
          <w:tcPr>
            <w:tcW w:w="5660" w:type="dxa"/>
            <w:vAlign w:val="bottom"/>
          </w:tcPr>
          <w:p>
            <w:pPr>
              <w:ind w:left="1340"/>
              <w:spacing w:after="0"/>
              <w:rPr>
                <w:sz w:val="20"/>
                <w:szCs w:val="20"/>
                <w:color w:val="auto"/>
              </w:rPr>
            </w:pPr>
            <w:r>
              <w:rPr>
                <w:rFonts w:ascii="Arial" w:cs="Arial" w:eastAsia="Arial" w:hAnsi="Arial"/>
                <w:sz w:val="16"/>
                <w:szCs w:val="16"/>
                <w:color w:val="auto"/>
              </w:rPr>
              <w:t>delivered to satisfy the exercise price of stock options or</w:t>
            </w:r>
          </w:p>
        </w:tc>
      </w:tr>
      <w:tr>
        <w:trPr>
          <w:trHeight w:val="189"/>
        </w:trPr>
        <w:tc>
          <w:tcPr>
            <w:tcW w:w="3200" w:type="dxa"/>
            <w:vAlign w:val="bottom"/>
          </w:tcPr>
          <w:p>
            <w:pPr>
              <w:spacing w:after="0"/>
              <w:rPr>
                <w:sz w:val="16"/>
                <w:szCs w:val="16"/>
                <w:color w:val="auto"/>
              </w:rPr>
            </w:pPr>
          </w:p>
        </w:tc>
        <w:tc>
          <w:tcPr>
            <w:tcW w:w="5660" w:type="dxa"/>
            <w:vAlign w:val="bottom"/>
          </w:tcPr>
          <w:p>
            <w:pPr>
              <w:ind w:left="1340"/>
              <w:spacing w:after="0"/>
              <w:rPr>
                <w:sz w:val="20"/>
                <w:szCs w:val="20"/>
                <w:color w:val="auto"/>
              </w:rPr>
            </w:pPr>
            <w:r>
              <w:rPr>
                <w:rFonts w:ascii="Arial" w:cs="Arial" w:eastAsia="Arial" w:hAnsi="Arial"/>
                <w:sz w:val="16"/>
                <w:szCs w:val="16"/>
                <w:color w:val="auto"/>
              </w:rPr>
              <w:t>to satisfy tax withholding requirements with respect to</w:t>
            </w:r>
          </w:p>
        </w:tc>
      </w:tr>
      <w:tr>
        <w:trPr>
          <w:trHeight w:val="215"/>
        </w:trPr>
        <w:tc>
          <w:tcPr>
            <w:tcW w:w="3200" w:type="dxa"/>
            <w:vAlign w:val="bottom"/>
          </w:tcPr>
          <w:p>
            <w:pPr>
              <w:spacing w:after="0"/>
              <w:rPr>
                <w:sz w:val="18"/>
                <w:szCs w:val="18"/>
                <w:color w:val="auto"/>
              </w:rPr>
            </w:pPr>
          </w:p>
        </w:tc>
        <w:tc>
          <w:tcPr>
            <w:tcW w:w="5660" w:type="dxa"/>
            <w:vAlign w:val="bottom"/>
          </w:tcPr>
          <w:p>
            <w:pPr>
              <w:ind w:left="1340"/>
              <w:spacing w:after="0"/>
              <w:rPr>
                <w:sz w:val="20"/>
                <w:szCs w:val="20"/>
                <w:color w:val="auto"/>
              </w:rPr>
            </w:pPr>
            <w:r>
              <w:rPr>
                <w:rFonts w:ascii="Arial" w:cs="Arial" w:eastAsia="Arial" w:hAnsi="Arial"/>
                <w:sz w:val="16"/>
                <w:szCs w:val="16"/>
                <w:color w:val="auto"/>
              </w:rPr>
              <w:t>any award.</w:t>
            </w:r>
          </w:p>
        </w:tc>
      </w:tr>
    </w:tbl>
    <w:p>
      <w:pPr>
        <w:spacing w:after="0" w:line="15"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7" w:lineRule="exact"/>
        <w:rPr>
          <w:sz w:val="20"/>
          <w:szCs w:val="20"/>
          <w:color w:val="auto"/>
        </w:rPr>
      </w:pPr>
    </w:p>
    <w:p>
      <w:pPr>
        <w:ind w:left="1040" w:hanging="116"/>
        <w:spacing w:after="0" w:line="286" w:lineRule="auto"/>
        <w:tabs>
          <w:tab w:leader="none" w:pos="10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No Repricing of Stock Options or Stock Appreciation Rights Without Stockholder Approval</w:t>
      </w:r>
    </w:p>
    <w:p>
      <w:pPr>
        <w:spacing w:after="0" w:line="20" w:lineRule="exact"/>
        <w:rPr>
          <w:sz w:val="20"/>
          <w:szCs w:val="20"/>
          <w:color w:val="auto"/>
        </w:rPr>
      </w:pPr>
      <w:r>
        <w:rPr>
          <w:sz w:val="20"/>
          <w:szCs w:val="20"/>
          <w:color w:val="auto"/>
        </w:rPr>
        <w:br w:type="column"/>
      </w:r>
    </w:p>
    <w:p>
      <w:pPr>
        <w:ind w:right="159" w:hanging="215"/>
        <w:spacing w:after="0" w:line="264" w:lineRule="auto"/>
        <w:rPr>
          <w:sz w:val="20"/>
          <w:szCs w:val="20"/>
          <w:color w:val="auto"/>
        </w:rPr>
      </w:pPr>
      <w:r>
        <w:rPr>
          <w:rFonts w:ascii="Arial" w:cs="Arial" w:eastAsia="Arial" w:hAnsi="Arial"/>
          <w:sz w:val="16"/>
          <w:szCs w:val="16"/>
          <w:color w:val="auto"/>
        </w:rPr>
        <w:t>​ ​ The New Plan prohibits the direct or indirect repricing of ​ stock options or stock appreciation rights (“SARs”) without stockholder approval, including a prohibition on the exchange of “underwater” stock options or SARs for a cash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-2880995</wp:posOffset>
            </wp:positionH>
            <wp:positionV relativeFrom="paragraph">
              <wp:posOffset>-641350</wp:posOffset>
            </wp:positionV>
            <wp:extent cx="562356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940" w:space="520"/>
            <w:col w:w="4419"/>
          </w:cols>
          <w:pgMar w:left="580" w:top="97" w:right="1440" w:bottom="1440" w:gutter="0" w:footer="0" w:header="0"/>
          <w:type w:val="continuous"/>
        </w:sectPr>
      </w:pPr>
    </w:p>
    <w:p>
      <w:pPr>
        <w:spacing w:after="0" w:line="27" w:lineRule="exact"/>
        <w:rPr>
          <w:sz w:val="20"/>
          <w:szCs w:val="20"/>
          <w:color w:val="auto"/>
        </w:rPr>
      </w:pPr>
    </w:p>
    <w:p>
      <w:pPr>
        <w:ind w:left="1040" w:hanging="116"/>
        <w:spacing w:after="0" w:line="286" w:lineRule="auto"/>
        <w:tabs>
          <w:tab w:leader="none" w:pos="10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No Discounted Stock Options or Stock Appreciation Rights</w:t>
      </w:r>
    </w:p>
    <w:p>
      <w:pPr>
        <w:spacing w:after="0" w:line="20" w:lineRule="exact"/>
        <w:rPr>
          <w:sz w:val="20"/>
          <w:szCs w:val="20"/>
          <w:color w:val="auto"/>
        </w:rPr>
      </w:pPr>
      <w:r>
        <w:rPr>
          <w:sz w:val="20"/>
          <w:szCs w:val="20"/>
          <w:color w:val="auto"/>
        </w:rPr>
        <w:br w:type="column"/>
      </w:r>
    </w:p>
    <w:p>
      <w:pPr>
        <w:ind w:right="159" w:hanging="215"/>
        <w:spacing w:after="0" w:line="270" w:lineRule="auto"/>
        <w:rPr>
          <w:sz w:val="20"/>
          <w:szCs w:val="20"/>
          <w:color w:val="auto"/>
        </w:rPr>
      </w:pPr>
      <w:r>
        <w:rPr>
          <w:rFonts w:ascii="Arial" w:cs="Arial" w:eastAsia="Arial" w:hAnsi="Arial"/>
          <w:sz w:val="16"/>
          <w:szCs w:val="16"/>
          <w:color w:val="auto"/>
        </w:rPr>
        <w:t>​ ​ Stock options and SARs (other than substitute awards) ​ must have an exercise price equal to or greater than the fair market value of the underlying shares of common stock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-2880995</wp:posOffset>
            </wp:positionH>
            <wp:positionV relativeFrom="paragraph">
              <wp:posOffset>-524510</wp:posOffset>
            </wp:positionV>
            <wp:extent cx="562356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880" w:space="580"/>
            <w:col w:w="4419"/>
          </w:cols>
          <w:pgMar w:left="580" w:top="97" w:right="1440" w:bottom="1440" w:gutter="0" w:footer="0" w:header="0"/>
          <w:type w:val="continuous"/>
        </w:sectPr>
      </w:pPr>
    </w:p>
    <w:tbl>
      <w:tblPr>
        <w:tblLayout w:type="fixed"/>
        <w:tblInd w:w="920" w:type="dxa"/>
        <w:tblCellMar>
          <w:top w:w="0" w:type="dxa"/>
          <w:left w:w="0" w:type="dxa"/>
          <w:bottom w:w="0" w:type="dxa"/>
          <w:right w:w="0" w:type="dxa"/>
        </w:tblCellMar>
      </w:tblPr>
      <w:tr>
        <w:trPr>
          <w:trHeight w:val="192"/>
        </w:trPr>
        <w:tc>
          <w:tcPr>
            <w:tcW w:w="3920" w:type="dxa"/>
            <w:vAlign w:val="bottom"/>
            <w:tcBorders>
              <w:top w:val="single" w:sz="8" w:color="E7417A"/>
            </w:tcBorders>
          </w:tcPr>
          <w:p>
            <w:pPr>
              <w:spacing w:after="0"/>
              <w:rPr>
                <w:sz w:val="20"/>
                <w:szCs w:val="20"/>
                <w:color w:val="auto"/>
              </w:rPr>
            </w:pPr>
            <w:r>
              <w:rPr>
                <w:rFonts w:ascii="Arial" w:cs="Arial" w:eastAsia="Arial" w:hAnsi="Arial"/>
                <w:sz w:val="16"/>
                <w:szCs w:val="16"/>
                <w:color w:val="auto"/>
              </w:rPr>
              <w:t>​ Minimum One-Year Vesting Period on Awards</w:t>
            </w:r>
          </w:p>
        </w:tc>
        <w:tc>
          <w:tcPr>
            <w:tcW w:w="4940" w:type="dxa"/>
            <w:vAlign w:val="bottom"/>
            <w:tcBorders>
              <w:top w:val="single" w:sz="8" w:color="E7417A"/>
            </w:tcBorders>
          </w:tcPr>
          <w:p>
            <w:pPr>
              <w:ind w:left="400"/>
              <w:spacing w:after="0"/>
              <w:rPr>
                <w:sz w:val="20"/>
                <w:szCs w:val="20"/>
                <w:color w:val="auto"/>
              </w:rPr>
            </w:pPr>
            <w:r>
              <w:rPr>
                <w:rFonts w:ascii="Arial" w:cs="Arial" w:eastAsia="Arial" w:hAnsi="Arial"/>
                <w:sz w:val="16"/>
                <w:szCs w:val="16"/>
                <w:color w:val="auto"/>
              </w:rPr>
              <w:t>​ ​ Awards under the New Plan are subject to a minimum   ​</w:t>
            </w:r>
          </w:p>
        </w:tc>
      </w:tr>
      <w:tr>
        <w:trPr>
          <w:trHeight w:val="189"/>
        </w:trPr>
        <w:tc>
          <w:tcPr>
            <w:tcW w:w="3920" w:type="dxa"/>
            <w:vAlign w:val="bottom"/>
          </w:tcPr>
          <w:p>
            <w:pPr>
              <w:spacing w:after="0"/>
              <w:rPr>
                <w:sz w:val="16"/>
                <w:szCs w:val="16"/>
                <w:color w:val="auto"/>
              </w:rPr>
            </w:pPr>
          </w:p>
        </w:tc>
        <w:tc>
          <w:tcPr>
            <w:tcW w:w="4940" w:type="dxa"/>
            <w:vAlign w:val="bottom"/>
          </w:tcPr>
          <w:p>
            <w:pPr>
              <w:ind w:left="620"/>
              <w:spacing w:after="0"/>
              <w:rPr>
                <w:sz w:val="20"/>
                <w:szCs w:val="20"/>
                <w:color w:val="auto"/>
              </w:rPr>
            </w:pPr>
            <w:r>
              <w:rPr>
                <w:rFonts w:ascii="Arial" w:cs="Arial" w:eastAsia="Arial" w:hAnsi="Arial"/>
                <w:sz w:val="16"/>
                <w:szCs w:val="16"/>
                <w:color w:val="auto"/>
              </w:rPr>
              <w:t>vesting period of one year, except for certain limited</w:t>
            </w:r>
          </w:p>
        </w:tc>
      </w:tr>
      <w:tr>
        <w:trPr>
          <w:trHeight w:val="189"/>
        </w:trPr>
        <w:tc>
          <w:tcPr>
            <w:tcW w:w="3920" w:type="dxa"/>
            <w:vAlign w:val="bottom"/>
          </w:tcPr>
          <w:p>
            <w:pPr>
              <w:spacing w:after="0"/>
              <w:rPr>
                <w:sz w:val="16"/>
                <w:szCs w:val="16"/>
                <w:color w:val="auto"/>
              </w:rPr>
            </w:pPr>
          </w:p>
        </w:tc>
        <w:tc>
          <w:tcPr>
            <w:tcW w:w="4940" w:type="dxa"/>
            <w:vAlign w:val="bottom"/>
          </w:tcPr>
          <w:p>
            <w:pPr>
              <w:ind w:left="620"/>
              <w:spacing w:after="0"/>
              <w:rPr>
                <w:sz w:val="20"/>
                <w:szCs w:val="20"/>
                <w:color w:val="auto"/>
              </w:rPr>
            </w:pPr>
            <w:r>
              <w:rPr>
                <w:rFonts w:ascii="Arial" w:cs="Arial" w:eastAsia="Arial" w:hAnsi="Arial"/>
                <w:sz w:val="16"/>
                <w:szCs w:val="16"/>
                <w:color w:val="auto"/>
              </w:rPr>
              <w:t>exceptions and awards granted with respect to 5% of</w:t>
            </w:r>
          </w:p>
        </w:tc>
      </w:tr>
      <w:tr>
        <w:trPr>
          <w:trHeight w:val="189"/>
        </w:trPr>
        <w:tc>
          <w:tcPr>
            <w:tcW w:w="3920" w:type="dxa"/>
            <w:vAlign w:val="bottom"/>
          </w:tcPr>
          <w:p>
            <w:pPr>
              <w:spacing w:after="0"/>
              <w:rPr>
                <w:sz w:val="16"/>
                <w:szCs w:val="16"/>
                <w:color w:val="auto"/>
              </w:rPr>
            </w:pPr>
          </w:p>
        </w:tc>
        <w:tc>
          <w:tcPr>
            <w:tcW w:w="4940" w:type="dxa"/>
            <w:vAlign w:val="bottom"/>
          </w:tcPr>
          <w:p>
            <w:pPr>
              <w:ind w:left="620"/>
              <w:spacing w:after="0"/>
              <w:rPr>
                <w:sz w:val="20"/>
                <w:szCs w:val="20"/>
                <w:color w:val="auto"/>
              </w:rPr>
            </w:pPr>
            <w:r>
              <w:rPr>
                <w:rFonts w:ascii="Arial" w:cs="Arial" w:eastAsia="Arial" w:hAnsi="Arial"/>
                <w:sz w:val="16"/>
                <w:szCs w:val="16"/>
                <w:color w:val="auto"/>
              </w:rPr>
              <w:t>the maximum number of authorized shares under the</w:t>
            </w:r>
          </w:p>
        </w:tc>
      </w:tr>
      <w:tr>
        <w:trPr>
          <w:trHeight w:val="215"/>
        </w:trPr>
        <w:tc>
          <w:tcPr>
            <w:tcW w:w="3920" w:type="dxa"/>
            <w:vAlign w:val="bottom"/>
          </w:tcPr>
          <w:p>
            <w:pPr>
              <w:spacing w:after="0"/>
              <w:rPr>
                <w:sz w:val="18"/>
                <w:szCs w:val="18"/>
                <w:color w:val="auto"/>
              </w:rPr>
            </w:pPr>
          </w:p>
        </w:tc>
        <w:tc>
          <w:tcPr>
            <w:tcW w:w="4940" w:type="dxa"/>
            <w:vAlign w:val="bottom"/>
          </w:tcPr>
          <w:p>
            <w:pPr>
              <w:ind w:left="620"/>
              <w:spacing w:after="0"/>
              <w:rPr>
                <w:sz w:val="20"/>
                <w:szCs w:val="20"/>
                <w:color w:val="auto"/>
              </w:rPr>
            </w:pPr>
            <w:r>
              <w:rPr>
                <w:rFonts w:ascii="Arial" w:cs="Arial" w:eastAsia="Arial" w:hAnsi="Arial"/>
                <w:sz w:val="16"/>
                <w:szCs w:val="16"/>
                <w:color w:val="auto"/>
              </w:rPr>
              <w:t>New Plan.</w:t>
            </w:r>
          </w:p>
        </w:tc>
      </w:tr>
    </w:tbl>
    <w:p>
      <w:pPr>
        <w:spacing w:after="0" w:line="15"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27" w:lineRule="exact"/>
        <w:rPr>
          <w:sz w:val="20"/>
          <w:szCs w:val="20"/>
          <w:color w:val="auto"/>
        </w:rPr>
      </w:pPr>
    </w:p>
    <w:p>
      <w:pPr>
        <w:ind w:left="1040" w:hanging="116"/>
        <w:spacing w:after="0" w:line="286" w:lineRule="auto"/>
        <w:tabs>
          <w:tab w:leader="none" w:pos="10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Awards Subject to Stock Retention and Forfeiture/​ Clawback Policies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20"/>
                <w:szCs w:val="20"/>
                <w:color w:val="auto"/>
              </w:rPr>
            </w:pPr>
            <w:r>
              <w:rPr>
                <w:rFonts w:ascii="Arial" w:cs="Arial" w:eastAsia="Arial" w:hAnsi="Arial"/>
                <w:sz w:val="16"/>
                <w:szCs w:val="16"/>
                <w:color w:val="auto"/>
              </w:rPr>
              <w:t>​ ​ Awards granted under the New Plan and payments</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189"/>
        </w:trPr>
        <w:tc>
          <w:tcPr>
            <w:tcW w:w="4380" w:type="dxa"/>
            <w:vAlign w:val="bottom"/>
          </w:tcPr>
          <w:p>
            <w:pPr>
              <w:ind w:left="220"/>
              <w:spacing w:after="0"/>
              <w:rPr>
                <w:sz w:val="20"/>
                <w:szCs w:val="20"/>
                <w:color w:val="auto"/>
              </w:rPr>
            </w:pPr>
            <w:r>
              <w:rPr>
                <w:rFonts w:ascii="Arial" w:cs="Arial" w:eastAsia="Arial" w:hAnsi="Arial"/>
                <w:sz w:val="16"/>
                <w:szCs w:val="16"/>
                <w:color w:val="auto"/>
              </w:rPr>
              <w:t>made thereunder are subject to our stock retention and</w:t>
            </w:r>
          </w:p>
        </w:tc>
        <w:tc>
          <w:tcPr>
            <w:tcW w:w="100" w:type="dxa"/>
            <w:vAlign w:val="bottom"/>
          </w:tcPr>
          <w:p>
            <w:pPr>
              <w:spacing w:after="0"/>
              <w:rPr>
                <w:sz w:val="16"/>
                <w:szCs w:val="16"/>
                <w:color w:val="auto"/>
              </w:rPr>
            </w:pPr>
          </w:p>
        </w:tc>
      </w:tr>
      <w:tr>
        <w:trPr>
          <w:trHeight w:val="215"/>
        </w:trPr>
        <w:tc>
          <w:tcPr>
            <w:tcW w:w="4380" w:type="dxa"/>
            <w:vAlign w:val="bottom"/>
          </w:tcPr>
          <w:p>
            <w:pPr>
              <w:ind w:left="220"/>
              <w:spacing w:after="0"/>
              <w:rPr>
                <w:sz w:val="20"/>
                <w:szCs w:val="20"/>
                <w:color w:val="auto"/>
              </w:rPr>
            </w:pPr>
            <w:r>
              <w:rPr>
                <w:rFonts w:ascii="Arial" w:cs="Arial" w:eastAsia="Arial" w:hAnsi="Arial"/>
                <w:sz w:val="16"/>
                <w:szCs w:val="16"/>
                <w:color w:val="auto"/>
              </w:rPr>
              <w:t>clawback policies.</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-392430</wp:posOffset>
            </wp:positionV>
            <wp:extent cx="562356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5" w:lineRule="exact"/>
        <w:rPr>
          <w:sz w:val="20"/>
          <w:szCs w:val="20"/>
          <w:color w:val="auto"/>
        </w:rPr>
      </w:pPr>
    </w:p>
    <w:p>
      <w:pPr>
        <w:sectPr>
          <w:pgSz w:w="11900" w:h="16838" w:orient="portrait"/>
          <w:cols w:equalWidth="0" w:num="2">
            <w:col w:w="4820" w:space="420"/>
            <w:col w:w="4639"/>
          </w:cols>
          <w:pgMar w:left="580" w:top="97" w:right="1440" w:bottom="1440" w:gutter="0" w:footer="0" w:header="0"/>
          <w:type w:val="continuous"/>
        </w:sectPr>
      </w:pPr>
    </w:p>
    <w:p>
      <w:pPr>
        <w:spacing w:after="0" w:line="27" w:lineRule="exact"/>
        <w:rPr>
          <w:sz w:val="20"/>
          <w:szCs w:val="20"/>
          <w:color w:val="auto"/>
        </w:rPr>
      </w:pPr>
    </w:p>
    <w:p>
      <w:pPr>
        <w:ind w:left="1040" w:hanging="116"/>
        <w:spacing w:after="0" w:line="286" w:lineRule="auto"/>
        <w:tabs>
          <w:tab w:leader="none" w:pos="10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No Dividends or Dividend Equivalents Payable on Unvested Awards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 ​ No participant will be paid dividends or dividend</w:t>
            </w:r>
          </w:p>
        </w:tc>
        <w:tc>
          <w:tcPr>
            <w:tcW w:w="140" w:type="dxa"/>
            <w:vAlign w:val="bottom"/>
          </w:tcPr>
          <w:p>
            <w:pPr>
              <w:ind w:left="100"/>
              <w:spacing w:after="0"/>
              <w:rPr>
                <w:sz w:val="20"/>
                <w:szCs w:val="20"/>
                <w:color w:val="auto"/>
              </w:rPr>
            </w:pPr>
            <w:r>
              <w:rPr>
                <w:rFonts w:ascii="Arial" w:cs="Arial" w:eastAsia="Arial" w:hAnsi="Arial"/>
                <w:sz w:val="16"/>
                <w:szCs w:val="16"/>
                <w:color w:val="auto"/>
              </w:rPr>
              <w:t>​</w:t>
            </w:r>
          </w:p>
        </w:tc>
      </w:tr>
      <w:tr>
        <w:trPr>
          <w:trHeight w:val="189"/>
        </w:trPr>
        <w:tc>
          <w:tcPr>
            <w:tcW w:w="4340" w:type="dxa"/>
            <w:vAlign w:val="bottom"/>
          </w:tcPr>
          <w:p>
            <w:pPr>
              <w:ind w:left="220"/>
              <w:spacing w:after="0"/>
              <w:rPr>
                <w:sz w:val="20"/>
                <w:szCs w:val="20"/>
                <w:color w:val="auto"/>
              </w:rPr>
            </w:pPr>
            <w:r>
              <w:rPr>
                <w:rFonts w:ascii="Arial" w:cs="Arial" w:eastAsia="Arial" w:hAnsi="Arial"/>
                <w:sz w:val="16"/>
                <w:szCs w:val="16"/>
                <w:color w:val="auto"/>
              </w:rPr>
              <w:t>equivalents with respect to any award unless and until</w:t>
            </w:r>
          </w:p>
        </w:tc>
        <w:tc>
          <w:tcPr>
            <w:tcW w:w="140" w:type="dxa"/>
            <w:vAlign w:val="bottom"/>
          </w:tcPr>
          <w:p>
            <w:pPr>
              <w:spacing w:after="0"/>
              <w:rPr>
                <w:sz w:val="16"/>
                <w:szCs w:val="16"/>
                <w:color w:val="auto"/>
              </w:rPr>
            </w:pPr>
          </w:p>
        </w:tc>
      </w:tr>
      <w:tr>
        <w:trPr>
          <w:trHeight w:val="215"/>
        </w:trPr>
        <w:tc>
          <w:tcPr>
            <w:tcW w:w="4340" w:type="dxa"/>
            <w:vAlign w:val="bottom"/>
          </w:tcPr>
          <w:p>
            <w:pPr>
              <w:ind w:left="220"/>
              <w:spacing w:after="0"/>
              <w:rPr>
                <w:sz w:val="20"/>
                <w:szCs w:val="20"/>
                <w:color w:val="auto"/>
              </w:rPr>
            </w:pPr>
            <w:r>
              <w:rPr>
                <w:rFonts w:ascii="Arial" w:cs="Arial" w:eastAsia="Arial" w:hAnsi="Arial"/>
                <w:sz w:val="16"/>
                <w:szCs w:val="16"/>
                <w:color w:val="auto"/>
              </w:rPr>
              <w:t>the applicable vesting conditions have been satisfied.</w:t>
            </w: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-392430</wp:posOffset>
            </wp:positionV>
            <wp:extent cx="562356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740" w:space="500"/>
            <w:col w:w="4639"/>
          </w:cols>
          <w:pgMar w:left="580" w:top="97" w:right="1440" w:bottom="1440" w:gutter="0" w:footer="0" w:header="0"/>
          <w:type w:val="continuous"/>
        </w:sectPr>
      </w:pPr>
    </w:p>
    <w:tbl>
      <w:tblPr>
        <w:tblLayout w:type="fixed"/>
        <w:tblInd w:w="920" w:type="dxa"/>
        <w:tblCellMar>
          <w:top w:w="0" w:type="dxa"/>
          <w:left w:w="0" w:type="dxa"/>
          <w:bottom w:w="0" w:type="dxa"/>
          <w:right w:w="0" w:type="dxa"/>
        </w:tblCellMar>
      </w:tblPr>
      <w:tr>
        <w:trPr>
          <w:trHeight w:val="211"/>
        </w:trPr>
        <w:tc>
          <w:tcPr>
            <w:tcW w:w="4180" w:type="dxa"/>
            <w:vAlign w:val="bottom"/>
            <w:tcBorders>
              <w:top w:val="single" w:sz="8" w:color="E7417A"/>
            </w:tcBorders>
          </w:tcPr>
          <w:p>
            <w:pPr>
              <w:spacing w:after="0"/>
              <w:rPr>
                <w:sz w:val="20"/>
                <w:szCs w:val="20"/>
                <w:color w:val="auto"/>
              </w:rPr>
            </w:pPr>
            <w:r>
              <w:rPr>
                <w:rFonts w:ascii="Arial" w:cs="Arial" w:eastAsia="Arial" w:hAnsi="Arial"/>
                <w:sz w:val="16"/>
                <w:szCs w:val="16"/>
                <w:color w:val="auto"/>
              </w:rPr>
              <w:t>​ No “Liberal” Change in Control Definition</w:t>
            </w:r>
          </w:p>
        </w:tc>
        <w:tc>
          <w:tcPr>
            <w:tcW w:w="4520" w:type="dxa"/>
            <w:vAlign w:val="bottom"/>
            <w:tcBorders>
              <w:top w:val="single" w:sz="8" w:color="E7417A"/>
            </w:tcBorders>
          </w:tcPr>
          <w:p>
            <w:pPr>
              <w:ind w:left="140"/>
              <w:spacing w:after="0"/>
              <w:rPr>
                <w:sz w:val="20"/>
                <w:szCs w:val="20"/>
                <w:color w:val="auto"/>
              </w:rPr>
            </w:pPr>
            <w:r>
              <w:rPr>
                <w:rFonts w:ascii="Arial" w:cs="Arial" w:eastAsia="Arial" w:hAnsi="Arial"/>
                <w:sz w:val="16"/>
                <w:szCs w:val="16"/>
                <w:color w:val="auto"/>
              </w:rPr>
              <w:t>​ ​ The change in control definition in the New Plan is not</w:t>
            </w:r>
          </w:p>
        </w:tc>
        <w:tc>
          <w:tcPr>
            <w:tcW w:w="160" w:type="dxa"/>
            <w:vAlign w:val="bottom"/>
            <w:tcBorders>
              <w:top w:val="single" w:sz="8" w:color="E7417A"/>
            </w:tcBorders>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180" w:type="dxa"/>
            <w:vAlign w:val="bottom"/>
          </w:tcPr>
          <w:p>
            <w:pPr>
              <w:spacing w:after="0"/>
              <w:rPr>
                <w:sz w:val="16"/>
                <w:szCs w:val="16"/>
                <w:color w:val="auto"/>
              </w:rPr>
            </w:pPr>
          </w:p>
        </w:tc>
        <w:tc>
          <w:tcPr>
            <w:tcW w:w="4520" w:type="dxa"/>
            <w:vAlign w:val="bottom"/>
          </w:tcPr>
          <w:p>
            <w:pPr>
              <w:ind w:left="360"/>
              <w:spacing w:after="0"/>
              <w:rPr>
                <w:sz w:val="20"/>
                <w:szCs w:val="20"/>
                <w:color w:val="auto"/>
              </w:rPr>
            </w:pPr>
            <w:r>
              <w:rPr>
                <w:rFonts w:ascii="Arial" w:cs="Arial" w:eastAsia="Arial" w:hAnsi="Arial"/>
                <w:sz w:val="16"/>
                <w:szCs w:val="16"/>
                <w:color w:val="auto"/>
              </w:rPr>
              <w:t>“liberal” and, for example, would not occur merely upon</w:t>
            </w:r>
          </w:p>
        </w:tc>
        <w:tc>
          <w:tcPr>
            <w:tcW w:w="160" w:type="dxa"/>
            <w:vAlign w:val="bottom"/>
          </w:tcPr>
          <w:p>
            <w:pPr>
              <w:spacing w:after="0"/>
              <w:rPr>
                <w:sz w:val="16"/>
                <w:szCs w:val="16"/>
                <w:color w:val="auto"/>
              </w:rPr>
            </w:pPr>
          </w:p>
        </w:tc>
      </w:tr>
      <w:tr>
        <w:trPr>
          <w:trHeight w:val="189"/>
        </w:trPr>
        <w:tc>
          <w:tcPr>
            <w:tcW w:w="4180" w:type="dxa"/>
            <w:vAlign w:val="bottom"/>
          </w:tcPr>
          <w:p>
            <w:pPr>
              <w:spacing w:after="0"/>
              <w:rPr>
                <w:sz w:val="16"/>
                <w:szCs w:val="16"/>
                <w:color w:val="auto"/>
              </w:rPr>
            </w:pPr>
          </w:p>
        </w:tc>
        <w:tc>
          <w:tcPr>
            <w:tcW w:w="4520" w:type="dxa"/>
            <w:vAlign w:val="bottom"/>
          </w:tcPr>
          <w:p>
            <w:pPr>
              <w:ind w:left="360"/>
              <w:spacing w:after="0"/>
              <w:rPr>
                <w:sz w:val="20"/>
                <w:szCs w:val="20"/>
                <w:color w:val="auto"/>
              </w:rPr>
            </w:pPr>
            <w:r>
              <w:rPr>
                <w:rFonts w:ascii="Arial" w:cs="Arial" w:eastAsia="Arial" w:hAnsi="Arial"/>
                <w:sz w:val="16"/>
                <w:szCs w:val="16"/>
                <w:color w:val="auto"/>
              </w:rPr>
              <w:t>stockholder approval of a transaction. A change in</w:t>
            </w:r>
          </w:p>
        </w:tc>
        <w:tc>
          <w:tcPr>
            <w:tcW w:w="160" w:type="dxa"/>
            <w:vAlign w:val="bottom"/>
          </w:tcPr>
          <w:p>
            <w:pPr>
              <w:spacing w:after="0"/>
              <w:rPr>
                <w:sz w:val="16"/>
                <w:szCs w:val="16"/>
                <w:color w:val="auto"/>
              </w:rPr>
            </w:pPr>
          </w:p>
        </w:tc>
      </w:tr>
      <w:tr>
        <w:trPr>
          <w:trHeight w:val="189"/>
        </w:trPr>
        <w:tc>
          <w:tcPr>
            <w:tcW w:w="4180" w:type="dxa"/>
            <w:vAlign w:val="bottom"/>
          </w:tcPr>
          <w:p>
            <w:pPr>
              <w:spacing w:after="0"/>
              <w:rPr>
                <w:sz w:val="16"/>
                <w:szCs w:val="16"/>
                <w:color w:val="auto"/>
              </w:rPr>
            </w:pPr>
          </w:p>
        </w:tc>
        <w:tc>
          <w:tcPr>
            <w:tcW w:w="4520" w:type="dxa"/>
            <w:vAlign w:val="bottom"/>
          </w:tcPr>
          <w:p>
            <w:pPr>
              <w:ind w:left="360"/>
              <w:spacing w:after="0"/>
              <w:rPr>
                <w:sz w:val="20"/>
                <w:szCs w:val="20"/>
                <w:color w:val="auto"/>
              </w:rPr>
            </w:pPr>
            <w:r>
              <w:rPr>
                <w:rFonts w:ascii="Arial" w:cs="Arial" w:eastAsia="Arial" w:hAnsi="Arial"/>
                <w:sz w:val="16"/>
                <w:szCs w:val="16"/>
                <w:color w:val="auto"/>
              </w:rPr>
              <w:t>control must actually occur in order for the change in</w:t>
            </w:r>
          </w:p>
        </w:tc>
        <w:tc>
          <w:tcPr>
            <w:tcW w:w="160" w:type="dxa"/>
            <w:vAlign w:val="bottom"/>
          </w:tcPr>
          <w:p>
            <w:pPr>
              <w:spacing w:after="0"/>
              <w:rPr>
                <w:sz w:val="16"/>
                <w:szCs w:val="16"/>
                <w:color w:val="auto"/>
              </w:rPr>
            </w:pPr>
          </w:p>
        </w:tc>
      </w:tr>
      <w:tr>
        <w:trPr>
          <w:trHeight w:val="224"/>
        </w:trPr>
        <w:tc>
          <w:tcPr>
            <w:tcW w:w="4180" w:type="dxa"/>
            <w:vAlign w:val="bottom"/>
            <w:tcBorders>
              <w:bottom w:val="single" w:sz="8" w:color="E7417A"/>
            </w:tcBorders>
          </w:tcPr>
          <w:p>
            <w:pPr>
              <w:spacing w:after="0"/>
              <w:rPr>
                <w:sz w:val="19"/>
                <w:szCs w:val="19"/>
                <w:color w:val="auto"/>
              </w:rPr>
            </w:pPr>
          </w:p>
        </w:tc>
        <w:tc>
          <w:tcPr>
            <w:tcW w:w="4520" w:type="dxa"/>
            <w:vAlign w:val="bottom"/>
            <w:tcBorders>
              <w:bottom w:val="single" w:sz="8" w:color="E7417A"/>
            </w:tcBorders>
          </w:tcPr>
          <w:p>
            <w:pPr>
              <w:ind w:left="360"/>
              <w:spacing w:after="0"/>
              <w:rPr>
                <w:sz w:val="20"/>
                <w:szCs w:val="20"/>
                <w:color w:val="auto"/>
              </w:rPr>
            </w:pPr>
            <w:r>
              <w:rPr>
                <w:rFonts w:ascii="Arial" w:cs="Arial" w:eastAsia="Arial" w:hAnsi="Arial"/>
                <w:sz w:val="16"/>
                <w:szCs w:val="16"/>
                <w:color w:val="auto"/>
              </w:rPr>
              <w:t>control provisions in the New Plan to be triggered.</w:t>
            </w:r>
          </w:p>
        </w:tc>
        <w:tc>
          <w:tcPr>
            <w:tcW w:w="160" w:type="dxa"/>
            <w:vAlign w:val="bottom"/>
            <w:tcBorders>
              <w:bottom w:val="single" w:sz="8" w:color="E7417A"/>
            </w:tcBorders>
          </w:tcPr>
          <w:p>
            <w:pPr>
              <w:spacing w:after="0"/>
              <w:rPr>
                <w:sz w:val="19"/>
                <w:szCs w:val="19"/>
                <w:color w:val="auto"/>
              </w:rPr>
            </w:pPr>
          </w:p>
        </w:tc>
      </w:tr>
      <w:tr>
        <w:trPr>
          <w:trHeight w:val="202"/>
        </w:trPr>
        <w:tc>
          <w:tcPr>
            <w:tcW w:w="4180" w:type="dxa"/>
            <w:vAlign w:val="bottom"/>
          </w:tcPr>
          <w:p>
            <w:pPr>
              <w:spacing w:after="0"/>
              <w:rPr>
                <w:sz w:val="20"/>
                <w:szCs w:val="20"/>
                <w:color w:val="auto"/>
              </w:rPr>
            </w:pPr>
            <w:r>
              <w:rPr>
                <w:rFonts w:ascii="Arial" w:cs="Arial" w:eastAsia="Arial" w:hAnsi="Arial"/>
                <w:sz w:val="16"/>
                <w:szCs w:val="16"/>
                <w:color w:val="auto"/>
              </w:rPr>
              <w:t>​ Administration by Independent Committee</w:t>
            </w:r>
          </w:p>
        </w:tc>
        <w:tc>
          <w:tcPr>
            <w:tcW w:w="4520" w:type="dxa"/>
            <w:vAlign w:val="bottom"/>
          </w:tcPr>
          <w:p>
            <w:pPr>
              <w:ind w:left="140"/>
              <w:spacing w:after="0"/>
              <w:rPr>
                <w:sz w:val="20"/>
                <w:szCs w:val="20"/>
                <w:color w:val="auto"/>
              </w:rPr>
            </w:pPr>
            <w:r>
              <w:rPr>
                <w:rFonts w:ascii="Arial" w:cs="Arial" w:eastAsia="Arial" w:hAnsi="Arial"/>
                <w:sz w:val="16"/>
                <w:szCs w:val="16"/>
                <w:color w:val="auto"/>
              </w:rPr>
              <w:t>​ ​ Administration of the New Plan has been delegated to</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180" w:type="dxa"/>
            <w:vAlign w:val="bottom"/>
          </w:tcPr>
          <w:p>
            <w:pPr>
              <w:spacing w:after="0"/>
              <w:rPr>
                <w:sz w:val="16"/>
                <w:szCs w:val="16"/>
                <w:color w:val="auto"/>
              </w:rPr>
            </w:pPr>
          </w:p>
        </w:tc>
        <w:tc>
          <w:tcPr>
            <w:tcW w:w="4520" w:type="dxa"/>
            <w:vAlign w:val="bottom"/>
          </w:tcPr>
          <w:p>
            <w:pPr>
              <w:ind w:left="360"/>
              <w:spacing w:after="0"/>
              <w:rPr>
                <w:sz w:val="20"/>
                <w:szCs w:val="20"/>
                <w:color w:val="auto"/>
              </w:rPr>
            </w:pPr>
            <w:r>
              <w:rPr>
                <w:rFonts w:ascii="Arial" w:cs="Arial" w:eastAsia="Arial" w:hAnsi="Arial"/>
                <w:sz w:val="16"/>
                <w:szCs w:val="16"/>
                <w:color w:val="auto"/>
              </w:rPr>
              <w:t>the Compensation Committee, which is comprised of</w:t>
            </w:r>
          </w:p>
        </w:tc>
        <w:tc>
          <w:tcPr>
            <w:tcW w:w="160" w:type="dxa"/>
            <w:vAlign w:val="bottom"/>
          </w:tcPr>
          <w:p>
            <w:pPr>
              <w:spacing w:after="0"/>
              <w:rPr>
                <w:sz w:val="16"/>
                <w:szCs w:val="16"/>
                <w:color w:val="auto"/>
              </w:rPr>
            </w:pPr>
          </w:p>
        </w:tc>
      </w:tr>
      <w:tr>
        <w:trPr>
          <w:trHeight w:val="224"/>
        </w:trPr>
        <w:tc>
          <w:tcPr>
            <w:tcW w:w="4180" w:type="dxa"/>
            <w:vAlign w:val="bottom"/>
            <w:tcBorders>
              <w:bottom w:val="single" w:sz="8" w:color="E7417A"/>
            </w:tcBorders>
          </w:tcPr>
          <w:p>
            <w:pPr>
              <w:spacing w:after="0"/>
              <w:rPr>
                <w:sz w:val="19"/>
                <w:szCs w:val="19"/>
                <w:color w:val="auto"/>
              </w:rPr>
            </w:pPr>
          </w:p>
        </w:tc>
        <w:tc>
          <w:tcPr>
            <w:tcW w:w="4520" w:type="dxa"/>
            <w:vAlign w:val="bottom"/>
            <w:tcBorders>
              <w:bottom w:val="single" w:sz="8" w:color="E7417A"/>
            </w:tcBorders>
          </w:tcPr>
          <w:p>
            <w:pPr>
              <w:ind w:left="360"/>
              <w:spacing w:after="0"/>
              <w:rPr>
                <w:sz w:val="20"/>
                <w:szCs w:val="20"/>
                <w:color w:val="auto"/>
              </w:rPr>
            </w:pPr>
            <w:r>
              <w:rPr>
                <w:rFonts w:ascii="Arial" w:cs="Arial" w:eastAsia="Arial" w:hAnsi="Arial"/>
                <w:sz w:val="16"/>
                <w:szCs w:val="16"/>
                <w:color w:val="auto"/>
              </w:rPr>
              <w:t>independent directors.</w:t>
            </w:r>
          </w:p>
        </w:tc>
        <w:tc>
          <w:tcPr>
            <w:tcW w:w="160" w:type="dxa"/>
            <w:vAlign w:val="bottom"/>
            <w:tcBorders>
              <w:bottom w:val="single" w:sz="8" w:color="E7417A"/>
            </w:tcBorders>
          </w:tcPr>
          <w:p>
            <w:pPr>
              <w:spacing w:after="0"/>
              <w:rPr>
                <w:sz w:val="19"/>
                <w:szCs w:val="19"/>
                <w:color w:val="auto"/>
              </w:rPr>
            </w:pPr>
          </w:p>
        </w:tc>
      </w:tr>
      <w:tr>
        <w:trPr>
          <w:trHeight w:val="202"/>
        </w:trPr>
        <w:tc>
          <w:tcPr>
            <w:tcW w:w="4180" w:type="dxa"/>
            <w:vAlign w:val="bottom"/>
          </w:tcPr>
          <w:p>
            <w:pPr>
              <w:spacing w:after="0"/>
              <w:rPr>
                <w:sz w:val="20"/>
                <w:szCs w:val="20"/>
                <w:color w:val="auto"/>
              </w:rPr>
            </w:pPr>
            <w:r>
              <w:rPr>
                <w:rFonts w:ascii="Arial" w:cs="Arial" w:eastAsia="Arial" w:hAnsi="Arial"/>
                <w:sz w:val="16"/>
                <w:szCs w:val="16"/>
                <w:color w:val="auto"/>
              </w:rPr>
              <w:t>​ Material Amendments Require Stockholder Approval</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 ​ Stockholder approval is required prior to an amendment ​</w:t>
            </w:r>
          </w:p>
        </w:tc>
      </w:tr>
      <w:tr>
        <w:trPr>
          <w:trHeight w:val="189"/>
        </w:trPr>
        <w:tc>
          <w:tcPr>
            <w:tcW w:w="4180" w:type="dxa"/>
            <w:vAlign w:val="bottom"/>
          </w:tcPr>
          <w:p>
            <w:pPr>
              <w:spacing w:after="0"/>
              <w:rPr>
                <w:sz w:val="16"/>
                <w:szCs w:val="16"/>
                <w:color w:val="auto"/>
              </w:rPr>
            </w:pPr>
          </w:p>
        </w:tc>
        <w:tc>
          <w:tcPr>
            <w:tcW w:w="4520" w:type="dxa"/>
            <w:vAlign w:val="bottom"/>
          </w:tcPr>
          <w:p>
            <w:pPr>
              <w:ind w:left="360"/>
              <w:spacing w:after="0"/>
              <w:rPr>
                <w:sz w:val="20"/>
                <w:szCs w:val="20"/>
                <w:color w:val="auto"/>
              </w:rPr>
            </w:pPr>
            <w:r>
              <w:rPr>
                <w:rFonts w:ascii="Arial" w:cs="Arial" w:eastAsia="Arial" w:hAnsi="Arial"/>
                <w:sz w:val="16"/>
                <w:szCs w:val="16"/>
                <w:color w:val="auto"/>
              </w:rPr>
              <w:t>of the New Plan that would (i) materially increase the</w:t>
            </w:r>
          </w:p>
        </w:tc>
        <w:tc>
          <w:tcPr>
            <w:tcW w:w="160" w:type="dxa"/>
            <w:vAlign w:val="bottom"/>
          </w:tcPr>
          <w:p>
            <w:pPr>
              <w:spacing w:after="0"/>
              <w:rPr>
                <w:sz w:val="16"/>
                <w:szCs w:val="16"/>
                <w:color w:val="auto"/>
              </w:rPr>
            </w:pPr>
          </w:p>
        </w:tc>
      </w:tr>
      <w:tr>
        <w:trPr>
          <w:trHeight w:val="189"/>
        </w:trPr>
        <w:tc>
          <w:tcPr>
            <w:tcW w:w="4180" w:type="dxa"/>
            <w:vAlign w:val="bottom"/>
          </w:tcPr>
          <w:p>
            <w:pPr>
              <w:spacing w:after="0"/>
              <w:rPr>
                <w:sz w:val="16"/>
                <w:szCs w:val="16"/>
                <w:color w:val="auto"/>
              </w:rPr>
            </w:pPr>
          </w:p>
        </w:tc>
        <w:tc>
          <w:tcPr>
            <w:tcW w:w="4520" w:type="dxa"/>
            <w:vAlign w:val="bottom"/>
          </w:tcPr>
          <w:p>
            <w:pPr>
              <w:ind w:left="360"/>
              <w:spacing w:after="0"/>
              <w:rPr>
                <w:sz w:val="20"/>
                <w:szCs w:val="20"/>
                <w:color w:val="auto"/>
              </w:rPr>
            </w:pPr>
            <w:r>
              <w:rPr>
                <w:rFonts w:ascii="Arial" w:cs="Arial" w:eastAsia="Arial" w:hAnsi="Arial"/>
                <w:sz w:val="16"/>
                <w:szCs w:val="16"/>
                <w:color w:val="auto"/>
              </w:rPr>
              <w:t>number of shares of common stock available for</w:t>
            </w:r>
          </w:p>
        </w:tc>
        <w:tc>
          <w:tcPr>
            <w:tcW w:w="160" w:type="dxa"/>
            <w:vAlign w:val="bottom"/>
          </w:tcPr>
          <w:p>
            <w:pPr>
              <w:spacing w:after="0"/>
              <w:rPr>
                <w:sz w:val="16"/>
                <w:szCs w:val="16"/>
                <w:color w:val="auto"/>
              </w:rPr>
            </w:pPr>
          </w:p>
        </w:tc>
      </w:tr>
      <w:tr>
        <w:trPr>
          <w:trHeight w:val="189"/>
        </w:trPr>
        <w:tc>
          <w:tcPr>
            <w:tcW w:w="4180" w:type="dxa"/>
            <w:vAlign w:val="bottom"/>
          </w:tcPr>
          <w:p>
            <w:pPr>
              <w:spacing w:after="0"/>
              <w:rPr>
                <w:sz w:val="16"/>
                <w:szCs w:val="16"/>
                <w:color w:val="auto"/>
              </w:rPr>
            </w:pPr>
          </w:p>
        </w:tc>
        <w:tc>
          <w:tcPr>
            <w:tcW w:w="4520" w:type="dxa"/>
            <w:vAlign w:val="bottom"/>
          </w:tcPr>
          <w:p>
            <w:pPr>
              <w:ind w:left="360"/>
              <w:spacing w:after="0"/>
              <w:rPr>
                <w:sz w:val="20"/>
                <w:szCs w:val="20"/>
                <w:color w:val="auto"/>
              </w:rPr>
            </w:pPr>
            <w:r>
              <w:rPr>
                <w:rFonts w:ascii="Arial" w:cs="Arial" w:eastAsia="Arial" w:hAnsi="Arial"/>
                <w:sz w:val="16"/>
                <w:szCs w:val="16"/>
                <w:color w:val="auto"/>
              </w:rPr>
              <w:t>issuance under the New Plan, (ii) expand the types of</w:t>
            </w:r>
          </w:p>
        </w:tc>
        <w:tc>
          <w:tcPr>
            <w:tcW w:w="160" w:type="dxa"/>
            <w:vAlign w:val="bottom"/>
          </w:tcPr>
          <w:p>
            <w:pPr>
              <w:spacing w:after="0"/>
              <w:rPr>
                <w:sz w:val="16"/>
                <w:szCs w:val="16"/>
                <w:color w:val="auto"/>
              </w:rPr>
            </w:pPr>
          </w:p>
        </w:tc>
      </w:tr>
      <w:tr>
        <w:trPr>
          <w:trHeight w:val="189"/>
        </w:trPr>
        <w:tc>
          <w:tcPr>
            <w:tcW w:w="4180" w:type="dxa"/>
            <w:vAlign w:val="bottom"/>
          </w:tcPr>
          <w:p>
            <w:pPr>
              <w:spacing w:after="0"/>
              <w:rPr>
                <w:sz w:val="16"/>
                <w:szCs w:val="16"/>
                <w:color w:val="auto"/>
              </w:rPr>
            </w:pPr>
          </w:p>
        </w:tc>
        <w:tc>
          <w:tcPr>
            <w:tcW w:w="4520" w:type="dxa"/>
            <w:vAlign w:val="bottom"/>
          </w:tcPr>
          <w:p>
            <w:pPr>
              <w:ind w:left="360"/>
              <w:spacing w:after="0"/>
              <w:rPr>
                <w:sz w:val="20"/>
                <w:szCs w:val="20"/>
                <w:color w:val="auto"/>
              </w:rPr>
            </w:pPr>
            <w:r>
              <w:rPr>
                <w:rFonts w:ascii="Arial" w:cs="Arial" w:eastAsia="Arial" w:hAnsi="Arial"/>
                <w:sz w:val="16"/>
                <w:szCs w:val="16"/>
                <w:color w:val="auto"/>
              </w:rPr>
              <w:t>available awards or (iii) materially expand the class of</w:t>
            </w:r>
          </w:p>
        </w:tc>
        <w:tc>
          <w:tcPr>
            <w:tcW w:w="160" w:type="dxa"/>
            <w:vAlign w:val="bottom"/>
          </w:tcPr>
          <w:p>
            <w:pPr>
              <w:spacing w:after="0"/>
              <w:rPr>
                <w:sz w:val="16"/>
                <w:szCs w:val="16"/>
                <w:color w:val="auto"/>
              </w:rPr>
            </w:pPr>
          </w:p>
        </w:tc>
      </w:tr>
      <w:tr>
        <w:trPr>
          <w:trHeight w:val="189"/>
        </w:trPr>
        <w:tc>
          <w:tcPr>
            <w:tcW w:w="4180" w:type="dxa"/>
            <w:vAlign w:val="bottom"/>
          </w:tcPr>
          <w:p>
            <w:pPr>
              <w:spacing w:after="0"/>
              <w:rPr>
                <w:sz w:val="16"/>
                <w:szCs w:val="16"/>
                <w:color w:val="auto"/>
              </w:rPr>
            </w:pPr>
          </w:p>
        </w:tc>
        <w:tc>
          <w:tcPr>
            <w:tcW w:w="4520" w:type="dxa"/>
            <w:vAlign w:val="bottom"/>
          </w:tcPr>
          <w:p>
            <w:pPr>
              <w:ind w:left="360"/>
              <w:spacing w:after="0"/>
              <w:rPr>
                <w:sz w:val="20"/>
                <w:szCs w:val="20"/>
                <w:color w:val="auto"/>
              </w:rPr>
            </w:pPr>
            <w:r>
              <w:rPr>
                <w:rFonts w:ascii="Arial" w:cs="Arial" w:eastAsia="Arial" w:hAnsi="Arial"/>
                <w:sz w:val="16"/>
                <w:szCs w:val="16"/>
                <w:color w:val="auto"/>
              </w:rPr>
              <w:t>participants eligible to receive awards under the New</w:t>
            </w:r>
          </w:p>
        </w:tc>
        <w:tc>
          <w:tcPr>
            <w:tcW w:w="160" w:type="dxa"/>
            <w:vAlign w:val="bottom"/>
          </w:tcPr>
          <w:p>
            <w:pPr>
              <w:spacing w:after="0"/>
              <w:rPr>
                <w:sz w:val="16"/>
                <w:szCs w:val="16"/>
                <w:color w:val="auto"/>
              </w:rPr>
            </w:pPr>
          </w:p>
        </w:tc>
      </w:tr>
      <w:tr>
        <w:trPr>
          <w:trHeight w:val="224"/>
        </w:trPr>
        <w:tc>
          <w:tcPr>
            <w:tcW w:w="4180" w:type="dxa"/>
            <w:vAlign w:val="bottom"/>
            <w:tcBorders>
              <w:bottom w:val="single" w:sz="8" w:color="62259D"/>
            </w:tcBorders>
          </w:tcPr>
          <w:p>
            <w:pPr>
              <w:spacing w:after="0"/>
              <w:rPr>
                <w:sz w:val="19"/>
                <w:szCs w:val="19"/>
                <w:color w:val="auto"/>
              </w:rPr>
            </w:pPr>
          </w:p>
        </w:tc>
        <w:tc>
          <w:tcPr>
            <w:tcW w:w="4520" w:type="dxa"/>
            <w:vAlign w:val="bottom"/>
            <w:tcBorders>
              <w:bottom w:val="single" w:sz="8" w:color="62259D"/>
            </w:tcBorders>
          </w:tcPr>
          <w:p>
            <w:pPr>
              <w:ind w:left="360"/>
              <w:spacing w:after="0"/>
              <w:rPr>
                <w:sz w:val="20"/>
                <w:szCs w:val="20"/>
                <w:color w:val="auto"/>
              </w:rPr>
            </w:pPr>
            <w:r>
              <w:rPr>
                <w:rFonts w:ascii="Arial" w:cs="Arial" w:eastAsia="Arial" w:hAnsi="Arial"/>
                <w:sz w:val="16"/>
                <w:szCs w:val="16"/>
                <w:color w:val="auto"/>
              </w:rPr>
              <w:t>Plan.</w:t>
            </w:r>
          </w:p>
        </w:tc>
        <w:tc>
          <w:tcPr>
            <w:tcW w:w="160" w:type="dxa"/>
            <w:vAlign w:val="bottom"/>
            <w:tcBorders>
              <w:bottom w:val="single" w:sz="8" w:color="62259D"/>
            </w:tcBorders>
          </w:tcPr>
          <w:p>
            <w:pPr>
              <w:spacing w:after="0"/>
              <w:rPr>
                <w:sz w:val="19"/>
                <w:szCs w:val="19"/>
                <w:color w:val="auto"/>
              </w:rPr>
            </w:pPr>
          </w:p>
        </w:tc>
      </w:tr>
    </w:tbl>
    <w:p>
      <w:pPr>
        <w:spacing w:after="0" w:line="143"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Analysis of Share Reserve</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approving the New Plan, the Compensation Committee and our Board, respectively, reviewed and relied</w:t>
      </w:r>
    </w:p>
    <w:p>
      <w:pPr>
        <w:spacing w:after="0" w:line="14" w:lineRule="exact"/>
        <w:rPr>
          <w:sz w:val="20"/>
          <w:szCs w:val="20"/>
          <w:color w:val="auto"/>
        </w:rPr>
      </w:pPr>
    </w:p>
    <w:p>
      <w:pPr>
        <w:ind w:left="920" w:right="479"/>
        <w:spacing w:after="0" w:line="226" w:lineRule="auto"/>
        <w:rPr>
          <w:sz w:val="20"/>
          <w:szCs w:val="20"/>
          <w:color w:val="auto"/>
        </w:rPr>
      </w:pPr>
      <w:r>
        <w:rPr>
          <w:rFonts w:ascii="Arial" w:cs="Arial" w:eastAsia="Arial" w:hAnsi="Arial"/>
          <w:sz w:val="18"/>
          <w:szCs w:val="18"/>
          <w:color w:val="auto"/>
        </w:rPr>
        <w:t>upon the analysis prepared by FW Cook, the Compensation Committee’s independent compensation consultant, which analyzed the costs of the plan, our past practices regarding our equity compensation</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program (including share usage or burn rate), provisions associated with the</w:t>
      </w:r>
    </w:p>
    <w:p>
      <w:pPr>
        <w:spacing w:after="0" w:line="194"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158115</wp:posOffset>
            </wp:positionV>
            <wp:extent cx="683196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right="239"/>
        <w:spacing w:after="0" w:line="287" w:lineRule="auto"/>
        <w:rPr>
          <w:sz w:val="20"/>
          <w:szCs w:val="20"/>
          <w:color w:val="auto"/>
        </w:rPr>
      </w:pPr>
      <w:r>
        <w:rPr>
          <w:rFonts w:ascii="Arial" w:cs="Arial" w:eastAsia="Arial" w:hAnsi="Arial"/>
          <w:sz w:val="18"/>
          <w:szCs w:val="18"/>
          <w:color w:val="auto"/>
        </w:rPr>
        <w:t>New Plan and trends, as well as practices of our peers and other companies. Specifically, the Compensation Committee and our Board considered, among other things, the information set forth below.</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Share Usage and Overhang</w:t>
      </w:r>
    </w:p>
    <w:p>
      <w:pPr>
        <w:spacing w:after="0" w:line="148" w:lineRule="exact"/>
        <w:rPr>
          <w:sz w:val="20"/>
          <w:szCs w:val="20"/>
          <w:color w:val="auto"/>
        </w:rPr>
      </w:pPr>
    </w:p>
    <w:p>
      <w:pPr>
        <w:ind w:left="920" w:right="159"/>
        <w:spacing w:after="0" w:line="268" w:lineRule="auto"/>
        <w:rPr>
          <w:sz w:val="20"/>
          <w:szCs w:val="20"/>
          <w:color w:val="auto"/>
        </w:rPr>
      </w:pPr>
      <w:r>
        <w:rPr>
          <w:rFonts w:ascii="Arial" w:cs="Arial" w:eastAsia="Arial" w:hAnsi="Arial"/>
          <w:sz w:val="18"/>
          <w:szCs w:val="18"/>
          <w:color w:val="auto"/>
        </w:rPr>
        <w:t>The following table sets forth information regarding all awards, including stock options, restricted and fully-vested shares, restricted share units, and performance stock units granted over each of the last three fiscal years:</w:t>
      </w:r>
    </w:p>
    <w:p>
      <w:pPr>
        <w:spacing w:after="0" w:line="37" w:lineRule="exact"/>
        <w:rPr>
          <w:sz w:val="20"/>
          <w:szCs w:val="20"/>
          <w:color w:val="auto"/>
        </w:rPr>
      </w:pPr>
    </w:p>
    <w:tbl>
      <w:tblPr>
        <w:tblLayout w:type="fixed"/>
        <w:tblInd w:w="920" w:type="dxa"/>
        <w:tblCellMar>
          <w:top w:w="0" w:type="dxa"/>
          <w:left w:w="0" w:type="dxa"/>
          <w:bottom w:w="0" w:type="dxa"/>
          <w:right w:w="0" w:type="dxa"/>
        </w:tblCellMar>
      </w:tblPr>
      <w:tr>
        <w:trPr>
          <w:trHeight w:val="368"/>
        </w:trPr>
        <w:tc>
          <w:tcPr>
            <w:tcW w:w="3600" w:type="dxa"/>
            <w:vAlign w:val="bottom"/>
            <w:shd w:val="clear" w:color="auto" w:fill="62259D"/>
          </w:tcPr>
          <w:p>
            <w:pPr>
              <w:ind w:left="60"/>
              <w:spacing w:after="0"/>
              <w:rPr>
                <w:sz w:val="20"/>
                <w:szCs w:val="20"/>
                <w:color w:val="auto"/>
              </w:rPr>
            </w:pPr>
            <w:r>
              <w:rPr>
                <w:rFonts w:ascii="Arial" w:cs="Arial" w:eastAsia="Arial" w:hAnsi="Arial"/>
                <w:sz w:val="16"/>
                <w:szCs w:val="16"/>
                <w:b w:val="1"/>
                <w:bCs w:val="1"/>
                <w:color w:val="FEFEFE"/>
              </w:rPr>
              <w:t>​​</w:t>
            </w:r>
          </w:p>
        </w:tc>
        <w:tc>
          <w:tcPr>
            <w:tcW w:w="42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 ​</w:t>
            </w:r>
          </w:p>
        </w:tc>
        <w:tc>
          <w:tcPr>
            <w:tcW w:w="580" w:type="dxa"/>
            <w:vAlign w:val="bottom"/>
            <w:shd w:val="clear" w:color="auto" w:fill="62259D"/>
          </w:tcPr>
          <w:p>
            <w:pPr>
              <w:jc w:val="right"/>
              <w:spacing w:after="0"/>
              <w:rPr>
                <w:sz w:val="20"/>
                <w:szCs w:val="20"/>
                <w:color w:val="auto"/>
              </w:rPr>
            </w:pPr>
            <w:r>
              <w:rPr>
                <w:rFonts w:ascii="Arial" w:cs="Arial" w:eastAsia="Arial" w:hAnsi="Arial"/>
                <w:sz w:val="16"/>
                <w:szCs w:val="16"/>
                <w:b w:val="1"/>
                <w:bCs w:val="1"/>
                <w:color w:val="FEFEFE"/>
              </w:rPr>
              <w:t>2024</w:t>
            </w:r>
          </w:p>
        </w:tc>
        <w:tc>
          <w:tcPr>
            <w:tcW w:w="440" w:type="dxa"/>
            <w:vAlign w:val="bottom"/>
            <w:shd w:val="clear" w:color="auto" w:fill="62259D"/>
          </w:tcPr>
          <w:p>
            <w:pPr>
              <w:jc w:val="right"/>
              <w:spacing w:after="0"/>
              <w:rPr>
                <w:sz w:val="20"/>
                <w:szCs w:val="20"/>
                <w:color w:val="auto"/>
              </w:rPr>
            </w:pPr>
            <w:r>
              <w:rPr>
                <w:rFonts w:ascii="Arial" w:cs="Arial" w:eastAsia="Arial" w:hAnsi="Arial"/>
                <w:sz w:val="16"/>
                <w:szCs w:val="16"/>
                <w:b w:val="1"/>
                <w:bCs w:val="1"/>
                <w:color w:val="FEFEFE"/>
              </w:rPr>
              <w:t>​ ​</w:t>
            </w:r>
          </w:p>
        </w:tc>
        <w:tc>
          <w:tcPr>
            <w:tcW w:w="160" w:type="dxa"/>
            <w:vAlign w:val="bottom"/>
            <w:shd w:val="clear" w:color="auto" w:fill="62259D"/>
          </w:tcPr>
          <w:p>
            <w:pPr>
              <w:spacing w:after="0"/>
              <w:rPr>
                <w:sz w:val="24"/>
                <w:szCs w:val="24"/>
                <w:color w:val="auto"/>
              </w:rPr>
            </w:pPr>
          </w:p>
        </w:tc>
        <w:tc>
          <w:tcPr>
            <w:tcW w:w="580" w:type="dxa"/>
            <w:vAlign w:val="bottom"/>
            <w:shd w:val="clear" w:color="auto" w:fill="62259D"/>
          </w:tcPr>
          <w:p>
            <w:pPr>
              <w:jc w:val="right"/>
              <w:spacing w:after="0"/>
              <w:rPr>
                <w:sz w:val="20"/>
                <w:szCs w:val="20"/>
                <w:color w:val="auto"/>
              </w:rPr>
            </w:pPr>
            <w:r>
              <w:rPr>
                <w:rFonts w:ascii="Arial" w:cs="Arial" w:eastAsia="Arial" w:hAnsi="Arial"/>
                <w:sz w:val="16"/>
                <w:szCs w:val="16"/>
                <w:b w:val="1"/>
                <w:bCs w:val="1"/>
                <w:color w:val="FEFEFE"/>
              </w:rPr>
              <w:t>2023</w:t>
            </w:r>
          </w:p>
        </w:tc>
        <w:tc>
          <w:tcPr>
            <w:tcW w:w="460" w:type="dxa"/>
            <w:vAlign w:val="bottom"/>
            <w:shd w:val="clear" w:color="auto" w:fill="62259D"/>
          </w:tcPr>
          <w:p>
            <w:pPr>
              <w:jc w:val="right"/>
              <w:spacing w:after="0"/>
              <w:rPr>
                <w:sz w:val="20"/>
                <w:szCs w:val="20"/>
                <w:color w:val="auto"/>
              </w:rPr>
            </w:pPr>
            <w:r>
              <w:rPr>
                <w:rFonts w:ascii="Arial" w:cs="Arial" w:eastAsia="Arial" w:hAnsi="Arial"/>
                <w:sz w:val="16"/>
                <w:szCs w:val="16"/>
                <w:b w:val="1"/>
                <w:bCs w:val="1"/>
                <w:color w:val="FEFEFE"/>
              </w:rPr>
              <w:t>​ ​</w:t>
            </w:r>
          </w:p>
        </w:tc>
        <w:tc>
          <w:tcPr>
            <w:tcW w:w="140" w:type="dxa"/>
            <w:vAlign w:val="bottom"/>
            <w:shd w:val="clear" w:color="auto" w:fill="62259D"/>
          </w:tcPr>
          <w:p>
            <w:pPr>
              <w:spacing w:after="0"/>
              <w:rPr>
                <w:sz w:val="24"/>
                <w:szCs w:val="24"/>
                <w:color w:val="auto"/>
              </w:rPr>
            </w:pPr>
          </w:p>
        </w:tc>
        <w:tc>
          <w:tcPr>
            <w:tcW w:w="580" w:type="dxa"/>
            <w:vAlign w:val="bottom"/>
            <w:shd w:val="clear" w:color="auto" w:fill="62259D"/>
          </w:tcPr>
          <w:p>
            <w:pPr>
              <w:jc w:val="right"/>
              <w:spacing w:after="0"/>
              <w:rPr>
                <w:sz w:val="20"/>
                <w:szCs w:val="20"/>
                <w:color w:val="auto"/>
              </w:rPr>
            </w:pPr>
            <w:r>
              <w:rPr>
                <w:rFonts w:ascii="Arial" w:cs="Arial" w:eastAsia="Arial" w:hAnsi="Arial"/>
                <w:sz w:val="16"/>
                <w:szCs w:val="16"/>
                <w:b w:val="1"/>
                <w:bCs w:val="1"/>
                <w:color w:val="FEFEFE"/>
              </w:rPr>
              <w:t>2022</w:t>
            </w:r>
          </w:p>
        </w:tc>
        <w:tc>
          <w:tcPr>
            <w:tcW w:w="1900" w:type="dxa"/>
            <w:vAlign w:val="bottom"/>
            <w:gridSpan w:val="4"/>
            <w:shd w:val="clear" w:color="auto" w:fill="62259D"/>
          </w:tcPr>
          <w:p>
            <w:pPr>
              <w:jc w:val="right"/>
              <w:spacing w:after="0"/>
              <w:rPr>
                <w:sz w:val="20"/>
                <w:szCs w:val="20"/>
                <w:color w:val="auto"/>
              </w:rPr>
            </w:pPr>
            <w:r>
              <w:rPr>
                <w:rFonts w:ascii="Arial" w:cs="Arial" w:eastAsia="Arial" w:hAnsi="Arial"/>
                <w:sz w:val="32"/>
                <w:szCs w:val="32"/>
                <w:b w:val="1"/>
                <w:bCs w:val="1"/>
                <w:color w:val="FEFEFE"/>
                <w:vertAlign w:val="subscript"/>
              </w:rPr>
              <w:t>​ ​</w:t>
            </w:r>
            <w:r>
              <w:rPr>
                <w:rFonts w:ascii="Arial" w:cs="Arial" w:eastAsia="Arial" w:hAnsi="Arial"/>
                <w:sz w:val="16"/>
                <w:szCs w:val="16"/>
                <w:b w:val="1"/>
                <w:bCs w:val="1"/>
                <w:color w:val="FEFEFE"/>
              </w:rPr>
              <w:t xml:space="preserve"> 3-Year Average </w:t>
            </w:r>
            <w:r>
              <w:rPr>
                <w:rFonts w:ascii="Arial" w:cs="Arial" w:eastAsia="Arial" w:hAnsi="Arial"/>
                <w:sz w:val="32"/>
                <w:szCs w:val="32"/>
                <w:b w:val="1"/>
                <w:bCs w:val="1"/>
                <w:color w:val="FEFEFE"/>
                <w:vertAlign w:val="subscript"/>
              </w:rPr>
              <w:t>​</w:t>
            </w:r>
          </w:p>
        </w:tc>
      </w:tr>
      <w:tr>
        <w:trPr>
          <w:trHeight w:val="256"/>
        </w:trPr>
        <w:tc>
          <w:tcPr>
            <w:tcW w:w="3600" w:type="dxa"/>
            <w:vAlign w:val="bottom"/>
            <w:tcBorders>
              <w:bottom w:val="single" w:sz="8" w:color="E7417A"/>
            </w:tcBorders>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Stock Options/SARs Granted</w:t>
            </w:r>
          </w:p>
        </w:tc>
        <w:tc>
          <w:tcPr>
            <w:tcW w:w="420" w:type="dxa"/>
            <w:vAlign w:val="bottom"/>
            <w:tcBorders>
              <w:bottom w:val="single" w:sz="8" w:color="E7417A"/>
            </w:tcBorders>
          </w:tcPr>
          <w:p>
            <w:pPr>
              <w:jc w:val="center"/>
              <w:spacing w:after="0" w:line="256" w:lineRule="exact"/>
              <w:rPr>
                <w:sz w:val="20"/>
                <w:szCs w:val="20"/>
                <w:color w:val="auto"/>
              </w:rPr>
            </w:pPr>
            <w:r>
              <w:rPr>
                <w:rFonts w:ascii="Arial" w:cs="Arial" w:eastAsia="Arial" w:hAnsi="Arial"/>
                <w:sz w:val="15"/>
                <w:szCs w:val="15"/>
                <w:color w:val="auto"/>
              </w:rPr>
              <w:t>​ ​ ​</w:t>
            </w:r>
            <w:r>
              <w:rPr>
                <w:rFonts w:ascii="Arial" w:cs="Arial" w:eastAsia="Arial" w:hAnsi="Arial"/>
                <w:sz w:val="29"/>
                <w:szCs w:val="29"/>
                <w:color w:val="auto"/>
                <w:vertAlign w:val="superscript"/>
              </w:rPr>
              <w:t>​</w:t>
            </w:r>
          </w:p>
        </w:tc>
        <w:tc>
          <w:tcPr>
            <w:tcW w:w="580" w:type="dxa"/>
            <w:vAlign w:val="bottom"/>
            <w:tcBorders>
              <w:bottom w:val="single" w:sz="8" w:color="E7417A"/>
            </w:tcBorders>
          </w:tcPr>
          <w:p>
            <w:pPr>
              <w:spacing w:after="0"/>
              <w:rPr>
                <w:sz w:val="22"/>
                <w:szCs w:val="22"/>
                <w:color w:val="auto"/>
              </w:rPr>
            </w:pPr>
          </w:p>
        </w:tc>
        <w:tc>
          <w:tcPr>
            <w:tcW w:w="440" w:type="dxa"/>
            <w:vAlign w:val="bottom"/>
            <w:tcBorders>
              <w:bottom w:val="single" w:sz="8" w:color="E7417A"/>
            </w:tcBorders>
          </w:tcPr>
          <w:p>
            <w:pPr>
              <w:jc w:val="right"/>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 ​</w:t>
            </w:r>
          </w:p>
        </w:tc>
        <w:tc>
          <w:tcPr>
            <w:tcW w:w="160" w:type="dxa"/>
            <w:vAlign w:val="bottom"/>
            <w:tcBorders>
              <w:bottom w:val="single" w:sz="8" w:color="E7417A"/>
            </w:tcBorders>
          </w:tcPr>
          <w:p>
            <w:pPr>
              <w:ind w:left="20"/>
              <w:spacing w:after="0" w:line="256" w:lineRule="exact"/>
              <w:rPr>
                <w:sz w:val="20"/>
                <w:szCs w:val="20"/>
                <w:color w:val="auto"/>
              </w:rPr>
            </w:pPr>
            <w:r>
              <w:rPr>
                <w:rFonts w:ascii="Arial" w:cs="Arial" w:eastAsia="Arial" w:hAnsi="Arial"/>
                <w:sz w:val="15"/>
                <w:szCs w:val="15"/>
                <w:color w:val="auto"/>
              </w:rPr>
              <w:t>​</w:t>
            </w:r>
            <w:r>
              <w:rPr>
                <w:rFonts w:ascii="Arial" w:cs="Arial" w:eastAsia="Arial" w:hAnsi="Arial"/>
                <w:sz w:val="29"/>
                <w:szCs w:val="29"/>
                <w:color w:val="auto"/>
                <w:vertAlign w:val="superscript"/>
              </w:rPr>
              <w:t>​</w:t>
            </w:r>
          </w:p>
        </w:tc>
        <w:tc>
          <w:tcPr>
            <w:tcW w:w="580" w:type="dxa"/>
            <w:vAlign w:val="bottom"/>
            <w:tcBorders>
              <w:bottom w:val="single" w:sz="8" w:color="E7417A"/>
            </w:tcBorders>
          </w:tcPr>
          <w:p>
            <w:pPr>
              <w:spacing w:after="0"/>
              <w:rPr>
                <w:sz w:val="22"/>
                <w:szCs w:val="22"/>
                <w:color w:val="auto"/>
              </w:rPr>
            </w:pPr>
          </w:p>
        </w:tc>
        <w:tc>
          <w:tcPr>
            <w:tcW w:w="460" w:type="dxa"/>
            <w:vAlign w:val="bottom"/>
            <w:tcBorders>
              <w:bottom w:val="single" w:sz="8" w:color="E7417A"/>
            </w:tcBorders>
          </w:tcPr>
          <w:p>
            <w:pPr>
              <w:jc w:val="right"/>
              <w:ind w:right="2"/>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 ​</w:t>
            </w:r>
          </w:p>
        </w:tc>
        <w:tc>
          <w:tcPr>
            <w:tcW w:w="140" w:type="dxa"/>
            <w:vAlign w:val="bottom"/>
            <w:tcBorders>
              <w:bottom w:val="single" w:sz="8" w:color="E7417A"/>
            </w:tcBorders>
          </w:tcPr>
          <w:p>
            <w:pPr>
              <w:spacing w:after="0" w:line="256" w:lineRule="exact"/>
              <w:rPr>
                <w:sz w:val="20"/>
                <w:szCs w:val="20"/>
                <w:color w:val="auto"/>
              </w:rPr>
            </w:pPr>
            <w:r>
              <w:rPr>
                <w:rFonts w:ascii="Arial" w:cs="Arial" w:eastAsia="Arial" w:hAnsi="Arial"/>
                <w:sz w:val="15"/>
                <w:szCs w:val="15"/>
                <w:color w:val="auto"/>
              </w:rPr>
              <w:t>​</w:t>
            </w:r>
            <w:r>
              <w:rPr>
                <w:rFonts w:ascii="Arial" w:cs="Arial" w:eastAsia="Arial" w:hAnsi="Arial"/>
                <w:sz w:val="29"/>
                <w:szCs w:val="29"/>
                <w:color w:val="auto"/>
                <w:vertAlign w:val="superscript"/>
              </w:rPr>
              <w:t>​</w:t>
            </w:r>
          </w:p>
        </w:tc>
        <w:tc>
          <w:tcPr>
            <w:tcW w:w="580" w:type="dxa"/>
            <w:vAlign w:val="bottom"/>
            <w:tcBorders>
              <w:bottom w:val="single" w:sz="8" w:color="E7417A"/>
            </w:tcBorders>
          </w:tcPr>
          <w:p>
            <w:pPr>
              <w:spacing w:after="0"/>
              <w:rPr>
                <w:sz w:val="22"/>
                <w:szCs w:val="22"/>
                <w:color w:val="auto"/>
              </w:rPr>
            </w:pPr>
          </w:p>
        </w:tc>
        <w:tc>
          <w:tcPr>
            <w:tcW w:w="500" w:type="dxa"/>
            <w:vAlign w:val="bottom"/>
            <w:tcBorders>
              <w:bottom w:val="single" w:sz="8" w:color="E7417A"/>
            </w:tcBorders>
          </w:tcPr>
          <w:p>
            <w:pPr>
              <w:jc w:val="right"/>
              <w:ind w:right="22"/>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 ​</w:t>
            </w:r>
          </w:p>
        </w:tc>
        <w:tc>
          <w:tcPr>
            <w:tcW w:w="280" w:type="dxa"/>
            <w:vAlign w:val="bottom"/>
            <w:tcBorders>
              <w:bottom w:val="single" w:sz="8" w:color="E7417A"/>
            </w:tcBorders>
          </w:tcPr>
          <w:p>
            <w:pPr>
              <w:ind w:left="120"/>
              <w:spacing w:after="0" w:line="256" w:lineRule="exact"/>
              <w:rPr>
                <w:sz w:val="20"/>
                <w:szCs w:val="20"/>
                <w:color w:val="auto"/>
              </w:rPr>
            </w:pPr>
            <w:r>
              <w:rPr>
                <w:rFonts w:ascii="Arial" w:cs="Arial" w:eastAsia="Arial" w:hAnsi="Arial"/>
                <w:sz w:val="15"/>
                <w:szCs w:val="15"/>
                <w:color w:val="auto"/>
              </w:rPr>
              <w:t>​</w:t>
            </w:r>
            <w:r>
              <w:rPr>
                <w:rFonts w:ascii="Arial" w:cs="Arial" w:eastAsia="Arial" w:hAnsi="Arial"/>
                <w:sz w:val="29"/>
                <w:szCs w:val="29"/>
                <w:color w:val="auto"/>
                <w:vertAlign w:val="superscript"/>
              </w:rPr>
              <w:t>​</w:t>
            </w:r>
          </w:p>
        </w:tc>
        <w:tc>
          <w:tcPr>
            <w:tcW w:w="90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3600" w:type="dxa"/>
            <w:vAlign w:val="bottom"/>
          </w:tcPr>
          <w:p>
            <w:pPr>
              <w:ind w:left="120"/>
              <w:spacing w:after="0"/>
              <w:rPr>
                <w:sz w:val="20"/>
                <w:szCs w:val="20"/>
                <w:color w:val="auto"/>
              </w:rPr>
            </w:pPr>
            <w:r>
              <w:rPr>
                <w:rFonts w:ascii="Arial" w:cs="Arial" w:eastAsia="Arial" w:hAnsi="Arial"/>
                <w:sz w:val="16"/>
                <w:szCs w:val="16"/>
                <w:color w:val="auto"/>
              </w:rPr>
              <w:t>Stock-Settled Time-Vested Restricted</w:t>
            </w: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0"/>
        </w:trPr>
        <w:tc>
          <w:tcPr>
            <w:tcW w:w="36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Shares/Units Granted</w:t>
            </w:r>
          </w:p>
        </w:tc>
        <w:tc>
          <w:tcPr>
            <w:tcW w:w="42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 ​ ​​</w:t>
            </w:r>
          </w:p>
        </w:tc>
        <w:tc>
          <w:tcPr>
            <w:tcW w:w="1020" w:type="dxa"/>
            <w:vAlign w:val="bottom"/>
            <w:tcBorders>
              <w:bottom w:val="single" w:sz="8" w:color="E7417A"/>
            </w:tcBorders>
            <w:gridSpan w:val="2"/>
          </w:tcPr>
          <w:p>
            <w:pPr>
              <w:jc w:val="right"/>
              <w:spacing w:after="0"/>
              <w:rPr>
                <w:sz w:val="20"/>
                <w:szCs w:val="20"/>
                <w:color w:val="auto"/>
              </w:rPr>
            </w:pPr>
            <w:r>
              <w:rPr>
                <w:rFonts w:ascii="Arial" w:cs="Arial" w:eastAsia="Arial" w:hAnsi="Arial"/>
                <w:sz w:val="16"/>
                <w:szCs w:val="16"/>
                <w:color w:val="auto"/>
              </w:rPr>
              <w:t>1,943,760​ ​</w:t>
            </w:r>
          </w:p>
        </w:tc>
        <w:tc>
          <w:tcPr>
            <w:tcW w:w="16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7417A"/>
            </w:tcBorders>
            <w:gridSpan w:val="2"/>
          </w:tcPr>
          <w:p>
            <w:pPr>
              <w:jc w:val="right"/>
              <w:ind w:right="2"/>
              <w:spacing w:after="0"/>
              <w:rPr>
                <w:sz w:val="20"/>
                <w:szCs w:val="20"/>
                <w:color w:val="auto"/>
              </w:rPr>
            </w:pPr>
            <w:r>
              <w:rPr>
                <w:rFonts w:ascii="Arial" w:cs="Arial" w:eastAsia="Arial" w:hAnsi="Arial"/>
                <w:sz w:val="16"/>
                <w:szCs w:val="16"/>
                <w:color w:val="auto"/>
              </w:rPr>
              <w:t>4,991,829​ ​</w:t>
            </w:r>
          </w:p>
        </w:tc>
        <w:tc>
          <w:tcPr>
            <w:tcW w:w="14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7417A"/>
            </w:tcBorders>
            <w:gridSpan w:val="2"/>
          </w:tcPr>
          <w:p>
            <w:pPr>
              <w:jc w:val="right"/>
              <w:ind w:right="22"/>
              <w:spacing w:after="0"/>
              <w:rPr>
                <w:sz w:val="20"/>
                <w:szCs w:val="20"/>
                <w:color w:val="auto"/>
              </w:rPr>
            </w:pPr>
            <w:r>
              <w:rPr>
                <w:rFonts w:ascii="Arial" w:cs="Arial" w:eastAsia="Arial" w:hAnsi="Arial"/>
                <w:sz w:val="16"/>
                <w:szCs w:val="16"/>
                <w:color w:val="auto"/>
              </w:rPr>
              <w:t>6,096,248​ ​</w:t>
            </w:r>
          </w:p>
        </w:tc>
        <w:tc>
          <w:tcPr>
            <w:tcW w:w="28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4,343,946</w:t>
            </w:r>
          </w:p>
        </w:tc>
        <w:tc>
          <w:tcPr>
            <w:tcW w:w="22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3600" w:type="dxa"/>
            <w:vAlign w:val="bottom"/>
          </w:tcPr>
          <w:p>
            <w:pPr>
              <w:ind w:left="120"/>
              <w:spacing w:after="0"/>
              <w:rPr>
                <w:sz w:val="20"/>
                <w:szCs w:val="20"/>
                <w:color w:val="auto"/>
              </w:rPr>
            </w:pPr>
            <w:r>
              <w:rPr>
                <w:rFonts w:ascii="Arial" w:cs="Arial" w:eastAsia="Arial" w:hAnsi="Arial"/>
                <w:sz w:val="16"/>
                <w:szCs w:val="16"/>
                <w:color w:val="auto"/>
              </w:rPr>
              <w:t>Stock-Settled Performance-Based Stock Units</w:t>
            </w: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0"/>
        </w:trPr>
        <w:tc>
          <w:tcPr>
            <w:tcW w:w="36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Granted</w:t>
            </w:r>
          </w:p>
        </w:tc>
        <w:tc>
          <w:tcPr>
            <w:tcW w:w="42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 ​ ​​</w:t>
            </w:r>
          </w:p>
        </w:tc>
        <w:tc>
          <w:tcPr>
            <w:tcW w:w="1020" w:type="dxa"/>
            <w:vAlign w:val="bottom"/>
            <w:tcBorders>
              <w:bottom w:val="single" w:sz="8" w:color="E7417A"/>
            </w:tcBorders>
            <w:gridSpan w:val="2"/>
          </w:tcPr>
          <w:p>
            <w:pPr>
              <w:jc w:val="right"/>
              <w:spacing w:after="0"/>
              <w:rPr>
                <w:sz w:val="20"/>
                <w:szCs w:val="20"/>
                <w:color w:val="auto"/>
              </w:rPr>
            </w:pPr>
            <w:r>
              <w:rPr>
                <w:rFonts w:ascii="Arial" w:cs="Arial" w:eastAsia="Arial" w:hAnsi="Arial"/>
                <w:sz w:val="16"/>
                <w:szCs w:val="16"/>
                <w:color w:val="auto"/>
              </w:rPr>
              <w:t>1,884,337​ ​</w:t>
            </w:r>
          </w:p>
        </w:tc>
        <w:tc>
          <w:tcPr>
            <w:tcW w:w="16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7417A"/>
            </w:tcBorders>
            <w:gridSpan w:val="2"/>
          </w:tcPr>
          <w:p>
            <w:pPr>
              <w:jc w:val="right"/>
              <w:ind w:right="2"/>
              <w:spacing w:after="0"/>
              <w:rPr>
                <w:sz w:val="20"/>
                <w:szCs w:val="20"/>
                <w:color w:val="auto"/>
              </w:rPr>
            </w:pPr>
            <w:r>
              <w:rPr>
                <w:rFonts w:ascii="Arial" w:cs="Arial" w:eastAsia="Arial" w:hAnsi="Arial"/>
                <w:sz w:val="16"/>
                <w:szCs w:val="16"/>
                <w:color w:val="auto"/>
              </w:rPr>
              <w:t>1,800,202​ ​</w:t>
            </w:r>
          </w:p>
        </w:tc>
        <w:tc>
          <w:tcPr>
            <w:tcW w:w="14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7417A"/>
            </w:tcBorders>
            <w:gridSpan w:val="2"/>
          </w:tcPr>
          <w:p>
            <w:pPr>
              <w:jc w:val="right"/>
              <w:ind w:right="22"/>
              <w:spacing w:after="0"/>
              <w:rPr>
                <w:sz w:val="20"/>
                <w:szCs w:val="20"/>
                <w:color w:val="auto"/>
              </w:rPr>
            </w:pPr>
            <w:r>
              <w:rPr>
                <w:rFonts w:ascii="Arial" w:cs="Arial" w:eastAsia="Arial" w:hAnsi="Arial"/>
                <w:sz w:val="16"/>
                <w:szCs w:val="16"/>
                <w:color w:val="auto"/>
              </w:rPr>
              <w:t>2,228,073​ ​</w:t>
            </w:r>
          </w:p>
        </w:tc>
        <w:tc>
          <w:tcPr>
            <w:tcW w:w="28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1,970,871</w:t>
            </w:r>
          </w:p>
        </w:tc>
        <w:tc>
          <w:tcPr>
            <w:tcW w:w="22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3600" w:type="dxa"/>
            <w:vAlign w:val="bottom"/>
          </w:tcPr>
          <w:p>
            <w:pPr>
              <w:ind w:left="120"/>
              <w:spacing w:after="0"/>
              <w:rPr>
                <w:sz w:val="20"/>
                <w:szCs w:val="20"/>
                <w:color w:val="auto"/>
              </w:rPr>
            </w:pPr>
            <w:r>
              <w:rPr>
                <w:rFonts w:ascii="Arial" w:cs="Arial" w:eastAsia="Arial" w:hAnsi="Arial"/>
                <w:sz w:val="16"/>
                <w:szCs w:val="16"/>
                <w:color w:val="auto"/>
              </w:rPr>
              <w:t>Weighted-Average Basic Common Shares</w:t>
            </w: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0"/>
        </w:trPr>
        <w:tc>
          <w:tcPr>
            <w:tcW w:w="36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Outstanding</w:t>
            </w:r>
          </w:p>
        </w:tc>
        <w:tc>
          <w:tcPr>
            <w:tcW w:w="1440" w:type="dxa"/>
            <w:vAlign w:val="bottom"/>
            <w:tcBorders>
              <w:bottom w:val="single" w:sz="8" w:color="E7417A"/>
            </w:tcBorders>
            <w:gridSpan w:val="3"/>
          </w:tcPr>
          <w:p>
            <w:pPr>
              <w:jc w:val="right"/>
              <w:spacing w:after="0"/>
              <w:rPr>
                <w:sz w:val="20"/>
                <w:szCs w:val="20"/>
                <w:color w:val="auto"/>
              </w:rPr>
            </w:pPr>
            <w:r>
              <w:rPr>
                <w:rFonts w:ascii="Arial" w:cs="Arial" w:eastAsia="Arial" w:hAnsi="Arial"/>
                <w:sz w:val="16"/>
                <w:szCs w:val="16"/>
                <w:color w:val="auto"/>
              </w:rPr>
              <w:t>​ ​ ​​174,044,000​ ​</w:t>
            </w:r>
          </w:p>
        </w:tc>
        <w:tc>
          <w:tcPr>
            <w:tcW w:w="1200" w:type="dxa"/>
            <w:vAlign w:val="bottom"/>
            <w:tcBorders>
              <w:bottom w:val="single" w:sz="8" w:color="E7417A"/>
            </w:tcBorders>
            <w:gridSpan w:val="3"/>
          </w:tcPr>
          <w:p>
            <w:pPr>
              <w:jc w:val="right"/>
              <w:ind w:right="2"/>
              <w:spacing w:after="0"/>
              <w:rPr>
                <w:sz w:val="20"/>
                <w:szCs w:val="20"/>
                <w:color w:val="auto"/>
              </w:rPr>
            </w:pPr>
            <w:r>
              <w:rPr>
                <w:rFonts w:ascii="Arial" w:cs="Arial" w:eastAsia="Arial" w:hAnsi="Arial"/>
                <w:sz w:val="16"/>
                <w:szCs w:val="16"/>
                <w:color w:val="auto"/>
              </w:rPr>
              <w:t>​​170,408,000​ ​</w:t>
            </w:r>
          </w:p>
        </w:tc>
        <w:tc>
          <w:tcPr>
            <w:tcW w:w="1220" w:type="dxa"/>
            <w:vAlign w:val="bottom"/>
            <w:tcBorders>
              <w:bottom w:val="single" w:sz="8" w:color="E7417A"/>
            </w:tcBorders>
            <w:gridSpan w:val="3"/>
          </w:tcPr>
          <w:p>
            <w:pPr>
              <w:jc w:val="right"/>
              <w:ind w:right="22"/>
              <w:spacing w:after="0"/>
              <w:rPr>
                <w:sz w:val="20"/>
                <w:szCs w:val="20"/>
                <w:color w:val="auto"/>
              </w:rPr>
            </w:pPr>
            <w:r>
              <w:rPr>
                <w:rFonts w:ascii="Arial" w:cs="Arial" w:eastAsia="Arial" w:hAnsi="Arial"/>
                <w:sz w:val="16"/>
                <w:szCs w:val="16"/>
                <w:color w:val="auto"/>
              </w:rPr>
              <w:t>​​156,668,000​ ​</w:t>
            </w:r>
          </w:p>
        </w:tc>
        <w:tc>
          <w:tcPr>
            <w:tcW w:w="1180" w:type="dxa"/>
            <w:vAlign w:val="bottom"/>
            <w:tcBorders>
              <w:bottom w:val="single" w:sz="8" w:color="E7417A"/>
            </w:tcBorders>
            <w:gridSpan w:val="2"/>
          </w:tcPr>
          <w:p>
            <w:pPr>
              <w:jc w:val="right"/>
              <w:spacing w:after="0"/>
              <w:rPr>
                <w:sz w:val="20"/>
                <w:szCs w:val="20"/>
                <w:color w:val="auto"/>
              </w:rPr>
            </w:pPr>
            <w:r>
              <w:rPr>
                <w:rFonts w:ascii="Arial" w:cs="Arial" w:eastAsia="Arial" w:hAnsi="Arial"/>
                <w:sz w:val="16"/>
                <w:szCs w:val="16"/>
                <w:color w:val="auto"/>
              </w:rPr>
              <w:t>​ 167,040,000</w:t>
            </w:r>
          </w:p>
        </w:tc>
        <w:tc>
          <w:tcPr>
            <w:tcW w:w="22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600" w:type="dxa"/>
            <w:vAlign w:val="bottom"/>
            <w:tcBorders>
              <w:bottom w:val="single" w:sz="8" w:color="62259D"/>
            </w:tcBorders>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Share Usage Rate</w:t>
            </w:r>
          </w:p>
        </w:tc>
        <w:tc>
          <w:tcPr>
            <w:tcW w:w="420" w:type="dxa"/>
            <w:vAlign w:val="bottom"/>
            <w:tcBorders>
              <w:bottom w:val="single" w:sz="8" w:color="62259D"/>
            </w:tcBorders>
          </w:tcPr>
          <w:p>
            <w:pPr>
              <w:jc w:val="center"/>
              <w:spacing w:after="0"/>
              <w:rPr>
                <w:sz w:val="20"/>
                <w:szCs w:val="20"/>
                <w:color w:val="auto"/>
              </w:rPr>
            </w:pPr>
            <w:r>
              <w:rPr>
                <w:rFonts w:ascii="Arial" w:cs="Arial" w:eastAsia="Arial" w:hAnsi="Arial"/>
                <w:sz w:val="16"/>
                <w:szCs w:val="16"/>
                <w:color w:val="auto"/>
              </w:rPr>
              <w:t>​ ​ ​​</w:t>
            </w:r>
          </w:p>
        </w:tc>
        <w:tc>
          <w:tcPr>
            <w:tcW w:w="1020" w:type="dxa"/>
            <w:vAlign w:val="bottom"/>
            <w:tcBorders>
              <w:bottom w:val="single" w:sz="8" w:color="62259D"/>
            </w:tcBorders>
            <w:gridSpan w:val="2"/>
          </w:tcPr>
          <w:p>
            <w:pPr>
              <w:jc w:val="right"/>
              <w:spacing w:after="0"/>
              <w:rPr>
                <w:sz w:val="20"/>
                <w:szCs w:val="20"/>
                <w:color w:val="auto"/>
              </w:rPr>
            </w:pPr>
            <w:r>
              <w:rPr>
                <w:rFonts w:ascii="Arial" w:cs="Arial" w:eastAsia="Arial" w:hAnsi="Arial"/>
                <w:sz w:val="16"/>
                <w:szCs w:val="16"/>
                <w:color w:val="auto"/>
              </w:rPr>
              <w:t>2.20​%​</w:t>
            </w:r>
          </w:p>
        </w:tc>
        <w:tc>
          <w:tcPr>
            <w:tcW w:w="160" w:type="dxa"/>
            <w:vAlign w:val="bottom"/>
            <w:tcBorders>
              <w:bottom w:val="single" w:sz="8" w:color="62259D"/>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62259D"/>
            </w:tcBorders>
            <w:gridSpan w:val="2"/>
          </w:tcPr>
          <w:p>
            <w:pPr>
              <w:jc w:val="right"/>
              <w:ind w:right="2"/>
              <w:spacing w:after="0"/>
              <w:rPr>
                <w:sz w:val="20"/>
                <w:szCs w:val="20"/>
                <w:color w:val="auto"/>
              </w:rPr>
            </w:pPr>
            <w:r>
              <w:rPr>
                <w:rFonts w:ascii="Arial" w:cs="Arial" w:eastAsia="Arial" w:hAnsi="Arial"/>
                <w:sz w:val="16"/>
                <w:szCs w:val="16"/>
                <w:color w:val="auto"/>
              </w:rPr>
              <w:t>3.99​%​</w:t>
            </w:r>
          </w:p>
        </w:tc>
        <w:tc>
          <w:tcPr>
            <w:tcW w:w="140" w:type="dxa"/>
            <w:vAlign w:val="bottom"/>
            <w:tcBorders>
              <w:bottom w:val="single" w:sz="8" w:color="62259D"/>
            </w:tcBorders>
          </w:tcPr>
          <w:p>
            <w:pP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62259D"/>
            </w:tcBorders>
            <w:gridSpan w:val="2"/>
          </w:tcPr>
          <w:p>
            <w:pPr>
              <w:jc w:val="right"/>
              <w:ind w:right="22"/>
              <w:spacing w:after="0"/>
              <w:rPr>
                <w:sz w:val="20"/>
                <w:szCs w:val="20"/>
                <w:color w:val="auto"/>
              </w:rPr>
            </w:pPr>
            <w:r>
              <w:rPr>
                <w:rFonts w:ascii="Arial" w:cs="Arial" w:eastAsia="Arial" w:hAnsi="Arial"/>
                <w:sz w:val="16"/>
                <w:szCs w:val="16"/>
                <w:color w:val="auto"/>
              </w:rPr>
              <w:t>5.31​%​</w:t>
            </w:r>
          </w:p>
        </w:tc>
        <w:tc>
          <w:tcPr>
            <w:tcW w:w="280" w:type="dxa"/>
            <w:vAlign w:val="bottom"/>
            <w:tcBorders>
              <w:bottom w:val="single" w:sz="8" w:color="62259D"/>
            </w:tcBorders>
          </w:tcPr>
          <w:p>
            <w:pPr>
              <w:ind w:left="120"/>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62259D"/>
            </w:tcBorders>
            <w:gridSpan w:val="2"/>
          </w:tcPr>
          <w:p>
            <w:pPr>
              <w:jc w:val="right"/>
              <w:spacing w:after="0"/>
              <w:rPr>
                <w:sz w:val="20"/>
                <w:szCs w:val="20"/>
                <w:color w:val="auto"/>
              </w:rPr>
            </w:pPr>
            <w:r>
              <w:rPr>
                <w:rFonts w:ascii="Arial" w:cs="Arial" w:eastAsia="Arial" w:hAnsi="Arial"/>
                <w:sz w:val="16"/>
                <w:szCs w:val="16"/>
                <w:b w:val="1"/>
                <w:bCs w:val="1"/>
                <w:color w:val="auto"/>
              </w:rPr>
              <w:t>3.83%</w:t>
            </w:r>
            <w:r>
              <w:rPr>
                <w:rFonts w:ascii="Arial" w:cs="Arial" w:eastAsia="Arial" w:hAnsi="Arial"/>
                <w:sz w:val="16"/>
                <w:szCs w:val="16"/>
                <w:color w:val="auto"/>
              </w:rPr>
              <w:t>​​</w:t>
            </w:r>
          </w:p>
        </w:tc>
      </w:tr>
    </w:tbl>
    <w:p>
      <w:pPr>
        <w:spacing w:after="0" w:line="143" w:lineRule="exact"/>
        <w:rPr>
          <w:sz w:val="20"/>
          <w:szCs w:val="20"/>
          <w:color w:val="auto"/>
        </w:rPr>
      </w:pPr>
    </w:p>
    <w:p>
      <w:pPr>
        <w:ind w:left="920" w:right="119"/>
        <w:spacing w:after="0" w:line="255" w:lineRule="auto"/>
        <w:rPr>
          <w:sz w:val="20"/>
          <w:szCs w:val="20"/>
          <w:color w:val="auto"/>
        </w:rPr>
      </w:pPr>
      <w:r>
        <w:rPr>
          <w:rFonts w:ascii="Arial" w:cs="Arial" w:eastAsia="Arial" w:hAnsi="Arial"/>
          <w:sz w:val="18"/>
          <w:szCs w:val="18"/>
          <w:color w:val="auto"/>
        </w:rPr>
        <w:t>Our Board recognizes that the increase in the number of new shares under the New Plan will result in additional dilution or “overhang” for our stockholders, although we believe that the incremental dilution would be appropriate to continue to, among other things, recruit, motivate and retain our employees, directors, consultants and advisors. As commonly calculated, the total potential overhang resulting from the adoption of the New Plan would be approximately 11.6%, with the incremental overhang resulting from the new share increase due to the adoption of the New Plan equal to approximately 7.0%. This overhang is calculated as follows, as of March 31, 2025, unless otherwise noted, and there have been no material changes since that date (unless otherwise noted):</w:t>
      </w:r>
    </w:p>
    <w:p>
      <w:pPr>
        <w:spacing w:after="0" w:line="129"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380" w:type="dxa"/>
            <w:vAlign w:val="bottom"/>
            <w:tcBorders>
              <w:top w:val="single" w:sz="8" w:color="62259D"/>
              <w:bottom w:val="single" w:sz="8" w:color="E7417A"/>
            </w:tcBorders>
            <w:gridSpan w:val="2"/>
            <w:shd w:val="clear" w:color="auto" w:fill="CCEEFF"/>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 xml:space="preserve"> (a)</w:t>
            </w:r>
          </w:p>
        </w:tc>
        <w:tc>
          <w:tcPr>
            <w:tcW w:w="6580" w:type="dxa"/>
            <w:vAlign w:val="bottom"/>
            <w:tcBorders>
              <w:top w:val="single" w:sz="8" w:color="62259D"/>
              <w:bottom w:val="single" w:sz="8" w:color="E7417A"/>
            </w:tcBorders>
            <w:shd w:val="clear" w:color="auto" w:fill="CCEEFF"/>
          </w:tcPr>
          <w:p>
            <w:pPr>
              <w:ind w:left="60"/>
              <w:spacing w:after="0"/>
              <w:rPr>
                <w:sz w:val="20"/>
                <w:szCs w:val="20"/>
                <w:color w:val="auto"/>
              </w:rPr>
            </w:pPr>
            <w:r>
              <w:rPr>
                <w:rFonts w:ascii="Arial" w:cs="Arial" w:eastAsia="Arial" w:hAnsi="Arial"/>
                <w:sz w:val="16"/>
                <w:szCs w:val="16"/>
                <w:color w:val="auto"/>
              </w:rPr>
              <w:t>Stock Options Outstanding</w:t>
            </w:r>
          </w:p>
        </w:tc>
        <w:tc>
          <w:tcPr>
            <w:tcW w:w="940" w:type="dxa"/>
            <w:vAlign w:val="bottom"/>
            <w:tcBorders>
              <w:top w:val="single" w:sz="8" w:color="62259D"/>
              <w:bottom w:val="single" w:sz="8" w:color="E7417A"/>
            </w:tcBorders>
            <w:gridSpan w:val="2"/>
            <w:shd w:val="clear" w:color="auto" w:fill="CCEEFF"/>
          </w:tcPr>
          <w:p>
            <w:pPr>
              <w:ind w:left="520"/>
              <w:spacing w:after="0" w:line="269" w:lineRule="exact"/>
              <w:rPr>
                <w:sz w:val="20"/>
                <w:szCs w:val="20"/>
                <w:color w:val="auto"/>
              </w:rPr>
            </w:pPr>
            <w:r>
              <w:rPr>
                <w:rFonts w:ascii="Arial" w:cs="Arial" w:eastAsia="Arial" w:hAnsi="Arial"/>
                <w:sz w:val="16"/>
                <w:szCs w:val="16"/>
                <w:color w:val="auto"/>
              </w:rPr>
              <w:t xml:space="preserve">​ ​ ​ </w:t>
            </w:r>
            <w:r>
              <w:rPr>
                <w:rFonts w:ascii="Arial" w:cs="Arial" w:eastAsia="Arial" w:hAnsi="Arial"/>
                <w:sz w:val="31"/>
                <w:szCs w:val="31"/>
                <w:color w:val="auto"/>
                <w:vertAlign w:val="superscript"/>
              </w:rPr>
              <w:t>​</w:t>
            </w:r>
          </w:p>
        </w:tc>
        <w:tc>
          <w:tcPr>
            <w:tcW w:w="960" w:type="dxa"/>
            <w:vAlign w:val="bottom"/>
            <w:tcBorders>
              <w:top w:val="single" w:sz="8" w:color="62259D"/>
              <w:bottom w:val="single" w:sz="8" w:color="E7417A"/>
            </w:tcBorders>
            <w:shd w:val="clear" w:color="auto" w:fill="CCEEFF"/>
          </w:tcPr>
          <w:p>
            <w:pPr>
              <w:jc w:val="right"/>
              <w:spacing w:after="0" w:line="269" w:lineRule="exact"/>
              <w:rPr>
                <w:sz w:val="20"/>
                <w:szCs w:val="20"/>
                <w:color w:val="auto"/>
              </w:rPr>
            </w:pPr>
            <w:r>
              <w:rPr>
                <w:rFonts w:ascii="Arial" w:cs="Arial" w:eastAsia="Arial" w:hAnsi="Arial"/>
                <w:sz w:val="16"/>
                <w:szCs w:val="16"/>
                <w:color w:val="auto"/>
              </w:rPr>
              <w:t>18,904</w:t>
            </w:r>
            <w:r>
              <w:rPr>
                <w:rFonts w:ascii="Arial" w:cs="Arial" w:eastAsia="Arial" w:hAnsi="Arial"/>
                <w:sz w:val="31"/>
                <w:szCs w:val="31"/>
                <w:color w:val="auto"/>
                <w:vertAlign w:val="subscript"/>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6580" w:type="dxa"/>
            <w:vAlign w:val="bottom"/>
          </w:tcPr>
          <w:p>
            <w:pPr>
              <w:ind w:left="60"/>
              <w:spacing w:after="0"/>
              <w:rPr>
                <w:sz w:val="20"/>
                <w:szCs w:val="20"/>
                <w:color w:val="auto"/>
              </w:rPr>
            </w:pPr>
            <w:r>
              <w:rPr>
                <w:rFonts w:ascii="Arial" w:cs="Arial" w:eastAsia="Arial" w:hAnsi="Arial"/>
                <w:sz w:val="16"/>
                <w:szCs w:val="16"/>
                <w:color w:val="auto"/>
              </w:rPr>
              <w:t>Weighted-Average Exercise Price of Outstanding Stock Options</w:t>
            </w:r>
          </w:p>
        </w:tc>
        <w:tc>
          <w:tcPr>
            <w:tcW w:w="840" w:type="dxa"/>
            <w:vAlign w:val="bottom"/>
          </w:tcPr>
          <w:p>
            <w:pPr>
              <w:ind w:left="520"/>
              <w:spacing w:after="0" w:line="236" w:lineRule="exact"/>
              <w:rPr>
                <w:sz w:val="20"/>
                <w:szCs w:val="20"/>
                <w:color w:val="auto"/>
              </w:rPr>
            </w:pPr>
            <w:r>
              <w:rPr>
                <w:rFonts w:ascii="Arial" w:cs="Arial" w:eastAsia="Arial" w:hAnsi="Arial"/>
                <w:sz w:val="14"/>
                <w:szCs w:val="14"/>
                <w:color w:val="auto"/>
              </w:rPr>
              <w:t>​ ​ ​</w:t>
            </w:r>
            <w:r>
              <w:rPr>
                <w:rFonts w:ascii="Arial" w:cs="Arial" w:eastAsia="Arial" w:hAnsi="Arial"/>
                <w:sz w:val="27"/>
                <w:szCs w:val="27"/>
                <w:color w:val="auto"/>
                <w:vertAlign w:val="superscript"/>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line="236" w:lineRule="exact"/>
              <w:rPr>
                <w:sz w:val="20"/>
                <w:szCs w:val="20"/>
                <w:color w:val="auto"/>
              </w:rPr>
            </w:pPr>
            <w:r>
              <w:rPr>
                <w:rFonts w:ascii="Arial" w:cs="Arial" w:eastAsia="Arial" w:hAnsi="Arial"/>
                <w:sz w:val="14"/>
                <w:szCs w:val="14"/>
                <w:color w:val="auto"/>
              </w:rPr>
              <w:t>1.86</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6"/>
        </w:trPr>
        <w:tc>
          <w:tcPr>
            <w:tcW w:w="80" w:type="dxa"/>
            <w:vAlign w:val="bottom"/>
            <w:tcBorders>
              <w:top w:val="single" w:sz="8" w:color="E7417A"/>
              <w:bottom w:val="single" w:sz="8" w:color="E7417A"/>
            </w:tcBorders>
            <w:shd w:val="clear" w:color="auto" w:fill="CCEEFF"/>
          </w:tcPr>
          <w:p>
            <w:pPr>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E7417A"/>
              <w:bottom w:val="single" w:sz="8" w:color="E7417A"/>
            </w:tcBorders>
            <w:shd w:val="clear" w:color="auto" w:fill="CCEEFF"/>
          </w:tcPr>
          <w:p>
            <w:pPr>
              <w:spacing w:after="0"/>
              <w:rPr>
                <w:sz w:val="20"/>
                <w:szCs w:val="20"/>
                <w:color w:val="auto"/>
              </w:rPr>
            </w:pPr>
          </w:p>
        </w:tc>
        <w:tc>
          <w:tcPr>
            <w:tcW w:w="6580" w:type="dxa"/>
            <w:vAlign w:val="bottom"/>
            <w:tcBorders>
              <w:top w:val="single" w:sz="8" w:color="E7417A"/>
              <w:bottom w:val="single" w:sz="8" w:color="E7417A"/>
            </w:tcBorders>
            <w:shd w:val="clear" w:color="auto" w:fill="CCEEFF"/>
          </w:tcPr>
          <w:p>
            <w:pPr>
              <w:ind w:left="60"/>
              <w:spacing w:after="0"/>
              <w:rPr>
                <w:sz w:val="20"/>
                <w:szCs w:val="20"/>
                <w:color w:val="auto"/>
              </w:rPr>
            </w:pPr>
            <w:r>
              <w:rPr>
                <w:rFonts w:ascii="Arial" w:cs="Arial" w:eastAsia="Arial" w:hAnsi="Arial"/>
                <w:sz w:val="16"/>
                <w:szCs w:val="16"/>
                <w:color w:val="auto"/>
              </w:rPr>
              <w:t>Weighted-Average Remaining Term of Outstanding Stock Options (Years)</w:t>
            </w:r>
          </w:p>
        </w:tc>
        <w:tc>
          <w:tcPr>
            <w:tcW w:w="940" w:type="dxa"/>
            <w:vAlign w:val="bottom"/>
            <w:tcBorders>
              <w:top w:val="single" w:sz="8" w:color="E7417A"/>
              <w:bottom w:val="single" w:sz="8" w:color="E7417A"/>
            </w:tcBorders>
            <w:gridSpan w:val="2"/>
            <w:shd w:val="clear" w:color="auto" w:fill="CCEEFF"/>
          </w:tcPr>
          <w:p>
            <w:pPr>
              <w:ind w:left="520"/>
              <w:spacing w:after="0" w:line="236"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7"/>
                <w:szCs w:val="27"/>
                <w:color w:val="auto"/>
                <w:vertAlign w:val="superscript"/>
              </w:rPr>
              <w:t>​</w:t>
            </w:r>
          </w:p>
        </w:tc>
        <w:tc>
          <w:tcPr>
            <w:tcW w:w="960" w:type="dxa"/>
            <w:vAlign w:val="bottom"/>
            <w:tcBorders>
              <w:top w:val="single" w:sz="8" w:color="E7417A"/>
              <w:bottom w:val="single" w:sz="8" w:color="E7417A"/>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1.98</w:t>
            </w:r>
            <w:r>
              <w:rPr>
                <w:rFonts w:ascii="Arial" w:cs="Arial" w:eastAsia="Arial" w:hAnsi="Arial"/>
                <w:sz w:val="27"/>
                <w:szCs w:val="27"/>
                <w:color w:val="auto"/>
                <w:vertAlign w:val="subscript"/>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 w:type="dxa"/>
            <w:vAlign w:val="bottom"/>
            <w:gridSpan w:val="2"/>
          </w:tcPr>
          <w:p>
            <w:pP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(b)</w:t>
            </w:r>
          </w:p>
        </w:tc>
        <w:tc>
          <w:tcPr>
            <w:tcW w:w="6580" w:type="dxa"/>
            <w:vAlign w:val="bottom"/>
          </w:tcPr>
          <w:p>
            <w:pPr>
              <w:ind w:left="60"/>
              <w:spacing w:after="0"/>
              <w:rPr>
                <w:sz w:val="20"/>
                <w:szCs w:val="20"/>
                <w:color w:val="auto"/>
              </w:rPr>
            </w:pPr>
            <w:r>
              <w:rPr>
                <w:rFonts w:ascii="Arial" w:cs="Arial" w:eastAsia="Arial" w:hAnsi="Arial"/>
                <w:sz w:val="16"/>
                <w:szCs w:val="16"/>
                <w:color w:val="auto"/>
              </w:rPr>
              <w:t>Total Stock-Settled Full-Value Awards Outstanding (at maximum vesting)</w:t>
            </w:r>
          </w:p>
        </w:tc>
        <w:tc>
          <w:tcPr>
            <w:tcW w:w="940" w:type="dxa"/>
            <w:vAlign w:val="bottom"/>
            <w:gridSpan w:val="2"/>
          </w:tcPr>
          <w:p>
            <w:pPr>
              <w:ind w:left="520"/>
              <w:spacing w:after="0" w:line="236"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7"/>
                <w:szCs w:val="27"/>
                <w:color w:val="auto"/>
                <w:vertAlign w:val="superscript"/>
              </w:rPr>
              <w:t>​</w:t>
            </w:r>
          </w:p>
        </w:tc>
        <w:tc>
          <w:tcPr>
            <w:tcW w:w="1000" w:type="dxa"/>
            <w:vAlign w:val="bottom"/>
            <w:gridSpan w:val="2"/>
          </w:tcPr>
          <w:p>
            <w:pPr>
              <w:jc w:val="right"/>
              <w:ind w:right="100"/>
              <w:spacing w:after="0" w:line="236" w:lineRule="exact"/>
              <w:rPr>
                <w:sz w:val="20"/>
                <w:szCs w:val="20"/>
                <w:color w:val="auto"/>
              </w:rPr>
            </w:pPr>
            <w:r>
              <w:rPr>
                <w:rFonts w:ascii="Arial" w:cs="Arial" w:eastAsia="Arial" w:hAnsi="Arial"/>
                <w:sz w:val="14"/>
                <w:szCs w:val="14"/>
                <w:color w:val="auto"/>
              </w:rPr>
              <w:t>6,978,282</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380" w:type="dxa"/>
            <w:vAlign w:val="bottom"/>
            <w:tcBorders>
              <w:top w:val="single" w:sz="8" w:color="E7417A"/>
              <w:bottom w:val="single" w:sz="8" w:color="E7417A"/>
            </w:tcBorders>
            <w:gridSpan w:val="2"/>
            <w:shd w:val="clear" w:color="auto" w:fill="CCEEFF"/>
          </w:tcPr>
          <w:p>
            <w:pP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(c)</w:t>
            </w:r>
          </w:p>
        </w:tc>
        <w:tc>
          <w:tcPr>
            <w:tcW w:w="6580" w:type="dxa"/>
            <w:vAlign w:val="bottom"/>
            <w:tcBorders>
              <w:top w:val="single" w:sz="8" w:color="E7417A"/>
              <w:bottom w:val="single" w:sz="8" w:color="E7417A"/>
            </w:tcBorders>
            <w:shd w:val="clear" w:color="auto" w:fill="CCEEFF"/>
          </w:tcPr>
          <w:p>
            <w:pPr>
              <w:ind w:left="60"/>
              <w:spacing w:after="0"/>
              <w:rPr>
                <w:sz w:val="20"/>
                <w:szCs w:val="20"/>
                <w:color w:val="auto"/>
              </w:rPr>
            </w:pPr>
            <w:r>
              <w:rPr>
                <w:rFonts w:ascii="Arial" w:cs="Arial" w:eastAsia="Arial" w:hAnsi="Arial"/>
                <w:sz w:val="16"/>
                <w:szCs w:val="16"/>
                <w:color w:val="auto"/>
              </w:rPr>
              <w:t>Shares Remaining Available for Future Issuance</w:t>
            </w:r>
            <w:r>
              <w:rPr>
                <w:rFonts w:ascii="Arial" w:cs="Arial" w:eastAsia="Arial" w:hAnsi="Arial"/>
                <w:sz w:val="19"/>
                <w:szCs w:val="19"/>
                <w:color w:val="auto"/>
                <w:vertAlign w:val="superscript"/>
              </w:rPr>
              <w:t>(1)</w:t>
            </w:r>
          </w:p>
        </w:tc>
        <w:tc>
          <w:tcPr>
            <w:tcW w:w="940" w:type="dxa"/>
            <w:vAlign w:val="bottom"/>
            <w:tcBorders>
              <w:top w:val="single" w:sz="8" w:color="E7417A"/>
              <w:bottom w:val="single" w:sz="8" w:color="E7417A"/>
            </w:tcBorders>
            <w:gridSpan w:val="2"/>
            <w:shd w:val="clear" w:color="auto" w:fill="CCEEFF"/>
          </w:tcPr>
          <w:p>
            <w:pPr>
              <w:ind w:left="520"/>
              <w:spacing w:after="0" w:line="236"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7"/>
                <w:szCs w:val="27"/>
                <w:color w:val="auto"/>
                <w:vertAlign w:val="superscript"/>
              </w:rPr>
              <w:t>​</w:t>
            </w:r>
          </w:p>
        </w:tc>
        <w:tc>
          <w:tcPr>
            <w:tcW w:w="960" w:type="dxa"/>
            <w:vAlign w:val="bottom"/>
            <w:tcBorders>
              <w:top w:val="single" w:sz="8" w:color="E7417A"/>
              <w:bottom w:val="single" w:sz="8" w:color="E7417A"/>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2,180,307</w:t>
            </w:r>
            <w:r>
              <w:rPr>
                <w:rFonts w:ascii="Arial" w:cs="Arial" w:eastAsia="Arial" w:hAnsi="Arial"/>
                <w:sz w:val="27"/>
                <w:szCs w:val="27"/>
                <w:color w:val="auto"/>
                <w:vertAlign w:val="subscript"/>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0" w:type="dxa"/>
            <w:vAlign w:val="bottom"/>
            <w:gridSpan w:val="2"/>
          </w:tcPr>
          <w:p>
            <w:pP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(d)</w:t>
            </w:r>
          </w:p>
        </w:tc>
        <w:tc>
          <w:tcPr>
            <w:tcW w:w="6580" w:type="dxa"/>
            <w:vAlign w:val="bottom"/>
          </w:tcPr>
          <w:p>
            <w:pPr>
              <w:ind w:left="60"/>
              <w:spacing w:after="0"/>
              <w:rPr>
                <w:sz w:val="20"/>
                <w:szCs w:val="20"/>
                <w:color w:val="auto"/>
              </w:rPr>
            </w:pPr>
            <w:r>
              <w:rPr>
                <w:rFonts w:ascii="Arial" w:cs="Arial" w:eastAsia="Arial" w:hAnsi="Arial"/>
                <w:sz w:val="16"/>
                <w:szCs w:val="16"/>
                <w:color w:val="auto"/>
              </w:rPr>
              <w:t>Incremental Share Request Subject to Stockholder Approval</w:t>
            </w:r>
          </w:p>
        </w:tc>
        <w:tc>
          <w:tcPr>
            <w:tcW w:w="940" w:type="dxa"/>
            <w:vAlign w:val="bottom"/>
            <w:gridSpan w:val="2"/>
          </w:tcPr>
          <w:p>
            <w:pPr>
              <w:ind w:left="520"/>
              <w:spacing w:after="0" w:line="236"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7"/>
                <w:szCs w:val="27"/>
                <w:color w:val="auto"/>
                <w:vertAlign w:val="superscript"/>
              </w:rPr>
              <w:t>​</w:t>
            </w:r>
          </w:p>
        </w:tc>
        <w:tc>
          <w:tcPr>
            <w:tcW w:w="1000" w:type="dxa"/>
            <w:vAlign w:val="bottom"/>
            <w:gridSpan w:val="2"/>
          </w:tcPr>
          <w:p>
            <w:pPr>
              <w:jc w:val="right"/>
              <w:ind w:right="100"/>
              <w:spacing w:after="0" w:line="236" w:lineRule="exact"/>
              <w:rPr>
                <w:sz w:val="20"/>
                <w:szCs w:val="20"/>
                <w:color w:val="auto"/>
              </w:rPr>
            </w:pPr>
            <w:r>
              <w:rPr>
                <w:rFonts w:ascii="Arial" w:cs="Arial" w:eastAsia="Arial" w:hAnsi="Arial"/>
                <w:sz w:val="14"/>
                <w:szCs w:val="14"/>
                <w:color w:val="auto"/>
              </w:rPr>
              <w:t>14,000,000</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380" w:type="dxa"/>
            <w:vAlign w:val="bottom"/>
            <w:tcBorders>
              <w:top w:val="single" w:sz="8" w:color="E7417A"/>
              <w:bottom w:val="single" w:sz="8" w:color="E7417A"/>
            </w:tcBorders>
            <w:gridSpan w:val="2"/>
            <w:shd w:val="clear" w:color="auto" w:fill="CCEEFF"/>
          </w:tcPr>
          <w:p>
            <w:pP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(e)</w:t>
            </w:r>
          </w:p>
        </w:tc>
        <w:tc>
          <w:tcPr>
            <w:tcW w:w="6580" w:type="dxa"/>
            <w:vAlign w:val="bottom"/>
            <w:tcBorders>
              <w:top w:val="single" w:sz="8" w:color="E7417A"/>
              <w:bottom w:val="single" w:sz="8" w:color="E7417A"/>
            </w:tcBorders>
            <w:shd w:val="clear" w:color="auto" w:fill="CCEEFF"/>
          </w:tcPr>
          <w:p>
            <w:pPr>
              <w:ind w:left="60"/>
              <w:spacing w:after="0"/>
              <w:rPr>
                <w:sz w:val="20"/>
                <w:szCs w:val="20"/>
                <w:color w:val="auto"/>
              </w:rPr>
            </w:pPr>
            <w:r>
              <w:rPr>
                <w:rFonts w:ascii="Arial" w:cs="Arial" w:eastAsia="Arial" w:hAnsi="Arial"/>
                <w:sz w:val="16"/>
                <w:szCs w:val="16"/>
                <w:color w:val="auto"/>
              </w:rPr>
              <w:t>Total Shares Authorized for, or Outstanding Under, Equity Awards (a + b + c + d)</w:t>
            </w:r>
          </w:p>
        </w:tc>
        <w:tc>
          <w:tcPr>
            <w:tcW w:w="940" w:type="dxa"/>
            <w:vAlign w:val="bottom"/>
            <w:tcBorders>
              <w:top w:val="single" w:sz="8" w:color="E7417A"/>
              <w:bottom w:val="single" w:sz="8" w:color="E7417A"/>
            </w:tcBorders>
            <w:gridSpan w:val="2"/>
            <w:shd w:val="clear" w:color="auto" w:fill="CCEEFF"/>
          </w:tcPr>
          <w:p>
            <w:pPr>
              <w:ind w:left="520"/>
              <w:spacing w:after="0" w:line="236"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7"/>
                <w:szCs w:val="27"/>
                <w:color w:val="auto"/>
                <w:vertAlign w:val="superscript"/>
              </w:rPr>
              <w:t>​</w:t>
            </w:r>
          </w:p>
        </w:tc>
        <w:tc>
          <w:tcPr>
            <w:tcW w:w="960" w:type="dxa"/>
            <w:vAlign w:val="bottom"/>
            <w:tcBorders>
              <w:top w:val="single" w:sz="8" w:color="E7417A"/>
              <w:bottom w:val="single" w:sz="8" w:color="E7417A"/>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23,177,493</w:t>
            </w:r>
            <w:r>
              <w:rPr>
                <w:rFonts w:ascii="Arial" w:cs="Arial" w:eastAsia="Arial" w:hAnsi="Arial"/>
                <w:sz w:val="27"/>
                <w:szCs w:val="27"/>
                <w:color w:val="auto"/>
                <w:vertAlign w:val="subscript"/>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0" w:type="dxa"/>
            <w:vAlign w:val="bottom"/>
            <w:gridSpan w:val="2"/>
          </w:tcPr>
          <w:p>
            <w:pP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(f)</w:t>
            </w:r>
          </w:p>
        </w:tc>
        <w:tc>
          <w:tcPr>
            <w:tcW w:w="6580" w:type="dxa"/>
            <w:vAlign w:val="bottom"/>
          </w:tcPr>
          <w:p>
            <w:pPr>
              <w:ind w:left="60"/>
              <w:spacing w:after="0"/>
              <w:rPr>
                <w:sz w:val="20"/>
                <w:szCs w:val="20"/>
                <w:color w:val="auto"/>
              </w:rPr>
            </w:pPr>
            <w:r>
              <w:rPr>
                <w:rFonts w:ascii="Arial" w:cs="Arial" w:eastAsia="Arial" w:hAnsi="Arial"/>
                <w:sz w:val="16"/>
                <w:szCs w:val="16"/>
                <w:color w:val="auto"/>
              </w:rPr>
              <w:t>Common Shares Outstanding as of the Record Date</w:t>
            </w:r>
          </w:p>
        </w:tc>
        <w:tc>
          <w:tcPr>
            <w:tcW w:w="1940" w:type="dxa"/>
            <w:vAlign w:val="bottom"/>
            <w:gridSpan w:val="4"/>
          </w:tcPr>
          <w:p>
            <w:pPr>
              <w:jc w:val="right"/>
              <w:ind w:right="100"/>
              <w:spacing w:after="0" w:line="236" w:lineRule="exact"/>
              <w:rPr>
                <w:sz w:val="20"/>
                <w:szCs w:val="20"/>
                <w:color w:val="auto"/>
              </w:rPr>
            </w:pPr>
            <w:r>
              <w:rPr>
                <w:rFonts w:ascii="Arial" w:cs="Arial" w:eastAsia="Arial" w:hAnsi="Arial"/>
                <w:sz w:val="27"/>
                <w:szCs w:val="27"/>
                <w:color w:val="auto"/>
                <w:vertAlign w:val="subscript"/>
              </w:rPr>
              <w:t>​ ​ ​</w:t>
            </w:r>
            <w:r>
              <w:rPr>
                <w:rFonts w:ascii="Arial" w:cs="Arial" w:eastAsia="Arial" w:hAnsi="Arial"/>
                <w:sz w:val="14"/>
                <w:szCs w:val="14"/>
                <w:color w:val="auto"/>
              </w:rPr>
              <w:t xml:space="preserve"> ​175,933,338</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169"/>
        </w:trPr>
        <w:tc>
          <w:tcPr>
            <w:tcW w:w="80" w:type="dxa"/>
            <w:vAlign w:val="bottom"/>
            <w:tcBorders>
              <w:top w:val="single" w:sz="8" w:color="E7417A"/>
            </w:tcBorders>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E7417A"/>
            </w:tcBorders>
            <w:shd w:val="clear" w:color="auto" w:fill="CCEEFF"/>
          </w:tcPr>
          <w:p>
            <w:pPr>
              <w:ind w:left="40"/>
              <w:spacing w:after="0" w:line="169" w:lineRule="exact"/>
              <w:rPr>
                <w:sz w:val="20"/>
                <w:szCs w:val="20"/>
                <w:color w:val="auto"/>
              </w:rPr>
            </w:pPr>
            <w:r>
              <w:rPr>
                <w:rFonts w:ascii="Arial" w:cs="Arial" w:eastAsia="Arial" w:hAnsi="Arial"/>
                <w:sz w:val="16"/>
                <w:szCs w:val="16"/>
                <w:color w:val="auto"/>
              </w:rPr>
              <w:t>(g)</w:t>
            </w:r>
          </w:p>
        </w:tc>
        <w:tc>
          <w:tcPr>
            <w:tcW w:w="6580" w:type="dxa"/>
            <w:vAlign w:val="bottom"/>
            <w:tcBorders>
              <w:top w:val="single" w:sz="8" w:color="E7417A"/>
            </w:tcBorders>
            <w:shd w:val="clear" w:color="auto" w:fill="CCEEFF"/>
          </w:tcPr>
          <w:p>
            <w:pPr>
              <w:ind w:left="60"/>
              <w:spacing w:after="0" w:line="169" w:lineRule="exact"/>
              <w:rPr>
                <w:sz w:val="20"/>
                <w:szCs w:val="20"/>
                <w:color w:val="auto"/>
              </w:rPr>
            </w:pPr>
            <w:r>
              <w:rPr>
                <w:rFonts w:ascii="Arial" w:cs="Arial" w:eastAsia="Arial" w:hAnsi="Arial"/>
                <w:sz w:val="16"/>
                <w:szCs w:val="16"/>
                <w:color w:val="auto"/>
              </w:rPr>
              <w:t>Total Fully-Diluted Overhang (e / (e + f))</w:t>
            </w:r>
          </w:p>
        </w:tc>
        <w:tc>
          <w:tcPr>
            <w:tcW w:w="840" w:type="dxa"/>
            <w:vAlign w:val="bottom"/>
            <w:tcBorders>
              <w:top w:val="single" w:sz="8" w:color="E7417A"/>
            </w:tcBorders>
            <w:vMerge w:val="restart"/>
            <w:shd w:val="clear" w:color="auto" w:fill="CCEEFF"/>
          </w:tcPr>
          <w:p>
            <w:pPr>
              <w:ind w:left="520"/>
              <w:spacing w:after="0"/>
              <w:rPr>
                <w:sz w:val="20"/>
                <w:szCs w:val="20"/>
                <w:color w:val="auto"/>
              </w:rPr>
            </w:pPr>
            <w:r>
              <w:rPr>
                <w:rFonts w:ascii="Arial" w:cs="Arial" w:eastAsia="Arial" w:hAnsi="Arial"/>
                <w:sz w:val="16"/>
                <w:szCs w:val="16"/>
                <w:color w:val="auto"/>
              </w:rPr>
              <w:t>​ ​ ​</w:t>
            </w:r>
          </w:p>
        </w:tc>
        <w:tc>
          <w:tcPr>
            <w:tcW w:w="100" w:type="dxa"/>
            <w:vAlign w:val="bottom"/>
            <w:tcBorders>
              <w:top w:val="single" w:sz="8" w:color="E7417A"/>
            </w:tcBorders>
            <w:shd w:val="clear" w:color="auto" w:fill="CCEEFF"/>
          </w:tcPr>
          <w:p>
            <w:pPr>
              <w:spacing w:after="0" w:line="169" w:lineRule="exact"/>
              <w:rPr>
                <w:sz w:val="20"/>
                <w:szCs w:val="20"/>
                <w:color w:val="auto"/>
              </w:rPr>
            </w:pPr>
            <w:r>
              <w:rPr>
                <w:rFonts w:ascii="Arial" w:cs="Arial" w:eastAsia="Arial" w:hAnsi="Arial"/>
                <w:sz w:val="16"/>
                <w:szCs w:val="16"/>
                <w:color w:val="auto"/>
              </w:rPr>
              <w:t>​</w:t>
            </w:r>
          </w:p>
        </w:tc>
        <w:tc>
          <w:tcPr>
            <w:tcW w:w="960" w:type="dxa"/>
            <w:vAlign w:val="bottom"/>
            <w:tcBorders>
              <w:top w:val="single" w:sz="8" w:color="E7417A"/>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80" w:type="dxa"/>
            <w:vAlign w:val="bottom"/>
            <w:tcBorders>
              <w:bottom w:val="single" w:sz="8" w:color="62259D"/>
            </w:tcBorders>
            <w:vMerge w:val="continue"/>
            <w:shd w:val="clear" w:color="auto" w:fill="CCEEFF"/>
          </w:tcPr>
          <w:p>
            <w:pPr>
              <w:spacing w:after="0"/>
              <w:rPr>
                <w:sz w:val="5"/>
                <w:szCs w:val="5"/>
                <w:color w:val="auto"/>
              </w:rPr>
            </w:pPr>
          </w:p>
        </w:tc>
        <w:tc>
          <w:tcPr>
            <w:tcW w:w="300" w:type="dxa"/>
            <w:vAlign w:val="bottom"/>
            <w:tcBorders>
              <w:bottom w:val="single" w:sz="8" w:color="62259D"/>
            </w:tcBorders>
            <w:shd w:val="clear" w:color="auto" w:fill="CCEEFF"/>
          </w:tcPr>
          <w:p>
            <w:pPr>
              <w:spacing w:after="0"/>
              <w:rPr>
                <w:sz w:val="5"/>
                <w:szCs w:val="5"/>
                <w:color w:val="auto"/>
              </w:rPr>
            </w:pPr>
          </w:p>
        </w:tc>
        <w:tc>
          <w:tcPr>
            <w:tcW w:w="6580" w:type="dxa"/>
            <w:vAlign w:val="bottom"/>
            <w:tcBorders>
              <w:bottom w:val="single" w:sz="8" w:color="62259D"/>
            </w:tcBorders>
            <w:shd w:val="clear" w:color="auto" w:fill="CCEEFF"/>
          </w:tcPr>
          <w:p>
            <w:pPr>
              <w:spacing w:after="0"/>
              <w:rPr>
                <w:sz w:val="5"/>
                <w:szCs w:val="5"/>
                <w:color w:val="auto"/>
              </w:rPr>
            </w:pPr>
          </w:p>
        </w:tc>
        <w:tc>
          <w:tcPr>
            <w:tcW w:w="840" w:type="dxa"/>
            <w:vAlign w:val="bottom"/>
            <w:tcBorders>
              <w:bottom w:val="single" w:sz="8" w:color="62259D"/>
            </w:tcBorders>
            <w:vMerge w:val="continue"/>
            <w:shd w:val="clear" w:color="auto" w:fill="CCEEFF"/>
          </w:tcPr>
          <w:p>
            <w:pPr>
              <w:spacing w:after="0"/>
              <w:rPr>
                <w:sz w:val="5"/>
                <w:szCs w:val="5"/>
                <w:color w:val="auto"/>
              </w:rPr>
            </w:pPr>
          </w:p>
        </w:tc>
        <w:tc>
          <w:tcPr>
            <w:tcW w:w="100" w:type="dxa"/>
            <w:vAlign w:val="bottom"/>
            <w:tcBorders>
              <w:bottom w:val="single" w:sz="8" w:color="62259D"/>
            </w:tcBorders>
            <w:shd w:val="clear" w:color="auto" w:fill="CCEEFF"/>
          </w:tcPr>
          <w:p>
            <w:pPr>
              <w:spacing w:after="0"/>
              <w:rPr>
                <w:sz w:val="5"/>
                <w:szCs w:val="5"/>
                <w:color w:val="auto"/>
              </w:rPr>
            </w:pPr>
          </w:p>
        </w:tc>
        <w:tc>
          <w:tcPr>
            <w:tcW w:w="960" w:type="dxa"/>
            <w:vAlign w:val="bottom"/>
            <w:tcBorders>
              <w:bottom w:val="single" w:sz="8" w:color="62259D"/>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400" w:right="239" w:hanging="368"/>
        <w:spacing w:after="0" w:line="272" w:lineRule="auto"/>
        <w:tabs>
          <w:tab w:leader="none" w:pos="140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We do not intend to make any future grants under the 2019 Plan after the Effective Date if our stockholders approve the New Plan.</w:t>
      </w:r>
    </w:p>
    <w:p>
      <w:pPr>
        <w:spacing w:after="0" w:line="294" w:lineRule="exact"/>
        <w:rPr>
          <w:sz w:val="20"/>
          <w:szCs w:val="20"/>
          <w:color w:val="auto"/>
        </w:rPr>
      </w:pPr>
    </w:p>
    <w:p>
      <w:pPr>
        <w:ind w:left="920" w:right="479"/>
        <w:spacing w:after="0" w:line="268" w:lineRule="auto"/>
        <w:rPr>
          <w:sz w:val="20"/>
          <w:szCs w:val="20"/>
          <w:color w:val="auto"/>
        </w:rPr>
      </w:pPr>
      <w:r>
        <w:rPr>
          <w:rFonts w:ascii="Arial" w:cs="Arial" w:eastAsia="Arial" w:hAnsi="Arial"/>
          <w:sz w:val="18"/>
          <w:szCs w:val="18"/>
          <w:color w:val="auto"/>
        </w:rPr>
        <w:t>In October 2024, in connection with Mr. Townsend’s commencement of employment, we awarded him 230,769 restricted stock units and 545,352 performance stock units (at target). These awards were not granted under the 2019 Plan, but could materially affect the current overhang for our stockholders.</w:t>
      </w:r>
    </w:p>
    <w:p>
      <w:pPr>
        <w:spacing w:after="0" w:line="103" w:lineRule="exact"/>
        <w:rPr>
          <w:sz w:val="20"/>
          <w:szCs w:val="20"/>
          <w:color w:val="auto"/>
        </w:rPr>
      </w:pPr>
    </w:p>
    <w:p>
      <w:pPr>
        <w:ind w:left="920" w:right="159"/>
        <w:spacing w:after="0" w:line="259" w:lineRule="auto"/>
        <w:rPr>
          <w:sz w:val="20"/>
          <w:szCs w:val="20"/>
          <w:color w:val="auto"/>
        </w:rPr>
      </w:pPr>
      <w:r>
        <w:rPr>
          <w:rFonts w:ascii="Arial" w:cs="Arial" w:eastAsia="Arial" w:hAnsi="Arial"/>
          <w:sz w:val="18"/>
          <w:szCs w:val="18"/>
          <w:color w:val="auto"/>
        </w:rPr>
        <w:t>In light of the factors described above and the fact that our ability to continue to grant equity compensation is integral to our ability to continue to attract and retain talented employees in the markets in which we compete, the Compensation Committee and our Board have determined that the size of the share reserve under the New Plan is reasonable and appropriate at this time. Our Board will not create a subcommittee to evaluate the risks and benefits for issuing the additional authorized shares requested.</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72</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Equity Compensation Plan Information</w:t>
      </w:r>
    </w:p>
    <w:p>
      <w:pPr>
        <w:spacing w:after="0" w:line="145" w:lineRule="exact"/>
        <w:rPr>
          <w:sz w:val="20"/>
          <w:szCs w:val="20"/>
          <w:color w:val="auto"/>
        </w:rPr>
      </w:pPr>
    </w:p>
    <w:p>
      <w:pPr>
        <w:ind w:left="920" w:right="179"/>
        <w:spacing w:after="0" w:line="271" w:lineRule="auto"/>
        <w:rPr>
          <w:sz w:val="20"/>
          <w:szCs w:val="20"/>
          <w:color w:val="auto"/>
        </w:rPr>
      </w:pPr>
      <w:r>
        <w:rPr>
          <w:rFonts w:ascii="Arial" w:cs="Arial" w:eastAsia="Arial" w:hAnsi="Arial"/>
          <w:sz w:val="18"/>
          <w:szCs w:val="18"/>
          <w:color w:val="auto"/>
        </w:rPr>
        <w:t>The following table provides information as of the Effective Date with respect to the shares of our common stock that may be issued under our existing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83820</wp:posOffset>
            </wp:positionV>
            <wp:extent cx="59690" cy="129413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9690" cy="1294130"/>
                    </a:xfrm>
                    <a:prstGeom prst="rect">
                      <a:avLst/>
                    </a:prstGeom>
                    <a:noFill/>
                  </pic:spPr>
                </pic:pic>
              </a:graphicData>
            </a:graphic>
          </wp:anchor>
        </w:drawing>
      </w:r>
    </w:p>
    <w:p>
      <w:pPr>
        <w:spacing w:after="0" w:line="112" w:lineRule="exact"/>
        <w:rPr>
          <w:sz w:val="20"/>
          <w:szCs w:val="20"/>
          <w:color w:val="auto"/>
        </w:rPr>
      </w:pPr>
    </w:p>
    <w:tbl>
      <w:tblPr>
        <w:tblLayout w:type="fixed"/>
        <w:tblInd w:w="920" w:type="dxa"/>
        <w:tblCellMar>
          <w:top w:w="0" w:type="dxa"/>
          <w:left w:w="0" w:type="dxa"/>
          <w:bottom w:w="0" w:type="dxa"/>
          <w:right w:w="0" w:type="dxa"/>
        </w:tblCellMar>
      </w:tblPr>
      <w:tr>
        <w:trPr>
          <w:trHeight w:val="263"/>
        </w:trPr>
        <w:tc>
          <w:tcPr>
            <w:tcW w:w="60" w:type="dxa"/>
            <w:vAlign w:val="bottom"/>
            <w:shd w:val="clear" w:color="auto" w:fill="62259D"/>
          </w:tcPr>
          <w:p>
            <w:pPr>
              <w:spacing w:after="0"/>
              <w:rPr>
                <w:sz w:val="22"/>
                <w:szCs w:val="22"/>
                <w:color w:val="auto"/>
              </w:rPr>
            </w:pPr>
          </w:p>
        </w:tc>
        <w:tc>
          <w:tcPr>
            <w:tcW w:w="3660" w:type="dxa"/>
            <w:vAlign w:val="bottom"/>
            <w:gridSpan w:val="2"/>
            <w:shd w:val="clear" w:color="auto" w:fill="62259D"/>
          </w:tcPr>
          <w:p>
            <w:pPr>
              <w:spacing w:after="0"/>
              <w:rPr>
                <w:sz w:val="20"/>
                <w:szCs w:val="20"/>
                <w:color w:val="auto"/>
              </w:rPr>
            </w:pPr>
            <w:r>
              <w:rPr>
                <w:rFonts w:ascii="Arial" w:cs="Arial" w:eastAsia="Arial" w:hAnsi="Arial"/>
                <w:sz w:val="16"/>
                <w:szCs w:val="16"/>
                <w:b w:val="1"/>
                <w:bCs w:val="1"/>
                <w:color w:val="FEFEFE"/>
              </w:rPr>
              <w:t>​​</w:t>
            </w:r>
          </w:p>
        </w:tc>
        <w:tc>
          <w:tcPr>
            <w:tcW w:w="220" w:type="dxa"/>
            <w:vAlign w:val="bottom"/>
            <w:shd w:val="clear" w:color="auto" w:fill="62259D"/>
          </w:tcPr>
          <w:p>
            <w:pPr>
              <w:ind w:left="60"/>
              <w:spacing w:after="0"/>
              <w:rPr>
                <w:sz w:val="20"/>
                <w:szCs w:val="20"/>
                <w:color w:val="auto"/>
              </w:rPr>
            </w:pPr>
            <w:r>
              <w:rPr>
                <w:rFonts w:ascii="Arial" w:cs="Arial" w:eastAsia="Arial" w:hAnsi="Arial"/>
                <w:sz w:val="16"/>
                <w:szCs w:val="16"/>
                <w:b w:val="1"/>
                <w:bCs w:val="1"/>
                <w:color w:val="FEFEFE"/>
              </w:rPr>
              <w:t>​ ​</w:t>
            </w:r>
          </w:p>
        </w:tc>
        <w:tc>
          <w:tcPr>
            <w:tcW w:w="1260" w:type="dxa"/>
            <w:vAlign w:val="bottom"/>
            <w:shd w:val="clear" w:color="auto" w:fill="62259D"/>
          </w:tcPr>
          <w:p>
            <w:pPr>
              <w:jc w:val="right"/>
              <w:ind w:right="406"/>
              <w:spacing w:after="0"/>
              <w:rPr>
                <w:sz w:val="20"/>
                <w:szCs w:val="20"/>
                <w:color w:val="auto"/>
              </w:rPr>
            </w:pPr>
            <w:r>
              <w:rPr>
                <w:rFonts w:ascii="Arial" w:cs="Arial" w:eastAsia="Arial" w:hAnsi="Arial"/>
                <w:sz w:val="16"/>
                <w:szCs w:val="16"/>
                <w:b w:val="1"/>
                <w:bCs w:val="1"/>
                <w:color w:val="FEFEFE"/>
              </w:rPr>
              <w:t>(A)</w:t>
            </w:r>
          </w:p>
        </w:tc>
        <w:tc>
          <w:tcPr>
            <w:tcW w:w="260" w:type="dxa"/>
            <w:vAlign w:val="bottom"/>
            <w:shd w:val="clear" w:color="auto" w:fill="62259D"/>
          </w:tcPr>
          <w:p>
            <w:pPr>
              <w:ind w:left="100"/>
              <w:spacing w:after="0"/>
              <w:rPr>
                <w:sz w:val="20"/>
                <w:szCs w:val="20"/>
                <w:color w:val="auto"/>
              </w:rPr>
            </w:pPr>
            <w:r>
              <w:rPr>
                <w:rFonts w:ascii="Arial" w:cs="Arial" w:eastAsia="Arial" w:hAnsi="Arial"/>
                <w:sz w:val="16"/>
                <w:szCs w:val="16"/>
                <w:b w:val="1"/>
                <w:bCs w:val="1"/>
                <w:color w:val="FEFEFE"/>
              </w:rPr>
              <w:t>​ ​</w:t>
            </w:r>
          </w:p>
        </w:tc>
        <w:tc>
          <w:tcPr>
            <w:tcW w:w="480" w:type="dxa"/>
            <w:vAlign w:val="bottom"/>
            <w:shd w:val="clear" w:color="auto" w:fill="62259D"/>
          </w:tcPr>
          <w:p>
            <w:pPr>
              <w:spacing w:after="0"/>
              <w:rPr>
                <w:sz w:val="22"/>
                <w:szCs w:val="22"/>
                <w:color w:val="auto"/>
              </w:rPr>
            </w:pPr>
          </w:p>
        </w:tc>
        <w:tc>
          <w:tcPr>
            <w:tcW w:w="340" w:type="dxa"/>
            <w:vAlign w:val="bottom"/>
            <w:shd w:val="clear" w:color="auto" w:fill="62259D"/>
          </w:tcPr>
          <w:p>
            <w:pPr>
              <w:spacing w:after="0"/>
              <w:rPr>
                <w:sz w:val="20"/>
                <w:szCs w:val="20"/>
                <w:color w:val="auto"/>
              </w:rPr>
            </w:pPr>
            <w:r>
              <w:rPr>
                <w:rFonts w:ascii="Arial" w:cs="Arial" w:eastAsia="Arial" w:hAnsi="Arial"/>
                <w:sz w:val="16"/>
                <w:szCs w:val="16"/>
                <w:b w:val="1"/>
                <w:bCs w:val="1"/>
                <w:color w:val="FEFEFE"/>
              </w:rPr>
              <w:t>(B)</w:t>
            </w:r>
          </w:p>
        </w:tc>
        <w:tc>
          <w:tcPr>
            <w:tcW w:w="320" w:type="dxa"/>
            <w:vAlign w:val="bottom"/>
            <w:shd w:val="clear" w:color="auto" w:fill="62259D"/>
          </w:tcPr>
          <w:p>
            <w:pPr>
              <w:spacing w:after="0"/>
              <w:rPr>
                <w:sz w:val="22"/>
                <w:szCs w:val="22"/>
                <w:color w:val="auto"/>
              </w:rPr>
            </w:pPr>
          </w:p>
        </w:tc>
        <w:tc>
          <w:tcPr>
            <w:tcW w:w="280" w:type="dxa"/>
            <w:vAlign w:val="bottom"/>
            <w:shd w:val="clear" w:color="auto" w:fill="62259D"/>
          </w:tcPr>
          <w:p>
            <w:pPr>
              <w:ind w:left="120"/>
              <w:spacing w:after="0"/>
              <w:rPr>
                <w:sz w:val="20"/>
                <w:szCs w:val="20"/>
                <w:color w:val="auto"/>
              </w:rPr>
            </w:pPr>
            <w:r>
              <w:rPr>
                <w:rFonts w:ascii="Arial" w:cs="Arial" w:eastAsia="Arial" w:hAnsi="Arial"/>
                <w:sz w:val="16"/>
                <w:szCs w:val="16"/>
                <w:b w:val="1"/>
                <w:bCs w:val="1"/>
                <w:color w:val="FEFEFE"/>
              </w:rPr>
              <w:t>​ ​</w:t>
            </w:r>
          </w:p>
        </w:tc>
        <w:tc>
          <w:tcPr>
            <w:tcW w:w="620" w:type="dxa"/>
            <w:vAlign w:val="bottom"/>
            <w:shd w:val="clear" w:color="auto" w:fill="62259D"/>
          </w:tcPr>
          <w:p>
            <w:pPr>
              <w:spacing w:after="0"/>
              <w:rPr>
                <w:sz w:val="22"/>
                <w:szCs w:val="22"/>
                <w:color w:val="auto"/>
              </w:rPr>
            </w:pPr>
          </w:p>
        </w:tc>
        <w:tc>
          <w:tcPr>
            <w:tcW w:w="1200" w:type="dxa"/>
            <w:vAlign w:val="bottom"/>
            <w:shd w:val="clear" w:color="auto" w:fill="62259D"/>
          </w:tcPr>
          <w:p>
            <w:pPr>
              <w:jc w:val="right"/>
              <w:ind w:right="679"/>
              <w:spacing w:after="0"/>
              <w:rPr>
                <w:sz w:val="20"/>
                <w:szCs w:val="20"/>
                <w:color w:val="auto"/>
              </w:rPr>
            </w:pPr>
            <w:r>
              <w:rPr>
                <w:rFonts w:ascii="Arial" w:cs="Arial" w:eastAsia="Arial" w:hAnsi="Arial"/>
                <w:sz w:val="16"/>
                <w:szCs w:val="16"/>
                <w:b w:val="1"/>
                <w:bCs w:val="1"/>
                <w:color w:val="FEFEFE"/>
              </w:rPr>
              <w:t>(C)</w:t>
            </w:r>
          </w:p>
        </w:tc>
        <w:tc>
          <w:tcPr>
            <w:tcW w:w="160" w:type="dxa"/>
            <w:vAlign w:val="bottom"/>
            <w:shd w:val="clear" w:color="auto" w:fill="62259D"/>
          </w:tcPr>
          <w:p>
            <w:pPr>
              <w:ind w:left="10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20" w:type="dxa"/>
            <w:vAlign w:val="bottom"/>
            <w:shd w:val="clear" w:color="auto" w:fill="62259D"/>
          </w:tcPr>
          <w:p>
            <w:pPr>
              <w:spacing w:after="0"/>
              <w:rPr>
                <w:sz w:val="19"/>
                <w:szCs w:val="19"/>
                <w:color w:val="auto"/>
              </w:rPr>
            </w:pPr>
          </w:p>
        </w:tc>
        <w:tc>
          <w:tcPr>
            <w:tcW w:w="220" w:type="dxa"/>
            <w:vAlign w:val="bottom"/>
            <w:shd w:val="clear" w:color="auto" w:fill="62259D"/>
          </w:tcPr>
          <w:p>
            <w:pPr>
              <w:spacing w:after="0"/>
              <w:rPr>
                <w:sz w:val="19"/>
                <w:szCs w:val="19"/>
                <w:color w:val="auto"/>
              </w:rPr>
            </w:pPr>
          </w:p>
        </w:tc>
        <w:tc>
          <w:tcPr>
            <w:tcW w:w="1260" w:type="dxa"/>
            <w:vAlign w:val="bottom"/>
            <w:shd w:val="clear" w:color="auto" w:fill="62259D"/>
          </w:tcPr>
          <w:p>
            <w:pPr>
              <w:spacing w:after="0"/>
              <w:rPr>
                <w:sz w:val="19"/>
                <w:szCs w:val="19"/>
                <w:color w:val="auto"/>
              </w:rPr>
            </w:pPr>
          </w:p>
        </w:tc>
        <w:tc>
          <w:tcPr>
            <w:tcW w:w="260" w:type="dxa"/>
            <w:vAlign w:val="bottom"/>
            <w:shd w:val="clear" w:color="auto" w:fill="62259D"/>
          </w:tcPr>
          <w:p>
            <w:pPr>
              <w:spacing w:after="0"/>
              <w:rPr>
                <w:sz w:val="19"/>
                <w:szCs w:val="19"/>
                <w:color w:val="auto"/>
              </w:rPr>
            </w:pPr>
          </w:p>
        </w:tc>
        <w:tc>
          <w:tcPr>
            <w:tcW w:w="480" w:type="dxa"/>
            <w:vAlign w:val="bottom"/>
            <w:shd w:val="clear" w:color="auto" w:fill="62259D"/>
          </w:tcPr>
          <w:p>
            <w:pPr>
              <w:spacing w:after="0"/>
              <w:rPr>
                <w:sz w:val="19"/>
                <w:szCs w:val="19"/>
                <w:color w:val="auto"/>
              </w:rPr>
            </w:pPr>
          </w:p>
        </w:tc>
        <w:tc>
          <w:tcPr>
            <w:tcW w:w="340" w:type="dxa"/>
            <w:vAlign w:val="bottom"/>
            <w:shd w:val="clear" w:color="auto" w:fill="62259D"/>
          </w:tcPr>
          <w:p>
            <w:pPr>
              <w:spacing w:after="0"/>
              <w:rPr>
                <w:sz w:val="19"/>
                <w:szCs w:val="19"/>
                <w:color w:val="auto"/>
              </w:rPr>
            </w:pPr>
          </w:p>
        </w:tc>
        <w:tc>
          <w:tcPr>
            <w:tcW w:w="320" w:type="dxa"/>
            <w:vAlign w:val="bottom"/>
            <w:shd w:val="clear" w:color="auto" w:fill="62259D"/>
          </w:tcPr>
          <w:p>
            <w:pPr>
              <w:spacing w:after="0"/>
              <w:rPr>
                <w:sz w:val="19"/>
                <w:szCs w:val="19"/>
                <w:color w:val="auto"/>
              </w:rPr>
            </w:pPr>
          </w:p>
        </w:tc>
        <w:tc>
          <w:tcPr>
            <w:tcW w:w="280" w:type="dxa"/>
            <w:vAlign w:val="bottom"/>
            <w:shd w:val="clear" w:color="auto" w:fill="62259D"/>
          </w:tcPr>
          <w:p>
            <w:pPr>
              <w:spacing w:after="0"/>
              <w:rPr>
                <w:sz w:val="19"/>
                <w:szCs w:val="19"/>
                <w:color w:val="auto"/>
              </w:rPr>
            </w:pPr>
          </w:p>
        </w:tc>
        <w:tc>
          <w:tcPr>
            <w:tcW w:w="1820" w:type="dxa"/>
            <w:vAlign w:val="bottom"/>
            <w:gridSpan w:val="2"/>
            <w:shd w:val="clear" w:color="auto" w:fill="62259D"/>
          </w:tcPr>
          <w:p>
            <w:pPr>
              <w:jc w:val="center"/>
              <w:spacing w:after="0"/>
              <w:rPr>
                <w:sz w:val="20"/>
                <w:szCs w:val="20"/>
                <w:color w:val="auto"/>
              </w:rPr>
            </w:pPr>
            <w:r>
              <w:rPr>
                <w:rFonts w:ascii="Arial" w:cs="Arial" w:eastAsia="Arial" w:hAnsi="Arial"/>
                <w:sz w:val="16"/>
                <w:szCs w:val="16"/>
                <w:b w:val="1"/>
                <w:bCs w:val="1"/>
                <w:color w:val="FEFEFE"/>
              </w:rPr>
              <w:t>Number of Securities</w:t>
            </w:r>
          </w:p>
        </w:tc>
        <w:tc>
          <w:tcPr>
            <w:tcW w:w="160" w:type="dxa"/>
            <w:vAlign w:val="bottom"/>
            <w:shd w:val="clear" w:color="auto" w:fill="62259D"/>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20" w:type="dxa"/>
            <w:vAlign w:val="bottom"/>
            <w:shd w:val="clear" w:color="auto" w:fill="62259D"/>
          </w:tcPr>
          <w:p>
            <w:pPr>
              <w:spacing w:after="0"/>
              <w:rPr>
                <w:sz w:val="16"/>
                <w:szCs w:val="16"/>
                <w:color w:val="auto"/>
              </w:rPr>
            </w:pPr>
          </w:p>
        </w:tc>
        <w:tc>
          <w:tcPr>
            <w:tcW w:w="220" w:type="dxa"/>
            <w:vAlign w:val="bottom"/>
            <w:shd w:val="clear" w:color="auto" w:fill="62259D"/>
          </w:tcPr>
          <w:p>
            <w:pPr>
              <w:spacing w:after="0"/>
              <w:rPr>
                <w:sz w:val="16"/>
                <w:szCs w:val="16"/>
                <w:color w:val="auto"/>
              </w:rPr>
            </w:pPr>
          </w:p>
        </w:tc>
        <w:tc>
          <w:tcPr>
            <w:tcW w:w="126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Number of</w:t>
            </w:r>
          </w:p>
        </w:tc>
        <w:tc>
          <w:tcPr>
            <w:tcW w:w="260" w:type="dxa"/>
            <w:vAlign w:val="bottom"/>
            <w:shd w:val="clear" w:color="auto" w:fill="62259D"/>
          </w:tcPr>
          <w:p>
            <w:pPr>
              <w:spacing w:after="0"/>
              <w:rPr>
                <w:sz w:val="16"/>
                <w:szCs w:val="16"/>
                <w:color w:val="auto"/>
              </w:rPr>
            </w:pPr>
          </w:p>
        </w:tc>
        <w:tc>
          <w:tcPr>
            <w:tcW w:w="1140" w:type="dxa"/>
            <w:vAlign w:val="bottom"/>
            <w:gridSpan w:val="3"/>
            <w:shd w:val="clear" w:color="auto" w:fill="62259D"/>
          </w:tcPr>
          <w:p>
            <w:pPr>
              <w:jc w:val="center"/>
              <w:spacing w:after="0"/>
              <w:rPr>
                <w:sz w:val="20"/>
                <w:szCs w:val="20"/>
                <w:color w:val="auto"/>
              </w:rPr>
            </w:pPr>
            <w:r>
              <w:rPr>
                <w:rFonts w:ascii="Arial" w:cs="Arial" w:eastAsia="Arial" w:hAnsi="Arial"/>
                <w:sz w:val="16"/>
                <w:szCs w:val="16"/>
                <w:b w:val="1"/>
                <w:bCs w:val="1"/>
                <w:color w:val="FEFEFE"/>
              </w:rPr>
              <w:t>Weighted</w:t>
            </w:r>
          </w:p>
        </w:tc>
        <w:tc>
          <w:tcPr>
            <w:tcW w:w="280" w:type="dxa"/>
            <w:vAlign w:val="bottom"/>
            <w:shd w:val="clear" w:color="auto" w:fill="62259D"/>
          </w:tcPr>
          <w:p>
            <w:pPr>
              <w:spacing w:after="0"/>
              <w:rPr>
                <w:sz w:val="16"/>
                <w:szCs w:val="16"/>
                <w:color w:val="auto"/>
              </w:rPr>
            </w:pPr>
          </w:p>
        </w:tc>
        <w:tc>
          <w:tcPr>
            <w:tcW w:w="1820" w:type="dxa"/>
            <w:vAlign w:val="bottom"/>
            <w:gridSpan w:val="2"/>
            <w:shd w:val="clear" w:color="auto" w:fill="62259D"/>
          </w:tcPr>
          <w:p>
            <w:pPr>
              <w:jc w:val="center"/>
              <w:spacing w:after="0"/>
              <w:rPr>
                <w:sz w:val="20"/>
                <w:szCs w:val="20"/>
                <w:color w:val="auto"/>
              </w:rPr>
            </w:pPr>
            <w:r>
              <w:rPr>
                <w:rFonts w:ascii="Arial" w:cs="Arial" w:eastAsia="Arial" w:hAnsi="Arial"/>
                <w:sz w:val="16"/>
                <w:szCs w:val="16"/>
                <w:b w:val="1"/>
                <w:bCs w:val="1"/>
                <w:color w:val="FEFEFE"/>
              </w:rPr>
              <w:t>Remaining</w:t>
            </w:r>
          </w:p>
        </w:tc>
        <w:tc>
          <w:tcPr>
            <w:tcW w:w="160" w:type="dxa"/>
            <w:vAlign w:val="bottom"/>
            <w:shd w:val="clear" w:color="auto" w:fill="62259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20" w:type="dxa"/>
            <w:vAlign w:val="bottom"/>
            <w:shd w:val="clear" w:color="auto" w:fill="62259D"/>
          </w:tcPr>
          <w:p>
            <w:pPr>
              <w:spacing w:after="0"/>
              <w:rPr>
                <w:sz w:val="16"/>
                <w:szCs w:val="16"/>
                <w:color w:val="auto"/>
              </w:rPr>
            </w:pPr>
          </w:p>
        </w:tc>
        <w:tc>
          <w:tcPr>
            <w:tcW w:w="220" w:type="dxa"/>
            <w:vAlign w:val="bottom"/>
            <w:shd w:val="clear" w:color="auto" w:fill="62259D"/>
          </w:tcPr>
          <w:p>
            <w:pPr>
              <w:spacing w:after="0"/>
              <w:rPr>
                <w:sz w:val="16"/>
                <w:szCs w:val="16"/>
                <w:color w:val="auto"/>
              </w:rPr>
            </w:pPr>
          </w:p>
        </w:tc>
        <w:tc>
          <w:tcPr>
            <w:tcW w:w="126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Securities to</w:t>
            </w:r>
          </w:p>
        </w:tc>
        <w:tc>
          <w:tcPr>
            <w:tcW w:w="260" w:type="dxa"/>
            <w:vAlign w:val="bottom"/>
            <w:shd w:val="clear" w:color="auto" w:fill="62259D"/>
          </w:tcPr>
          <w:p>
            <w:pPr>
              <w:spacing w:after="0"/>
              <w:rPr>
                <w:sz w:val="16"/>
                <w:szCs w:val="16"/>
                <w:color w:val="auto"/>
              </w:rPr>
            </w:pPr>
          </w:p>
        </w:tc>
        <w:tc>
          <w:tcPr>
            <w:tcW w:w="1140" w:type="dxa"/>
            <w:vAlign w:val="bottom"/>
            <w:gridSpan w:val="3"/>
            <w:shd w:val="clear" w:color="auto" w:fill="62259D"/>
          </w:tcPr>
          <w:p>
            <w:pPr>
              <w:jc w:val="center"/>
              <w:spacing w:after="0"/>
              <w:rPr>
                <w:sz w:val="20"/>
                <w:szCs w:val="20"/>
                <w:color w:val="auto"/>
              </w:rPr>
            </w:pPr>
            <w:r>
              <w:rPr>
                <w:rFonts w:ascii="Arial" w:cs="Arial" w:eastAsia="Arial" w:hAnsi="Arial"/>
                <w:sz w:val="16"/>
                <w:szCs w:val="16"/>
                <w:b w:val="1"/>
                <w:bCs w:val="1"/>
                <w:color w:val="FEFEFE"/>
              </w:rPr>
              <w:t>Average</w:t>
            </w:r>
          </w:p>
        </w:tc>
        <w:tc>
          <w:tcPr>
            <w:tcW w:w="280" w:type="dxa"/>
            <w:vAlign w:val="bottom"/>
            <w:shd w:val="clear" w:color="auto" w:fill="62259D"/>
          </w:tcPr>
          <w:p>
            <w:pPr>
              <w:spacing w:after="0"/>
              <w:rPr>
                <w:sz w:val="16"/>
                <w:szCs w:val="16"/>
                <w:color w:val="auto"/>
              </w:rPr>
            </w:pPr>
          </w:p>
        </w:tc>
        <w:tc>
          <w:tcPr>
            <w:tcW w:w="1820" w:type="dxa"/>
            <w:vAlign w:val="bottom"/>
            <w:gridSpan w:val="2"/>
            <w:shd w:val="clear" w:color="auto" w:fill="62259D"/>
          </w:tcPr>
          <w:p>
            <w:pPr>
              <w:jc w:val="center"/>
              <w:spacing w:after="0"/>
              <w:rPr>
                <w:sz w:val="20"/>
                <w:szCs w:val="20"/>
                <w:color w:val="auto"/>
              </w:rPr>
            </w:pPr>
            <w:r>
              <w:rPr>
                <w:rFonts w:ascii="Arial" w:cs="Arial" w:eastAsia="Arial" w:hAnsi="Arial"/>
                <w:sz w:val="16"/>
                <w:szCs w:val="16"/>
                <w:b w:val="1"/>
                <w:bCs w:val="1"/>
                <w:color w:val="FEFEFE"/>
              </w:rPr>
              <w:t>Available for</w:t>
            </w:r>
          </w:p>
        </w:tc>
        <w:tc>
          <w:tcPr>
            <w:tcW w:w="160" w:type="dxa"/>
            <w:vAlign w:val="bottom"/>
            <w:shd w:val="clear" w:color="auto" w:fill="62259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20" w:type="dxa"/>
            <w:vAlign w:val="bottom"/>
            <w:shd w:val="clear" w:color="auto" w:fill="62259D"/>
          </w:tcPr>
          <w:p>
            <w:pPr>
              <w:spacing w:after="0"/>
              <w:rPr>
                <w:sz w:val="16"/>
                <w:szCs w:val="16"/>
                <w:color w:val="auto"/>
              </w:rPr>
            </w:pPr>
          </w:p>
        </w:tc>
        <w:tc>
          <w:tcPr>
            <w:tcW w:w="220" w:type="dxa"/>
            <w:vAlign w:val="bottom"/>
            <w:shd w:val="clear" w:color="auto" w:fill="62259D"/>
          </w:tcPr>
          <w:p>
            <w:pPr>
              <w:spacing w:after="0"/>
              <w:rPr>
                <w:sz w:val="16"/>
                <w:szCs w:val="16"/>
                <w:color w:val="auto"/>
              </w:rPr>
            </w:pPr>
          </w:p>
        </w:tc>
        <w:tc>
          <w:tcPr>
            <w:tcW w:w="126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be Issued</w:t>
            </w:r>
          </w:p>
        </w:tc>
        <w:tc>
          <w:tcPr>
            <w:tcW w:w="260" w:type="dxa"/>
            <w:vAlign w:val="bottom"/>
            <w:shd w:val="clear" w:color="auto" w:fill="62259D"/>
          </w:tcPr>
          <w:p>
            <w:pPr>
              <w:spacing w:after="0"/>
              <w:rPr>
                <w:sz w:val="16"/>
                <w:szCs w:val="16"/>
                <w:color w:val="auto"/>
              </w:rPr>
            </w:pPr>
          </w:p>
        </w:tc>
        <w:tc>
          <w:tcPr>
            <w:tcW w:w="1140" w:type="dxa"/>
            <w:vAlign w:val="bottom"/>
            <w:gridSpan w:val="3"/>
            <w:shd w:val="clear" w:color="auto" w:fill="62259D"/>
          </w:tcPr>
          <w:p>
            <w:pPr>
              <w:jc w:val="center"/>
              <w:spacing w:after="0"/>
              <w:rPr>
                <w:sz w:val="20"/>
                <w:szCs w:val="20"/>
                <w:color w:val="auto"/>
              </w:rPr>
            </w:pPr>
            <w:r>
              <w:rPr>
                <w:rFonts w:ascii="Arial" w:cs="Arial" w:eastAsia="Arial" w:hAnsi="Arial"/>
                <w:sz w:val="16"/>
                <w:szCs w:val="16"/>
                <w:b w:val="1"/>
                <w:bCs w:val="1"/>
                <w:color w:val="FEFEFE"/>
              </w:rPr>
              <w:t>Exercise</w:t>
            </w:r>
          </w:p>
        </w:tc>
        <w:tc>
          <w:tcPr>
            <w:tcW w:w="280" w:type="dxa"/>
            <w:vAlign w:val="bottom"/>
            <w:shd w:val="clear" w:color="auto" w:fill="62259D"/>
          </w:tcPr>
          <w:p>
            <w:pPr>
              <w:spacing w:after="0"/>
              <w:rPr>
                <w:sz w:val="16"/>
                <w:szCs w:val="16"/>
                <w:color w:val="auto"/>
              </w:rPr>
            </w:pPr>
          </w:p>
        </w:tc>
        <w:tc>
          <w:tcPr>
            <w:tcW w:w="1820" w:type="dxa"/>
            <w:vAlign w:val="bottom"/>
            <w:gridSpan w:val="2"/>
            <w:shd w:val="clear" w:color="auto" w:fill="62259D"/>
          </w:tcPr>
          <w:p>
            <w:pPr>
              <w:jc w:val="center"/>
              <w:spacing w:after="0"/>
              <w:rPr>
                <w:sz w:val="20"/>
                <w:szCs w:val="20"/>
                <w:color w:val="auto"/>
              </w:rPr>
            </w:pPr>
            <w:r>
              <w:rPr>
                <w:rFonts w:ascii="Arial" w:cs="Arial" w:eastAsia="Arial" w:hAnsi="Arial"/>
                <w:sz w:val="16"/>
                <w:szCs w:val="16"/>
                <w:b w:val="1"/>
                <w:bCs w:val="1"/>
                <w:color w:val="FEFEFE"/>
              </w:rPr>
              <w:t>Future Issuance</w:t>
            </w:r>
          </w:p>
        </w:tc>
        <w:tc>
          <w:tcPr>
            <w:tcW w:w="160" w:type="dxa"/>
            <w:vAlign w:val="bottom"/>
            <w:shd w:val="clear" w:color="auto" w:fill="62259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20" w:type="dxa"/>
            <w:vAlign w:val="bottom"/>
            <w:shd w:val="clear" w:color="auto" w:fill="62259D"/>
          </w:tcPr>
          <w:p>
            <w:pPr>
              <w:spacing w:after="0"/>
              <w:rPr>
                <w:sz w:val="16"/>
                <w:szCs w:val="16"/>
                <w:color w:val="auto"/>
              </w:rPr>
            </w:pPr>
          </w:p>
        </w:tc>
        <w:tc>
          <w:tcPr>
            <w:tcW w:w="220" w:type="dxa"/>
            <w:vAlign w:val="bottom"/>
            <w:shd w:val="clear" w:color="auto" w:fill="62259D"/>
          </w:tcPr>
          <w:p>
            <w:pPr>
              <w:spacing w:after="0"/>
              <w:rPr>
                <w:sz w:val="16"/>
                <w:szCs w:val="16"/>
                <w:color w:val="auto"/>
              </w:rPr>
            </w:pPr>
          </w:p>
        </w:tc>
        <w:tc>
          <w:tcPr>
            <w:tcW w:w="126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upon Exercise</w:t>
            </w:r>
          </w:p>
        </w:tc>
        <w:tc>
          <w:tcPr>
            <w:tcW w:w="260" w:type="dxa"/>
            <w:vAlign w:val="bottom"/>
            <w:shd w:val="clear" w:color="auto" w:fill="62259D"/>
          </w:tcPr>
          <w:p>
            <w:pPr>
              <w:spacing w:after="0"/>
              <w:rPr>
                <w:sz w:val="16"/>
                <w:szCs w:val="16"/>
                <w:color w:val="auto"/>
              </w:rPr>
            </w:pPr>
          </w:p>
        </w:tc>
        <w:tc>
          <w:tcPr>
            <w:tcW w:w="1140" w:type="dxa"/>
            <w:vAlign w:val="bottom"/>
            <w:gridSpan w:val="3"/>
            <w:shd w:val="clear" w:color="auto" w:fill="62259D"/>
          </w:tcPr>
          <w:p>
            <w:pPr>
              <w:jc w:val="center"/>
              <w:spacing w:after="0"/>
              <w:rPr>
                <w:sz w:val="20"/>
                <w:szCs w:val="20"/>
                <w:color w:val="auto"/>
              </w:rPr>
            </w:pPr>
            <w:r>
              <w:rPr>
                <w:rFonts w:ascii="Arial" w:cs="Arial" w:eastAsia="Arial" w:hAnsi="Arial"/>
                <w:sz w:val="16"/>
                <w:szCs w:val="16"/>
                <w:b w:val="1"/>
                <w:bCs w:val="1"/>
                <w:color w:val="FEFEFE"/>
              </w:rPr>
              <w:t>Price of</w:t>
            </w:r>
          </w:p>
        </w:tc>
        <w:tc>
          <w:tcPr>
            <w:tcW w:w="280" w:type="dxa"/>
            <w:vAlign w:val="bottom"/>
            <w:shd w:val="clear" w:color="auto" w:fill="62259D"/>
          </w:tcPr>
          <w:p>
            <w:pPr>
              <w:spacing w:after="0"/>
              <w:rPr>
                <w:sz w:val="16"/>
                <w:szCs w:val="16"/>
                <w:color w:val="auto"/>
              </w:rPr>
            </w:pPr>
          </w:p>
        </w:tc>
        <w:tc>
          <w:tcPr>
            <w:tcW w:w="620" w:type="dxa"/>
            <w:vAlign w:val="bottom"/>
            <w:shd w:val="clear" w:color="auto" w:fill="62259D"/>
          </w:tcPr>
          <w:p>
            <w:pPr>
              <w:spacing w:after="0"/>
              <w:rPr>
                <w:sz w:val="16"/>
                <w:szCs w:val="16"/>
                <w:color w:val="auto"/>
              </w:rPr>
            </w:pPr>
          </w:p>
        </w:tc>
        <w:tc>
          <w:tcPr>
            <w:tcW w:w="1200" w:type="dxa"/>
            <w:vAlign w:val="bottom"/>
            <w:shd w:val="clear" w:color="auto" w:fill="62259D"/>
          </w:tcPr>
          <w:p>
            <w:pPr>
              <w:jc w:val="center"/>
              <w:ind w:right="539"/>
              <w:spacing w:after="0"/>
              <w:rPr>
                <w:sz w:val="20"/>
                <w:szCs w:val="20"/>
                <w:color w:val="auto"/>
              </w:rPr>
            </w:pPr>
            <w:r>
              <w:rPr>
                <w:rFonts w:ascii="Arial" w:cs="Arial" w:eastAsia="Arial" w:hAnsi="Arial"/>
                <w:sz w:val="16"/>
                <w:szCs w:val="16"/>
                <w:b w:val="1"/>
                <w:bCs w:val="1"/>
                <w:color w:val="FEFEFE"/>
              </w:rPr>
              <w:t>Under</w:t>
            </w:r>
          </w:p>
        </w:tc>
        <w:tc>
          <w:tcPr>
            <w:tcW w:w="160" w:type="dxa"/>
            <w:vAlign w:val="bottom"/>
            <w:shd w:val="clear" w:color="auto" w:fill="62259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20" w:type="dxa"/>
            <w:vAlign w:val="bottom"/>
            <w:shd w:val="clear" w:color="auto" w:fill="62259D"/>
          </w:tcPr>
          <w:p>
            <w:pPr>
              <w:spacing w:after="0"/>
              <w:rPr>
                <w:sz w:val="16"/>
                <w:szCs w:val="16"/>
                <w:color w:val="auto"/>
              </w:rPr>
            </w:pPr>
          </w:p>
        </w:tc>
        <w:tc>
          <w:tcPr>
            <w:tcW w:w="220" w:type="dxa"/>
            <w:vAlign w:val="bottom"/>
            <w:shd w:val="clear" w:color="auto" w:fill="62259D"/>
          </w:tcPr>
          <w:p>
            <w:pPr>
              <w:spacing w:after="0"/>
              <w:rPr>
                <w:sz w:val="16"/>
                <w:szCs w:val="16"/>
                <w:color w:val="auto"/>
              </w:rPr>
            </w:pPr>
          </w:p>
        </w:tc>
        <w:tc>
          <w:tcPr>
            <w:tcW w:w="126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of Outstanding</w:t>
            </w:r>
          </w:p>
        </w:tc>
        <w:tc>
          <w:tcPr>
            <w:tcW w:w="260" w:type="dxa"/>
            <w:vAlign w:val="bottom"/>
            <w:shd w:val="clear" w:color="auto" w:fill="62259D"/>
          </w:tcPr>
          <w:p>
            <w:pPr>
              <w:spacing w:after="0"/>
              <w:rPr>
                <w:sz w:val="16"/>
                <w:szCs w:val="16"/>
                <w:color w:val="auto"/>
              </w:rPr>
            </w:pPr>
          </w:p>
        </w:tc>
        <w:tc>
          <w:tcPr>
            <w:tcW w:w="1140" w:type="dxa"/>
            <w:vAlign w:val="bottom"/>
            <w:gridSpan w:val="3"/>
            <w:shd w:val="clear" w:color="auto" w:fill="62259D"/>
          </w:tcPr>
          <w:p>
            <w:pPr>
              <w:jc w:val="center"/>
              <w:spacing w:after="0"/>
              <w:rPr>
                <w:sz w:val="20"/>
                <w:szCs w:val="20"/>
                <w:color w:val="auto"/>
              </w:rPr>
            </w:pPr>
            <w:r>
              <w:rPr>
                <w:rFonts w:ascii="Arial" w:cs="Arial" w:eastAsia="Arial" w:hAnsi="Arial"/>
                <w:sz w:val="16"/>
                <w:szCs w:val="16"/>
                <w:b w:val="1"/>
                <w:bCs w:val="1"/>
                <w:color w:val="FEFEFE"/>
              </w:rPr>
              <w:t>Outstanding</w:t>
            </w:r>
          </w:p>
        </w:tc>
        <w:tc>
          <w:tcPr>
            <w:tcW w:w="280" w:type="dxa"/>
            <w:vAlign w:val="bottom"/>
            <w:shd w:val="clear" w:color="auto" w:fill="62259D"/>
          </w:tcPr>
          <w:p>
            <w:pPr>
              <w:spacing w:after="0"/>
              <w:rPr>
                <w:sz w:val="16"/>
                <w:szCs w:val="16"/>
                <w:color w:val="auto"/>
              </w:rPr>
            </w:pPr>
          </w:p>
        </w:tc>
        <w:tc>
          <w:tcPr>
            <w:tcW w:w="1820" w:type="dxa"/>
            <w:vAlign w:val="bottom"/>
            <w:gridSpan w:val="2"/>
            <w:shd w:val="clear" w:color="auto" w:fill="62259D"/>
          </w:tcPr>
          <w:p>
            <w:pPr>
              <w:jc w:val="center"/>
              <w:spacing w:after="0"/>
              <w:rPr>
                <w:sz w:val="20"/>
                <w:szCs w:val="20"/>
                <w:color w:val="auto"/>
              </w:rPr>
            </w:pPr>
            <w:r>
              <w:rPr>
                <w:rFonts w:ascii="Arial" w:cs="Arial" w:eastAsia="Arial" w:hAnsi="Arial"/>
                <w:sz w:val="16"/>
                <w:szCs w:val="16"/>
                <w:b w:val="1"/>
                <w:bCs w:val="1"/>
                <w:color w:val="FEFEFE"/>
              </w:rPr>
              <w:t>Equity Compensation</w:t>
            </w:r>
          </w:p>
        </w:tc>
        <w:tc>
          <w:tcPr>
            <w:tcW w:w="160" w:type="dxa"/>
            <w:vAlign w:val="bottom"/>
            <w:shd w:val="clear" w:color="auto" w:fill="62259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20" w:type="dxa"/>
            <w:vAlign w:val="bottom"/>
            <w:shd w:val="clear" w:color="auto" w:fill="62259D"/>
          </w:tcPr>
          <w:p>
            <w:pPr>
              <w:spacing w:after="0"/>
              <w:rPr>
                <w:sz w:val="16"/>
                <w:szCs w:val="16"/>
                <w:color w:val="auto"/>
              </w:rPr>
            </w:pPr>
          </w:p>
        </w:tc>
        <w:tc>
          <w:tcPr>
            <w:tcW w:w="220" w:type="dxa"/>
            <w:vAlign w:val="bottom"/>
            <w:shd w:val="clear" w:color="auto" w:fill="62259D"/>
          </w:tcPr>
          <w:p>
            <w:pPr>
              <w:spacing w:after="0"/>
              <w:rPr>
                <w:sz w:val="16"/>
                <w:szCs w:val="16"/>
                <w:color w:val="auto"/>
              </w:rPr>
            </w:pPr>
          </w:p>
        </w:tc>
        <w:tc>
          <w:tcPr>
            <w:tcW w:w="126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Options,</w:t>
            </w:r>
          </w:p>
        </w:tc>
        <w:tc>
          <w:tcPr>
            <w:tcW w:w="260" w:type="dxa"/>
            <w:vAlign w:val="bottom"/>
            <w:shd w:val="clear" w:color="auto" w:fill="62259D"/>
          </w:tcPr>
          <w:p>
            <w:pPr>
              <w:spacing w:after="0"/>
              <w:rPr>
                <w:sz w:val="16"/>
                <w:szCs w:val="16"/>
                <w:color w:val="auto"/>
              </w:rPr>
            </w:pPr>
          </w:p>
        </w:tc>
        <w:tc>
          <w:tcPr>
            <w:tcW w:w="1140" w:type="dxa"/>
            <w:vAlign w:val="bottom"/>
            <w:gridSpan w:val="3"/>
            <w:shd w:val="clear" w:color="auto" w:fill="62259D"/>
          </w:tcPr>
          <w:p>
            <w:pPr>
              <w:jc w:val="center"/>
              <w:spacing w:after="0"/>
              <w:rPr>
                <w:sz w:val="20"/>
                <w:szCs w:val="20"/>
                <w:color w:val="auto"/>
              </w:rPr>
            </w:pPr>
            <w:r>
              <w:rPr>
                <w:rFonts w:ascii="Arial" w:cs="Arial" w:eastAsia="Arial" w:hAnsi="Arial"/>
                <w:sz w:val="16"/>
                <w:szCs w:val="16"/>
                <w:b w:val="1"/>
                <w:bCs w:val="1"/>
                <w:color w:val="FEFEFE"/>
              </w:rPr>
              <w:t>Options,</w:t>
            </w:r>
          </w:p>
        </w:tc>
        <w:tc>
          <w:tcPr>
            <w:tcW w:w="280" w:type="dxa"/>
            <w:vAlign w:val="bottom"/>
            <w:shd w:val="clear" w:color="auto" w:fill="62259D"/>
          </w:tcPr>
          <w:p>
            <w:pPr>
              <w:spacing w:after="0"/>
              <w:rPr>
                <w:sz w:val="16"/>
                <w:szCs w:val="16"/>
                <w:color w:val="auto"/>
              </w:rPr>
            </w:pPr>
          </w:p>
        </w:tc>
        <w:tc>
          <w:tcPr>
            <w:tcW w:w="1820" w:type="dxa"/>
            <w:vAlign w:val="bottom"/>
            <w:gridSpan w:val="2"/>
            <w:shd w:val="clear" w:color="auto" w:fill="62259D"/>
          </w:tcPr>
          <w:p>
            <w:pPr>
              <w:jc w:val="center"/>
              <w:spacing w:after="0"/>
              <w:rPr>
                <w:sz w:val="20"/>
                <w:szCs w:val="20"/>
                <w:color w:val="auto"/>
              </w:rPr>
            </w:pPr>
            <w:r>
              <w:rPr>
                <w:rFonts w:ascii="Arial" w:cs="Arial" w:eastAsia="Arial" w:hAnsi="Arial"/>
                <w:sz w:val="16"/>
                <w:szCs w:val="16"/>
                <w:b w:val="1"/>
                <w:bCs w:val="1"/>
                <w:color w:val="FEFEFE"/>
              </w:rPr>
              <w:t>Plans (Excluding</w:t>
            </w:r>
          </w:p>
        </w:tc>
        <w:tc>
          <w:tcPr>
            <w:tcW w:w="160" w:type="dxa"/>
            <w:vAlign w:val="bottom"/>
            <w:shd w:val="clear" w:color="auto" w:fill="62259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20" w:type="dxa"/>
            <w:vAlign w:val="bottom"/>
            <w:shd w:val="clear" w:color="auto" w:fill="62259D"/>
          </w:tcPr>
          <w:p>
            <w:pPr>
              <w:spacing w:after="0"/>
              <w:rPr>
                <w:sz w:val="16"/>
                <w:szCs w:val="16"/>
                <w:color w:val="auto"/>
              </w:rPr>
            </w:pPr>
          </w:p>
        </w:tc>
        <w:tc>
          <w:tcPr>
            <w:tcW w:w="220" w:type="dxa"/>
            <w:vAlign w:val="bottom"/>
            <w:shd w:val="clear" w:color="auto" w:fill="62259D"/>
          </w:tcPr>
          <w:p>
            <w:pPr>
              <w:spacing w:after="0"/>
              <w:rPr>
                <w:sz w:val="16"/>
                <w:szCs w:val="16"/>
                <w:color w:val="auto"/>
              </w:rPr>
            </w:pPr>
          </w:p>
        </w:tc>
        <w:tc>
          <w:tcPr>
            <w:tcW w:w="126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Warrants and</w:t>
            </w:r>
          </w:p>
        </w:tc>
        <w:tc>
          <w:tcPr>
            <w:tcW w:w="260" w:type="dxa"/>
            <w:vAlign w:val="bottom"/>
            <w:shd w:val="clear" w:color="auto" w:fill="62259D"/>
          </w:tcPr>
          <w:p>
            <w:pPr>
              <w:spacing w:after="0"/>
              <w:rPr>
                <w:sz w:val="16"/>
                <w:szCs w:val="16"/>
                <w:color w:val="auto"/>
              </w:rPr>
            </w:pPr>
          </w:p>
        </w:tc>
        <w:tc>
          <w:tcPr>
            <w:tcW w:w="1140" w:type="dxa"/>
            <w:vAlign w:val="bottom"/>
            <w:gridSpan w:val="3"/>
            <w:shd w:val="clear" w:color="auto" w:fill="62259D"/>
          </w:tcPr>
          <w:p>
            <w:pPr>
              <w:jc w:val="center"/>
              <w:spacing w:after="0"/>
              <w:rPr>
                <w:sz w:val="20"/>
                <w:szCs w:val="20"/>
                <w:color w:val="auto"/>
              </w:rPr>
            </w:pPr>
            <w:r>
              <w:rPr>
                <w:rFonts w:ascii="Arial" w:cs="Arial" w:eastAsia="Arial" w:hAnsi="Arial"/>
                <w:sz w:val="16"/>
                <w:szCs w:val="16"/>
                <w:b w:val="1"/>
                <w:bCs w:val="1"/>
                <w:color w:val="FEFEFE"/>
              </w:rPr>
              <w:t>Warrants and</w:t>
            </w:r>
          </w:p>
        </w:tc>
        <w:tc>
          <w:tcPr>
            <w:tcW w:w="280" w:type="dxa"/>
            <w:vAlign w:val="bottom"/>
            <w:shd w:val="clear" w:color="auto" w:fill="62259D"/>
          </w:tcPr>
          <w:p>
            <w:pPr>
              <w:spacing w:after="0"/>
              <w:rPr>
                <w:sz w:val="16"/>
                <w:szCs w:val="16"/>
                <w:color w:val="auto"/>
              </w:rPr>
            </w:pPr>
          </w:p>
        </w:tc>
        <w:tc>
          <w:tcPr>
            <w:tcW w:w="1820" w:type="dxa"/>
            <w:vAlign w:val="bottom"/>
            <w:gridSpan w:val="2"/>
            <w:shd w:val="clear" w:color="auto" w:fill="62259D"/>
          </w:tcPr>
          <w:p>
            <w:pPr>
              <w:jc w:val="center"/>
              <w:spacing w:after="0"/>
              <w:rPr>
                <w:sz w:val="20"/>
                <w:szCs w:val="20"/>
                <w:color w:val="auto"/>
              </w:rPr>
            </w:pPr>
            <w:r>
              <w:rPr>
                <w:rFonts w:ascii="Arial" w:cs="Arial" w:eastAsia="Arial" w:hAnsi="Arial"/>
                <w:sz w:val="16"/>
                <w:szCs w:val="16"/>
                <w:b w:val="1"/>
                <w:bCs w:val="1"/>
                <w:color w:val="FEFEFE"/>
              </w:rPr>
              <w:t>Securities Reflected</w:t>
            </w:r>
          </w:p>
        </w:tc>
        <w:tc>
          <w:tcPr>
            <w:tcW w:w="160" w:type="dxa"/>
            <w:vAlign w:val="bottom"/>
            <w:shd w:val="clear" w:color="auto" w:fill="62259D"/>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6"/>
                <w:szCs w:val="16"/>
                <w:b w:val="1"/>
                <w:bCs w:val="1"/>
                <w:color w:val="FEFEFE"/>
              </w:rPr>
              <w:t>​</w:t>
            </w:r>
          </w:p>
        </w:tc>
        <w:tc>
          <w:tcPr>
            <w:tcW w:w="3620" w:type="dxa"/>
            <w:vAlign w:val="bottom"/>
            <w:shd w:val="clear" w:color="auto" w:fill="62259D"/>
          </w:tcPr>
          <w:p>
            <w:pPr>
              <w:spacing w:after="0"/>
              <w:rPr>
                <w:sz w:val="20"/>
                <w:szCs w:val="20"/>
                <w:color w:val="auto"/>
              </w:rPr>
            </w:pPr>
            <w:r>
              <w:rPr>
                <w:rFonts w:ascii="Arial" w:cs="Arial" w:eastAsia="Arial" w:hAnsi="Arial"/>
                <w:sz w:val="16"/>
                <w:szCs w:val="16"/>
                <w:b w:val="1"/>
                <w:bCs w:val="1"/>
                <w:color w:val="FEFEFE"/>
              </w:rPr>
              <w:t>Plan Category</w:t>
            </w:r>
          </w:p>
        </w:tc>
        <w:tc>
          <w:tcPr>
            <w:tcW w:w="220" w:type="dxa"/>
            <w:vAlign w:val="bottom"/>
            <w:shd w:val="clear" w:color="auto" w:fill="62259D"/>
          </w:tcPr>
          <w:p>
            <w:pPr>
              <w:ind w:left="60"/>
              <w:spacing w:after="0"/>
              <w:rPr>
                <w:sz w:val="20"/>
                <w:szCs w:val="20"/>
                <w:color w:val="auto"/>
              </w:rPr>
            </w:pPr>
            <w:r>
              <w:rPr>
                <w:rFonts w:ascii="Arial" w:cs="Arial" w:eastAsia="Arial" w:hAnsi="Arial"/>
                <w:sz w:val="16"/>
                <w:szCs w:val="16"/>
                <w:b w:val="1"/>
                <w:bCs w:val="1"/>
                <w:color w:val="FEFEFE"/>
              </w:rPr>
              <w:t>​ ​</w:t>
            </w:r>
          </w:p>
        </w:tc>
        <w:tc>
          <w:tcPr>
            <w:tcW w:w="1260" w:type="dxa"/>
            <w:vAlign w:val="bottom"/>
            <w:shd w:val="clear" w:color="auto" w:fill="62259D"/>
          </w:tcPr>
          <w:p>
            <w:pPr>
              <w:jc w:val="right"/>
              <w:ind w:right="266"/>
              <w:spacing w:after="0"/>
              <w:rPr>
                <w:sz w:val="20"/>
                <w:szCs w:val="20"/>
                <w:color w:val="auto"/>
              </w:rPr>
            </w:pPr>
            <w:r>
              <w:rPr>
                <w:rFonts w:ascii="Arial" w:cs="Arial" w:eastAsia="Arial" w:hAnsi="Arial"/>
                <w:sz w:val="16"/>
                <w:szCs w:val="16"/>
                <w:b w:val="1"/>
                <w:bCs w:val="1"/>
                <w:color w:val="FEFEFE"/>
              </w:rPr>
              <w:t>Rights</w:t>
            </w:r>
          </w:p>
        </w:tc>
        <w:tc>
          <w:tcPr>
            <w:tcW w:w="260" w:type="dxa"/>
            <w:vAlign w:val="bottom"/>
            <w:shd w:val="clear" w:color="auto" w:fill="62259D"/>
          </w:tcPr>
          <w:p>
            <w:pPr>
              <w:ind w:left="100"/>
              <w:spacing w:after="0"/>
              <w:rPr>
                <w:sz w:val="20"/>
                <w:szCs w:val="20"/>
                <w:color w:val="auto"/>
              </w:rPr>
            </w:pPr>
            <w:r>
              <w:rPr>
                <w:rFonts w:ascii="Arial" w:cs="Arial" w:eastAsia="Arial" w:hAnsi="Arial"/>
                <w:sz w:val="16"/>
                <w:szCs w:val="16"/>
                <w:b w:val="1"/>
                <w:bCs w:val="1"/>
                <w:color w:val="FEFEFE"/>
              </w:rPr>
              <w:t>​ ​</w:t>
            </w:r>
          </w:p>
        </w:tc>
        <w:tc>
          <w:tcPr>
            <w:tcW w:w="1140" w:type="dxa"/>
            <w:vAlign w:val="bottom"/>
            <w:gridSpan w:val="3"/>
            <w:shd w:val="clear" w:color="auto" w:fill="62259D"/>
          </w:tcPr>
          <w:p>
            <w:pPr>
              <w:ind w:left="320"/>
              <w:spacing w:after="0"/>
              <w:rPr>
                <w:sz w:val="20"/>
                <w:szCs w:val="20"/>
                <w:color w:val="auto"/>
              </w:rPr>
            </w:pPr>
            <w:r>
              <w:rPr>
                <w:rFonts w:ascii="Arial" w:cs="Arial" w:eastAsia="Arial" w:hAnsi="Arial"/>
                <w:sz w:val="16"/>
                <w:szCs w:val="16"/>
                <w:b w:val="1"/>
                <w:bCs w:val="1"/>
                <w:color w:val="FEFEFE"/>
              </w:rPr>
              <w:t>Rights</w:t>
            </w:r>
          </w:p>
        </w:tc>
        <w:tc>
          <w:tcPr>
            <w:tcW w:w="280" w:type="dxa"/>
            <w:vAlign w:val="bottom"/>
            <w:shd w:val="clear" w:color="auto" w:fill="62259D"/>
          </w:tcPr>
          <w:p>
            <w:pPr>
              <w:ind w:left="120"/>
              <w:spacing w:after="0"/>
              <w:rPr>
                <w:sz w:val="20"/>
                <w:szCs w:val="20"/>
                <w:color w:val="auto"/>
              </w:rPr>
            </w:pPr>
            <w:r>
              <w:rPr>
                <w:rFonts w:ascii="Arial" w:cs="Arial" w:eastAsia="Arial" w:hAnsi="Arial"/>
                <w:sz w:val="16"/>
                <w:szCs w:val="16"/>
                <w:b w:val="1"/>
                <w:bCs w:val="1"/>
                <w:color w:val="FEFEFE"/>
              </w:rPr>
              <w:t>​ ​</w:t>
            </w:r>
          </w:p>
        </w:tc>
        <w:tc>
          <w:tcPr>
            <w:tcW w:w="1820" w:type="dxa"/>
            <w:vAlign w:val="bottom"/>
            <w:gridSpan w:val="2"/>
            <w:shd w:val="clear" w:color="auto" w:fill="62259D"/>
          </w:tcPr>
          <w:p>
            <w:pPr>
              <w:jc w:val="right"/>
              <w:ind w:right="199"/>
              <w:spacing w:after="0"/>
              <w:rPr>
                <w:sz w:val="20"/>
                <w:szCs w:val="20"/>
                <w:color w:val="auto"/>
              </w:rPr>
            </w:pPr>
            <w:r>
              <w:rPr>
                <w:rFonts w:ascii="Arial" w:cs="Arial" w:eastAsia="Arial" w:hAnsi="Arial"/>
                <w:sz w:val="16"/>
                <w:szCs w:val="16"/>
                <w:b w:val="1"/>
                <w:bCs w:val="1"/>
                <w:color w:val="FEFEFE"/>
              </w:rPr>
              <w:t>in Column (A))</w:t>
            </w:r>
          </w:p>
        </w:tc>
        <w:tc>
          <w:tcPr>
            <w:tcW w:w="160" w:type="dxa"/>
            <w:vAlign w:val="bottom"/>
            <w:shd w:val="clear" w:color="auto" w:fill="62259D"/>
          </w:tcPr>
          <w:p>
            <w:pPr>
              <w:ind w:left="10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Equity Compensation Plans Approved by</w:t>
            </w:r>
          </w:p>
        </w:tc>
        <w:tc>
          <w:tcPr>
            <w:tcW w:w="220" w:type="dxa"/>
            <w:vAlign w:val="bottom"/>
          </w:tcPr>
          <w:p>
            <w:pPr>
              <w:spacing w:after="0"/>
              <w:rPr>
                <w:sz w:val="18"/>
                <w:szCs w:val="18"/>
                <w:color w:val="auto"/>
              </w:rPr>
            </w:pPr>
          </w:p>
        </w:tc>
        <w:tc>
          <w:tcPr>
            <w:tcW w:w="1260" w:type="dxa"/>
            <w:vAlign w:val="bottom"/>
            <w:vMerge w:val="restart"/>
          </w:tcPr>
          <w:p>
            <w:pPr>
              <w:jc w:val="right"/>
              <w:ind w:right="26"/>
              <w:spacing w:after="0"/>
              <w:rPr>
                <w:sz w:val="20"/>
                <w:szCs w:val="20"/>
                <w:color w:val="auto"/>
              </w:rPr>
            </w:pPr>
            <w:r>
              <w:rPr>
                <w:rFonts w:ascii="Arial" w:cs="Arial" w:eastAsia="Arial" w:hAnsi="Arial"/>
                <w:sz w:val="16"/>
                <w:szCs w:val="16"/>
                <w:color w:val="auto"/>
              </w:rPr>
              <w:t>​ 6,978,282</w:t>
            </w:r>
            <w:r>
              <w:rPr>
                <w:rFonts w:ascii="Arial" w:cs="Arial" w:eastAsia="Arial" w:hAnsi="Arial"/>
                <w:sz w:val="19"/>
                <w:szCs w:val="19"/>
                <w:color w:val="auto"/>
                <w:vertAlign w:val="superscript"/>
              </w:rPr>
              <w:t>(1)</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vMerge w:val="restart"/>
          </w:tcPr>
          <w:p>
            <w:pPr>
              <w:jc w:val="right"/>
              <w:ind w:right="299"/>
              <w:spacing w:after="0"/>
              <w:rPr>
                <w:sz w:val="20"/>
                <w:szCs w:val="20"/>
                <w:color w:val="auto"/>
              </w:rPr>
            </w:pPr>
            <w:r>
              <w:rPr>
                <w:rFonts w:ascii="Arial" w:cs="Arial" w:eastAsia="Arial" w:hAnsi="Arial"/>
                <w:sz w:val="16"/>
                <w:szCs w:val="16"/>
                <w:color w:val="auto"/>
              </w:rPr>
              <w:t>​2,180,307</w:t>
            </w:r>
            <w:r>
              <w:rPr>
                <w:rFonts w:ascii="Arial" w:cs="Arial" w:eastAsia="Arial" w:hAnsi="Arial"/>
                <w:sz w:val="19"/>
                <w:szCs w:val="19"/>
                <w:color w:val="auto"/>
                <w:vertAlign w:val="superscript"/>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3620" w:type="dxa"/>
            <w:vAlign w:val="bottom"/>
          </w:tcPr>
          <w:p>
            <w:pPr>
              <w:spacing w:after="0" w:line="163" w:lineRule="exact"/>
              <w:rPr>
                <w:sz w:val="20"/>
                <w:szCs w:val="20"/>
                <w:color w:val="auto"/>
              </w:rPr>
            </w:pPr>
            <w:r>
              <w:rPr>
                <w:rFonts w:ascii="Arial" w:cs="Arial" w:eastAsia="Arial" w:hAnsi="Arial"/>
                <w:sz w:val="16"/>
                <w:szCs w:val="16"/>
                <w:color w:val="auto"/>
              </w:rPr>
              <w:t>Stockholders</w:t>
            </w: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260" w:type="dxa"/>
            <w:vAlign w:val="bottom"/>
            <w:vMerge w:val="continue"/>
          </w:tcPr>
          <w:p>
            <w:pPr>
              <w:spacing w:after="0"/>
              <w:rPr>
                <w:sz w:val="14"/>
                <w:szCs w:val="14"/>
                <w:color w:val="auto"/>
              </w:rPr>
            </w:pPr>
          </w:p>
        </w:tc>
        <w:tc>
          <w:tcPr>
            <w:tcW w:w="26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480" w:type="dxa"/>
            <w:vAlign w:val="bottom"/>
          </w:tcPr>
          <w:p>
            <w:pPr>
              <w:ind w:left="380"/>
              <w:spacing w:after="0" w:line="163" w:lineRule="exact"/>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line="163"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28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1820" w:type="dxa"/>
            <w:vAlign w:val="bottom"/>
            <w:gridSpan w:val="2"/>
            <w:vMerge w:val="continue"/>
          </w:tcPr>
          <w:p>
            <w:pPr>
              <w:spacing w:after="0"/>
              <w:rPr>
                <w:sz w:val="14"/>
                <w:szCs w:val="14"/>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60" w:type="dxa"/>
            <w:vAlign w:val="bottom"/>
            <w:tcBorders>
              <w:bottom w:val="single" w:sz="8" w:color="E7417A"/>
            </w:tcBorders>
            <w:vMerge w:val="continue"/>
          </w:tcPr>
          <w:p>
            <w:pPr>
              <w:spacing w:after="0"/>
              <w:rPr>
                <w:sz w:val="5"/>
                <w:szCs w:val="5"/>
                <w:color w:val="auto"/>
              </w:rPr>
            </w:pPr>
          </w:p>
        </w:tc>
        <w:tc>
          <w:tcPr>
            <w:tcW w:w="40" w:type="dxa"/>
            <w:vAlign w:val="bottom"/>
            <w:tcBorders>
              <w:bottom w:val="single" w:sz="8" w:color="E7417A"/>
            </w:tcBorders>
          </w:tcPr>
          <w:p>
            <w:pPr>
              <w:spacing w:after="0"/>
              <w:rPr>
                <w:sz w:val="5"/>
                <w:szCs w:val="5"/>
                <w:color w:val="auto"/>
              </w:rPr>
            </w:pPr>
          </w:p>
        </w:tc>
        <w:tc>
          <w:tcPr>
            <w:tcW w:w="3620" w:type="dxa"/>
            <w:vAlign w:val="bottom"/>
            <w:tcBorders>
              <w:bottom w:val="single" w:sz="8" w:color="E7417A"/>
            </w:tcBorders>
          </w:tcPr>
          <w:p>
            <w:pPr>
              <w:spacing w:after="0"/>
              <w:rPr>
                <w:sz w:val="5"/>
                <w:szCs w:val="5"/>
                <w:color w:val="auto"/>
              </w:rPr>
            </w:pPr>
          </w:p>
        </w:tc>
        <w:tc>
          <w:tcPr>
            <w:tcW w:w="220" w:type="dxa"/>
            <w:vAlign w:val="bottom"/>
            <w:tcBorders>
              <w:bottom w:val="single" w:sz="8" w:color="E7417A"/>
            </w:tcBorders>
            <w:vMerge w:val="continue"/>
          </w:tcPr>
          <w:p>
            <w:pPr>
              <w:spacing w:after="0"/>
              <w:rPr>
                <w:sz w:val="5"/>
                <w:szCs w:val="5"/>
                <w:color w:val="auto"/>
              </w:rPr>
            </w:pPr>
          </w:p>
        </w:tc>
        <w:tc>
          <w:tcPr>
            <w:tcW w:w="1260" w:type="dxa"/>
            <w:vAlign w:val="bottom"/>
            <w:tcBorders>
              <w:bottom w:val="single" w:sz="8" w:color="E7417A"/>
            </w:tcBorders>
          </w:tcPr>
          <w:p>
            <w:pPr>
              <w:jc w:val="right"/>
              <w:ind w:right="906"/>
              <w:spacing w:after="0" w:line="68" w:lineRule="exact"/>
              <w:rPr>
                <w:sz w:val="20"/>
                <w:szCs w:val="20"/>
                <w:color w:val="auto"/>
              </w:rPr>
            </w:pPr>
            <w:r>
              <w:rPr>
                <w:rFonts w:ascii="Arial" w:cs="Arial" w:eastAsia="Arial" w:hAnsi="Arial"/>
                <w:sz w:val="7"/>
                <w:szCs w:val="7"/>
                <w:color w:val="auto"/>
              </w:rPr>
              <w:t>​</w:t>
            </w:r>
          </w:p>
        </w:tc>
        <w:tc>
          <w:tcPr>
            <w:tcW w:w="260" w:type="dxa"/>
            <w:vAlign w:val="bottom"/>
            <w:tcBorders>
              <w:bottom w:val="single" w:sz="8" w:color="E7417A"/>
            </w:tcBorders>
            <w:vMerge w:val="continue"/>
          </w:tcPr>
          <w:p>
            <w:pPr>
              <w:spacing w:after="0"/>
              <w:rPr>
                <w:sz w:val="5"/>
                <w:szCs w:val="5"/>
                <w:color w:val="auto"/>
              </w:rPr>
            </w:pPr>
          </w:p>
        </w:tc>
        <w:tc>
          <w:tcPr>
            <w:tcW w:w="480" w:type="dxa"/>
            <w:vAlign w:val="bottom"/>
            <w:tcBorders>
              <w:bottom w:val="single" w:sz="8" w:color="E7417A"/>
            </w:tcBorders>
          </w:tcPr>
          <w:p>
            <w:pPr>
              <w:ind w:left="340"/>
              <w:spacing w:after="0" w:line="68" w:lineRule="exact"/>
              <w:rPr>
                <w:sz w:val="20"/>
                <w:szCs w:val="20"/>
                <w:color w:val="auto"/>
              </w:rPr>
            </w:pPr>
            <w:r>
              <w:rPr>
                <w:rFonts w:ascii="Arial" w:cs="Arial" w:eastAsia="Arial" w:hAnsi="Arial"/>
                <w:sz w:val="7"/>
                <w:szCs w:val="7"/>
                <w:color w:val="auto"/>
              </w:rPr>
              <w:t>​</w:t>
            </w:r>
          </w:p>
        </w:tc>
        <w:tc>
          <w:tcPr>
            <w:tcW w:w="340" w:type="dxa"/>
            <w:vAlign w:val="bottom"/>
            <w:tcBorders>
              <w:bottom w:val="single" w:sz="8" w:color="E7417A"/>
            </w:tcBorders>
          </w:tcPr>
          <w:p>
            <w:pPr>
              <w:spacing w:after="0"/>
              <w:rPr>
                <w:sz w:val="5"/>
                <w:szCs w:val="5"/>
                <w:color w:val="auto"/>
              </w:rPr>
            </w:pPr>
          </w:p>
        </w:tc>
        <w:tc>
          <w:tcPr>
            <w:tcW w:w="320" w:type="dxa"/>
            <w:vAlign w:val="bottom"/>
            <w:tcBorders>
              <w:bottom w:val="single" w:sz="8" w:color="E7417A"/>
            </w:tcBorders>
          </w:tcPr>
          <w:p>
            <w:pPr>
              <w:spacing w:after="0"/>
              <w:rPr>
                <w:sz w:val="5"/>
                <w:szCs w:val="5"/>
                <w:color w:val="auto"/>
              </w:rPr>
            </w:pPr>
          </w:p>
        </w:tc>
        <w:tc>
          <w:tcPr>
            <w:tcW w:w="280" w:type="dxa"/>
            <w:vAlign w:val="bottom"/>
            <w:tcBorders>
              <w:bottom w:val="single" w:sz="8" w:color="E7417A"/>
            </w:tcBorders>
            <w:vMerge w:val="continue"/>
          </w:tcPr>
          <w:p>
            <w:pPr>
              <w:spacing w:after="0"/>
              <w:rPr>
                <w:sz w:val="5"/>
                <w:szCs w:val="5"/>
                <w:color w:val="auto"/>
              </w:rPr>
            </w:pPr>
          </w:p>
        </w:tc>
        <w:tc>
          <w:tcPr>
            <w:tcW w:w="620" w:type="dxa"/>
            <w:vAlign w:val="bottom"/>
            <w:tcBorders>
              <w:bottom w:val="single" w:sz="8" w:color="E7417A"/>
            </w:tcBorders>
          </w:tcPr>
          <w:p>
            <w:pPr>
              <w:ind w:left="500"/>
              <w:spacing w:after="0" w:line="68" w:lineRule="exact"/>
              <w:rPr>
                <w:sz w:val="20"/>
                <w:szCs w:val="20"/>
                <w:color w:val="auto"/>
              </w:rPr>
            </w:pPr>
            <w:r>
              <w:rPr>
                <w:rFonts w:ascii="Arial" w:cs="Arial" w:eastAsia="Arial" w:hAnsi="Arial"/>
                <w:sz w:val="7"/>
                <w:szCs w:val="7"/>
                <w:color w:val="auto"/>
              </w:rPr>
              <w:t>​</w:t>
            </w:r>
          </w:p>
        </w:tc>
        <w:tc>
          <w:tcPr>
            <w:tcW w:w="1200" w:type="dxa"/>
            <w:vAlign w:val="bottom"/>
            <w:tcBorders>
              <w:bottom w:val="single" w:sz="8" w:color="E7417A"/>
            </w:tcBorders>
          </w:tcPr>
          <w:p>
            <w:pPr>
              <w:spacing w:after="0"/>
              <w:rPr>
                <w:sz w:val="5"/>
                <w:szCs w:val="5"/>
                <w:color w:val="auto"/>
              </w:rPr>
            </w:pPr>
          </w:p>
        </w:tc>
        <w:tc>
          <w:tcPr>
            <w:tcW w:w="160" w:type="dxa"/>
            <w:vAlign w:val="bottom"/>
            <w:tcBorders>
              <w:bottom w:val="single" w:sz="8" w:color="E7417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Equity Compensation Plans Not Approved by</w:t>
            </w:r>
          </w:p>
        </w:tc>
        <w:tc>
          <w:tcPr>
            <w:tcW w:w="220" w:type="dxa"/>
            <w:vAlign w:val="bottom"/>
          </w:tcPr>
          <w:p>
            <w:pPr>
              <w:spacing w:after="0"/>
              <w:rPr>
                <w:sz w:val="16"/>
                <w:szCs w:val="16"/>
                <w:color w:val="auto"/>
              </w:rPr>
            </w:pPr>
          </w:p>
        </w:tc>
        <w:tc>
          <w:tcPr>
            <w:tcW w:w="1260" w:type="dxa"/>
            <w:vAlign w:val="bottom"/>
            <w:vMerge w:val="restart"/>
          </w:tcPr>
          <w:p>
            <w:pPr>
              <w:jc w:val="right"/>
              <w:ind w:right="26"/>
              <w:spacing w:after="0"/>
              <w:rPr>
                <w:sz w:val="20"/>
                <w:szCs w:val="20"/>
                <w:color w:val="auto"/>
              </w:rPr>
            </w:pPr>
            <w:r>
              <w:rPr>
                <w:rFonts w:ascii="Arial" w:cs="Arial" w:eastAsia="Arial" w:hAnsi="Arial"/>
                <w:sz w:val="16"/>
                <w:szCs w:val="16"/>
                <w:color w:val="auto"/>
              </w:rPr>
              <w:t>​  956,564</w:t>
            </w:r>
            <w:r>
              <w:rPr>
                <w:rFonts w:ascii="Arial" w:cs="Arial" w:eastAsia="Arial" w:hAnsi="Arial"/>
                <w:sz w:val="19"/>
                <w:szCs w:val="19"/>
                <w:color w:val="auto"/>
                <w:vertAlign w:val="superscript"/>
              </w:rPr>
              <w:t>(3)</w:t>
            </w: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w w:val="94"/>
              </w:rPr>
              <w:t>1.86</w:t>
            </w:r>
            <w:r>
              <w:rPr>
                <w:rFonts w:ascii="Arial" w:cs="Arial" w:eastAsia="Arial" w:hAnsi="Arial"/>
                <w:sz w:val="19"/>
                <w:szCs w:val="19"/>
                <w:color w:val="auto"/>
                <w:w w:val="94"/>
                <w:vertAlign w:val="superscript"/>
              </w:rPr>
              <w:t>(4)</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3620" w:type="dxa"/>
            <w:vAlign w:val="bottom"/>
          </w:tcPr>
          <w:p>
            <w:pPr>
              <w:spacing w:after="0" w:line="163" w:lineRule="exact"/>
              <w:rPr>
                <w:sz w:val="20"/>
                <w:szCs w:val="20"/>
                <w:color w:val="auto"/>
              </w:rPr>
            </w:pPr>
            <w:r>
              <w:rPr>
                <w:rFonts w:ascii="Arial" w:cs="Arial" w:eastAsia="Arial" w:hAnsi="Arial"/>
                <w:sz w:val="16"/>
                <w:szCs w:val="16"/>
                <w:color w:val="auto"/>
              </w:rPr>
              <w:t>Stockholders</w:t>
            </w: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260" w:type="dxa"/>
            <w:vAlign w:val="bottom"/>
            <w:vMerge w:val="continue"/>
          </w:tcPr>
          <w:p>
            <w:pPr>
              <w:spacing w:after="0"/>
              <w:rPr>
                <w:sz w:val="14"/>
                <w:szCs w:val="14"/>
                <w:color w:val="auto"/>
              </w:rPr>
            </w:pPr>
          </w:p>
        </w:tc>
        <w:tc>
          <w:tcPr>
            <w:tcW w:w="26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480" w:type="dxa"/>
            <w:vAlign w:val="bottom"/>
          </w:tcPr>
          <w:p>
            <w:pPr>
              <w:ind w:left="380"/>
              <w:spacing w:after="0" w:line="163" w:lineRule="exact"/>
              <w:rPr>
                <w:sz w:val="20"/>
                <w:szCs w:val="20"/>
                <w:color w:val="auto"/>
              </w:rPr>
            </w:pPr>
            <w:r>
              <w:rPr>
                <w:rFonts w:ascii="Arial" w:cs="Arial" w:eastAsia="Arial" w:hAnsi="Arial"/>
                <w:sz w:val="16"/>
                <w:szCs w:val="16"/>
                <w:color w:val="auto"/>
                <w:w w:val="89"/>
              </w:rPr>
              <w:t>$</w:t>
            </w:r>
          </w:p>
        </w:tc>
        <w:tc>
          <w:tcPr>
            <w:tcW w:w="660" w:type="dxa"/>
            <w:vAlign w:val="bottom"/>
            <w:gridSpan w:val="2"/>
            <w:vMerge w:val="continue"/>
          </w:tcPr>
          <w:p>
            <w:pPr>
              <w:spacing w:after="0"/>
              <w:rPr>
                <w:sz w:val="14"/>
                <w:szCs w:val="14"/>
                <w:color w:val="auto"/>
              </w:rPr>
            </w:pPr>
          </w:p>
        </w:tc>
        <w:tc>
          <w:tcPr>
            <w:tcW w:w="28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620" w:type="dxa"/>
            <w:vAlign w:val="bottom"/>
          </w:tcPr>
          <w:p>
            <w:pPr>
              <w:ind w:left="540"/>
              <w:spacing w:after="0" w:line="163"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419"/>
              <w:spacing w:after="0" w:line="163" w:lineRule="exact"/>
              <w:rPr>
                <w:sz w:val="20"/>
                <w:szCs w:val="20"/>
                <w:color w:val="auto"/>
              </w:rPr>
            </w:pPr>
            <w:r>
              <w:rPr>
                <w:rFonts w:ascii="Arial" w:cs="Arial" w:eastAsia="Arial" w:hAnsi="Arial"/>
                <w:sz w:val="16"/>
                <w:szCs w:val="16"/>
                <w:color w:val="auto"/>
              </w:rPr>
              <w:t>—</w:t>
            </w: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60" w:type="dxa"/>
            <w:vAlign w:val="bottom"/>
            <w:tcBorders>
              <w:bottom w:val="single" w:sz="8" w:color="E7417A"/>
            </w:tcBorders>
            <w:vMerge w:val="continue"/>
          </w:tcPr>
          <w:p>
            <w:pPr>
              <w:spacing w:after="0"/>
              <w:rPr>
                <w:sz w:val="5"/>
                <w:szCs w:val="5"/>
                <w:color w:val="auto"/>
              </w:rPr>
            </w:pPr>
          </w:p>
        </w:tc>
        <w:tc>
          <w:tcPr>
            <w:tcW w:w="40" w:type="dxa"/>
            <w:vAlign w:val="bottom"/>
            <w:tcBorders>
              <w:bottom w:val="single" w:sz="8" w:color="E7417A"/>
            </w:tcBorders>
          </w:tcPr>
          <w:p>
            <w:pPr>
              <w:spacing w:after="0"/>
              <w:rPr>
                <w:sz w:val="5"/>
                <w:szCs w:val="5"/>
                <w:color w:val="auto"/>
              </w:rPr>
            </w:pPr>
          </w:p>
        </w:tc>
        <w:tc>
          <w:tcPr>
            <w:tcW w:w="3620" w:type="dxa"/>
            <w:vAlign w:val="bottom"/>
            <w:tcBorders>
              <w:bottom w:val="single" w:sz="8" w:color="E7417A"/>
            </w:tcBorders>
          </w:tcPr>
          <w:p>
            <w:pPr>
              <w:spacing w:after="0"/>
              <w:rPr>
                <w:sz w:val="5"/>
                <w:szCs w:val="5"/>
                <w:color w:val="auto"/>
              </w:rPr>
            </w:pPr>
          </w:p>
        </w:tc>
        <w:tc>
          <w:tcPr>
            <w:tcW w:w="220" w:type="dxa"/>
            <w:vAlign w:val="bottom"/>
            <w:tcBorders>
              <w:bottom w:val="single" w:sz="8" w:color="E7417A"/>
            </w:tcBorders>
            <w:vMerge w:val="continue"/>
          </w:tcPr>
          <w:p>
            <w:pPr>
              <w:spacing w:after="0"/>
              <w:rPr>
                <w:sz w:val="5"/>
                <w:szCs w:val="5"/>
                <w:color w:val="auto"/>
              </w:rPr>
            </w:pPr>
          </w:p>
        </w:tc>
        <w:tc>
          <w:tcPr>
            <w:tcW w:w="1260" w:type="dxa"/>
            <w:vAlign w:val="bottom"/>
            <w:tcBorders>
              <w:bottom w:val="single" w:sz="8" w:color="E7417A"/>
            </w:tcBorders>
          </w:tcPr>
          <w:p>
            <w:pPr>
              <w:jc w:val="right"/>
              <w:ind w:right="906"/>
              <w:spacing w:after="0" w:line="68" w:lineRule="exact"/>
              <w:rPr>
                <w:sz w:val="20"/>
                <w:szCs w:val="20"/>
                <w:color w:val="auto"/>
              </w:rPr>
            </w:pPr>
            <w:r>
              <w:rPr>
                <w:rFonts w:ascii="Arial" w:cs="Arial" w:eastAsia="Arial" w:hAnsi="Arial"/>
                <w:sz w:val="7"/>
                <w:szCs w:val="7"/>
                <w:color w:val="auto"/>
              </w:rPr>
              <w:t>​</w:t>
            </w:r>
          </w:p>
        </w:tc>
        <w:tc>
          <w:tcPr>
            <w:tcW w:w="260" w:type="dxa"/>
            <w:vAlign w:val="bottom"/>
            <w:tcBorders>
              <w:bottom w:val="single" w:sz="8" w:color="E7417A"/>
            </w:tcBorders>
            <w:vMerge w:val="continue"/>
          </w:tcPr>
          <w:p>
            <w:pPr>
              <w:spacing w:after="0"/>
              <w:rPr>
                <w:sz w:val="5"/>
                <w:szCs w:val="5"/>
                <w:color w:val="auto"/>
              </w:rPr>
            </w:pPr>
          </w:p>
        </w:tc>
        <w:tc>
          <w:tcPr>
            <w:tcW w:w="480" w:type="dxa"/>
            <w:vAlign w:val="bottom"/>
            <w:tcBorders>
              <w:bottom w:val="single" w:sz="8" w:color="E7417A"/>
            </w:tcBorders>
          </w:tcPr>
          <w:p>
            <w:pPr>
              <w:ind w:left="340"/>
              <w:spacing w:after="0" w:line="68" w:lineRule="exact"/>
              <w:rPr>
                <w:sz w:val="20"/>
                <w:szCs w:val="20"/>
                <w:color w:val="auto"/>
              </w:rPr>
            </w:pPr>
            <w:r>
              <w:rPr>
                <w:rFonts w:ascii="Arial" w:cs="Arial" w:eastAsia="Arial" w:hAnsi="Arial"/>
                <w:sz w:val="7"/>
                <w:szCs w:val="7"/>
                <w:color w:val="auto"/>
              </w:rPr>
              <w:t>​</w:t>
            </w:r>
          </w:p>
        </w:tc>
        <w:tc>
          <w:tcPr>
            <w:tcW w:w="340" w:type="dxa"/>
            <w:vAlign w:val="bottom"/>
            <w:tcBorders>
              <w:bottom w:val="single" w:sz="8" w:color="E7417A"/>
            </w:tcBorders>
          </w:tcPr>
          <w:p>
            <w:pPr>
              <w:spacing w:after="0"/>
              <w:rPr>
                <w:sz w:val="5"/>
                <w:szCs w:val="5"/>
                <w:color w:val="auto"/>
              </w:rPr>
            </w:pPr>
          </w:p>
        </w:tc>
        <w:tc>
          <w:tcPr>
            <w:tcW w:w="320" w:type="dxa"/>
            <w:vAlign w:val="bottom"/>
            <w:tcBorders>
              <w:bottom w:val="single" w:sz="8" w:color="E7417A"/>
            </w:tcBorders>
          </w:tcPr>
          <w:p>
            <w:pPr>
              <w:spacing w:after="0"/>
              <w:rPr>
                <w:sz w:val="5"/>
                <w:szCs w:val="5"/>
                <w:color w:val="auto"/>
              </w:rPr>
            </w:pPr>
          </w:p>
        </w:tc>
        <w:tc>
          <w:tcPr>
            <w:tcW w:w="280" w:type="dxa"/>
            <w:vAlign w:val="bottom"/>
            <w:tcBorders>
              <w:bottom w:val="single" w:sz="8" w:color="E7417A"/>
            </w:tcBorders>
            <w:vMerge w:val="continue"/>
          </w:tcPr>
          <w:p>
            <w:pPr>
              <w:spacing w:after="0"/>
              <w:rPr>
                <w:sz w:val="5"/>
                <w:szCs w:val="5"/>
                <w:color w:val="auto"/>
              </w:rPr>
            </w:pPr>
          </w:p>
        </w:tc>
        <w:tc>
          <w:tcPr>
            <w:tcW w:w="620" w:type="dxa"/>
            <w:vAlign w:val="bottom"/>
            <w:tcBorders>
              <w:bottom w:val="single" w:sz="8" w:color="E7417A"/>
            </w:tcBorders>
          </w:tcPr>
          <w:p>
            <w:pPr>
              <w:ind w:left="500"/>
              <w:spacing w:after="0" w:line="68" w:lineRule="exact"/>
              <w:rPr>
                <w:sz w:val="20"/>
                <w:szCs w:val="20"/>
                <w:color w:val="auto"/>
              </w:rPr>
            </w:pPr>
            <w:r>
              <w:rPr>
                <w:rFonts w:ascii="Arial" w:cs="Arial" w:eastAsia="Arial" w:hAnsi="Arial"/>
                <w:sz w:val="7"/>
                <w:szCs w:val="7"/>
                <w:color w:val="auto"/>
              </w:rPr>
              <w:t>​</w:t>
            </w:r>
          </w:p>
        </w:tc>
        <w:tc>
          <w:tcPr>
            <w:tcW w:w="1200" w:type="dxa"/>
            <w:vAlign w:val="bottom"/>
            <w:tcBorders>
              <w:bottom w:val="single" w:sz="8" w:color="E7417A"/>
            </w:tcBorders>
          </w:tcPr>
          <w:p>
            <w:pPr>
              <w:spacing w:after="0"/>
              <w:rPr>
                <w:sz w:val="5"/>
                <w:szCs w:val="5"/>
                <w:color w:val="auto"/>
              </w:rPr>
            </w:pPr>
          </w:p>
        </w:tc>
        <w:tc>
          <w:tcPr>
            <w:tcW w:w="160" w:type="dxa"/>
            <w:vAlign w:val="bottom"/>
            <w:tcBorders>
              <w:bottom w:val="single" w:sz="8" w:color="E7417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720" w:type="dxa"/>
            <w:vAlign w:val="bottom"/>
            <w:tcBorders>
              <w:bottom w:val="single" w:sz="8" w:color="62259D"/>
            </w:tcBorders>
            <w:gridSpan w:val="3"/>
          </w:tcPr>
          <w:p>
            <w:pPr>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62259D"/>
            </w:tcBorders>
          </w:tcPr>
          <w:p>
            <w:pPr>
              <w:spacing w:after="0"/>
              <w:rPr>
                <w:sz w:val="20"/>
                <w:szCs w:val="20"/>
                <w:color w:val="auto"/>
              </w:rPr>
            </w:pPr>
            <w:r>
              <w:rPr>
                <w:rFonts w:ascii="Arial" w:cs="Arial" w:eastAsia="Arial" w:hAnsi="Arial"/>
                <w:sz w:val="16"/>
                <w:szCs w:val="16"/>
                <w:color w:val="auto"/>
              </w:rPr>
              <w:t>​ ​</w:t>
            </w:r>
          </w:p>
        </w:tc>
        <w:tc>
          <w:tcPr>
            <w:tcW w:w="1260" w:type="dxa"/>
            <w:vAlign w:val="bottom"/>
            <w:tcBorders>
              <w:bottom w:val="single" w:sz="8" w:color="62259D"/>
            </w:tcBorders>
          </w:tcPr>
          <w:p>
            <w:pPr>
              <w:jc w:val="right"/>
              <w:ind w:right="146"/>
              <w:spacing w:after="0"/>
              <w:rPr>
                <w:sz w:val="20"/>
                <w:szCs w:val="20"/>
                <w:color w:val="auto"/>
              </w:rPr>
            </w:pPr>
            <w:r>
              <w:rPr>
                <w:rFonts w:ascii="Arial" w:cs="Arial" w:eastAsia="Arial" w:hAnsi="Arial"/>
                <w:sz w:val="16"/>
                <w:szCs w:val="16"/>
                <w:color w:val="auto"/>
              </w:rPr>
              <w:t>​​ 7,934,846</w:t>
            </w:r>
          </w:p>
        </w:tc>
        <w:tc>
          <w:tcPr>
            <w:tcW w:w="260" w:type="dxa"/>
            <w:vAlign w:val="bottom"/>
            <w:tcBorders>
              <w:bottom w:val="single" w:sz="8" w:color="62259D"/>
            </w:tcBorders>
          </w:tcPr>
          <w:p>
            <w:pPr>
              <w:ind w:left="20"/>
              <w:spacing w:after="0"/>
              <w:rPr>
                <w:sz w:val="20"/>
                <w:szCs w:val="20"/>
                <w:color w:val="auto"/>
              </w:rPr>
            </w:pPr>
            <w:r>
              <w:rPr>
                <w:rFonts w:ascii="Arial" w:cs="Arial" w:eastAsia="Arial" w:hAnsi="Arial"/>
                <w:sz w:val="16"/>
                <w:szCs w:val="16"/>
                <w:color w:val="auto"/>
              </w:rPr>
              <w:t>​​ ​</w:t>
            </w:r>
          </w:p>
        </w:tc>
        <w:tc>
          <w:tcPr>
            <w:tcW w:w="480" w:type="dxa"/>
            <w:vAlign w:val="bottom"/>
            <w:tcBorders>
              <w:bottom w:val="single" w:sz="8" w:color="62259D"/>
            </w:tcBorders>
          </w:tcPr>
          <w:p>
            <w:pPr>
              <w:ind w:left="3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62259D"/>
            </w:tcBorders>
          </w:tcPr>
          <w:p>
            <w:pPr>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62259D"/>
            </w:tcBorders>
          </w:tcPr>
          <w:p>
            <w:pPr>
              <w:jc w:val="right"/>
              <w:ind w:right="19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62259D"/>
            </w:tcBorders>
          </w:tcPr>
          <w:p>
            <w:pPr>
              <w:ind w:left="20"/>
              <w:spacing w:after="0"/>
              <w:rPr>
                <w:sz w:val="20"/>
                <w:szCs w:val="20"/>
                <w:color w:val="auto"/>
              </w:rPr>
            </w:pPr>
            <w:r>
              <w:rPr>
                <w:rFonts w:ascii="Arial" w:cs="Arial" w:eastAsia="Arial" w:hAnsi="Arial"/>
                <w:sz w:val="16"/>
                <w:szCs w:val="16"/>
                <w:color w:val="auto"/>
              </w:rPr>
              <w:t>​​ ​</w:t>
            </w:r>
          </w:p>
        </w:tc>
        <w:tc>
          <w:tcPr>
            <w:tcW w:w="1820" w:type="dxa"/>
            <w:vAlign w:val="bottom"/>
            <w:tcBorders>
              <w:bottom w:val="single" w:sz="8" w:color="62259D"/>
            </w:tcBorders>
            <w:gridSpan w:val="2"/>
          </w:tcPr>
          <w:p>
            <w:pPr>
              <w:jc w:val="right"/>
              <w:ind w:right="419"/>
              <w:spacing w:after="0"/>
              <w:rPr>
                <w:sz w:val="20"/>
                <w:szCs w:val="20"/>
                <w:color w:val="auto"/>
              </w:rPr>
            </w:pPr>
            <w:r>
              <w:rPr>
                <w:rFonts w:ascii="Arial" w:cs="Arial" w:eastAsia="Arial" w:hAnsi="Arial"/>
                <w:sz w:val="16"/>
                <w:szCs w:val="16"/>
                <w:color w:val="auto"/>
              </w:rPr>
              <w:t>​​2,180,307</w:t>
            </w:r>
          </w:p>
        </w:tc>
        <w:tc>
          <w:tcPr>
            <w:tcW w:w="160" w:type="dxa"/>
            <w:vAlign w:val="bottom"/>
            <w:tcBorders>
              <w:bottom w:val="single" w:sz="8" w:color="62259D"/>
            </w:tcBorders>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400" w:right="259" w:hanging="368"/>
        <w:spacing w:after="0" w:line="301" w:lineRule="auto"/>
        <w:tabs>
          <w:tab w:leader="none" w:pos="140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Consists of 3,583,190 restricted stock units (“</w:t>
      </w:r>
      <w:r>
        <w:rPr>
          <w:rFonts w:ascii="Arial" w:cs="Arial" w:eastAsia="Arial" w:hAnsi="Arial"/>
          <w:sz w:val="14"/>
          <w:szCs w:val="14"/>
          <w:b w:val="1"/>
          <w:bCs w:val="1"/>
          <w:color w:val="auto"/>
        </w:rPr>
        <w:t>RSUs</w:t>
      </w:r>
      <w:r>
        <w:rPr>
          <w:rFonts w:ascii="Arial" w:cs="Arial" w:eastAsia="Arial" w:hAnsi="Arial"/>
          <w:sz w:val="14"/>
          <w:szCs w:val="14"/>
          <w:color w:val="auto"/>
        </w:rPr>
        <w:t>”) and 3,395,092 performance stock units (“</w:t>
      </w:r>
      <w:r>
        <w:rPr>
          <w:rFonts w:ascii="Arial" w:cs="Arial" w:eastAsia="Arial" w:hAnsi="Arial"/>
          <w:sz w:val="14"/>
          <w:szCs w:val="14"/>
          <w:b w:val="1"/>
          <w:bCs w:val="1"/>
          <w:color w:val="auto"/>
        </w:rPr>
        <w:t>PSUs</w:t>
      </w:r>
      <w:r>
        <w:rPr>
          <w:rFonts w:ascii="Arial" w:cs="Arial" w:eastAsia="Arial" w:hAnsi="Arial"/>
          <w:sz w:val="14"/>
          <w:szCs w:val="14"/>
          <w:color w:val="auto"/>
        </w:rPr>
        <w:t>”) at maximum, none of which have voting or other rights of ownership under the 2019 Plan.</w:t>
      </w:r>
    </w:p>
    <w:p>
      <w:pPr>
        <w:spacing w:after="0" w:line="1" w:lineRule="exact"/>
        <w:rPr>
          <w:rFonts w:ascii="Arial" w:cs="Arial" w:eastAsia="Arial" w:hAnsi="Arial"/>
          <w:sz w:val="14"/>
          <w:szCs w:val="14"/>
          <w:color w:val="auto"/>
        </w:rPr>
      </w:pPr>
    </w:p>
    <w:p>
      <w:pPr>
        <w:ind w:left="1400" w:right="319" w:hanging="368"/>
        <w:spacing w:after="0" w:line="283" w:lineRule="auto"/>
        <w:tabs>
          <w:tab w:leader="none" w:pos="140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Consists of shares available for future issuance under the 2019 Plan. In addition to being available for future issuance upon exercise of options that may be granted after December 31, 2024, the shares available under the 2019 Plan may also be issued in the form of restricted stock, RSUs, PSUs, SARs, or other equity-based awards.</w:t>
      </w:r>
    </w:p>
    <w:p>
      <w:pPr>
        <w:spacing w:after="0" w:line="10" w:lineRule="exact"/>
        <w:rPr>
          <w:rFonts w:ascii="Arial" w:cs="Arial" w:eastAsia="Arial" w:hAnsi="Arial"/>
          <w:sz w:val="14"/>
          <w:szCs w:val="14"/>
          <w:color w:val="auto"/>
        </w:rPr>
      </w:pPr>
    </w:p>
    <w:p>
      <w:pPr>
        <w:ind w:left="1400" w:right="199" w:hanging="368"/>
        <w:spacing w:after="0" w:line="267" w:lineRule="auto"/>
        <w:tabs>
          <w:tab w:leader="none" w:pos="140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Includes 937,660 RSUs and PSUs (the “</w:t>
      </w:r>
      <w:r>
        <w:rPr>
          <w:rFonts w:ascii="Arial" w:cs="Arial" w:eastAsia="Arial" w:hAnsi="Arial"/>
          <w:sz w:val="14"/>
          <w:szCs w:val="14"/>
          <w:i w:val="1"/>
          <w:iCs w:val="1"/>
          <w:color w:val="auto"/>
        </w:rPr>
        <w:t>Inducement Awards</w:t>
      </w:r>
      <w:r>
        <w:rPr>
          <w:rFonts w:ascii="Arial" w:cs="Arial" w:eastAsia="Arial" w:hAnsi="Arial"/>
          <w:sz w:val="14"/>
          <w:szCs w:val="14"/>
          <w:color w:val="auto"/>
        </w:rPr>
        <w:t>”) at maximum vesting issued to Mr. Townsend on October 15, 2024 as a material inducement for his employment. The Inducement Awards were approved by the Compensation Committee in reliance on the employment inducement exception to stockholder approval provided under Nasdaq Listing Rule 5635(c)(4). Also includes 18,904 options outstanding under the 2002 Stock Option Plan (the “</w:t>
      </w:r>
      <w:r>
        <w:rPr>
          <w:rFonts w:ascii="Arial" w:cs="Arial" w:eastAsia="Arial" w:hAnsi="Arial"/>
          <w:sz w:val="14"/>
          <w:szCs w:val="14"/>
          <w:i w:val="1"/>
          <w:iCs w:val="1"/>
          <w:color w:val="auto"/>
        </w:rPr>
        <w:t>2002 Plan</w:t>
      </w:r>
      <w:r>
        <w:rPr>
          <w:rFonts w:ascii="Arial" w:cs="Arial" w:eastAsia="Arial" w:hAnsi="Arial"/>
          <w:sz w:val="14"/>
          <w:szCs w:val="14"/>
          <w:color w:val="auto"/>
        </w:rPr>
        <w:t>”), which was assumed in connection with the Company’s August 3, 2018 acquisition of Edgewater Networks, Inc. (“</w:t>
      </w:r>
      <w:r>
        <w:rPr>
          <w:rFonts w:ascii="Arial" w:cs="Arial" w:eastAsia="Arial" w:hAnsi="Arial"/>
          <w:sz w:val="14"/>
          <w:szCs w:val="14"/>
          <w:i w:val="1"/>
          <w:iCs w:val="1"/>
          <w:color w:val="auto"/>
        </w:rPr>
        <w:t>Edgewater</w:t>
      </w:r>
      <w:r>
        <w:rPr>
          <w:rFonts w:ascii="Arial" w:cs="Arial" w:eastAsia="Arial" w:hAnsi="Arial"/>
          <w:sz w:val="14"/>
          <w:szCs w:val="14"/>
          <w:color w:val="auto"/>
        </w:rPr>
        <w:t>”).</w:t>
      </w:r>
    </w:p>
    <w:p>
      <w:pPr>
        <w:spacing w:after="0" w:line="35" w:lineRule="exact"/>
        <w:rPr>
          <w:rFonts w:ascii="Arial" w:cs="Arial" w:eastAsia="Arial" w:hAnsi="Arial"/>
          <w:sz w:val="14"/>
          <w:szCs w:val="14"/>
          <w:color w:val="auto"/>
        </w:rPr>
      </w:pPr>
    </w:p>
    <w:p>
      <w:pPr>
        <w:ind w:left="1400" w:hanging="368"/>
        <w:spacing w:after="0"/>
        <w:tabs>
          <w:tab w:leader="none" w:pos="140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Represents the weighted average exercise price for options to purchase our common stock outstanding under the 2002 Plan.</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Summary of the New Plan</w:t>
      </w:r>
    </w:p>
    <w:p>
      <w:pPr>
        <w:spacing w:after="0" w:line="145" w:lineRule="exact"/>
        <w:rPr>
          <w:sz w:val="20"/>
          <w:szCs w:val="20"/>
          <w:color w:val="auto"/>
        </w:rPr>
      </w:pPr>
    </w:p>
    <w:p>
      <w:pPr>
        <w:ind w:left="920" w:right="279"/>
        <w:spacing w:after="0" w:line="245" w:lineRule="auto"/>
        <w:rPr>
          <w:sz w:val="20"/>
          <w:szCs w:val="20"/>
          <w:color w:val="auto"/>
        </w:rPr>
      </w:pPr>
      <w:r>
        <w:rPr>
          <w:rFonts w:ascii="Arial" w:cs="Arial" w:eastAsia="Arial" w:hAnsi="Arial"/>
          <w:sz w:val="18"/>
          <w:szCs w:val="18"/>
          <w:color w:val="auto"/>
        </w:rPr>
        <w:t xml:space="preserve">The following is a summary of the material terms of the New Plan and is qualified in its entirety by the full text of the New Plan, a copy of which is attached as </w:t>
      </w:r>
      <w:r>
        <w:rPr>
          <w:rFonts w:ascii="Arial" w:cs="Arial" w:eastAsia="Arial" w:hAnsi="Arial"/>
          <w:sz w:val="18"/>
          <w:szCs w:val="18"/>
          <w:b w:val="1"/>
          <w:bCs w:val="1"/>
          <w:i w:val="1"/>
          <w:iCs w:val="1"/>
          <w:color w:val="auto"/>
        </w:rPr>
        <w:t>Appendix C</w:t>
      </w:r>
      <w:r>
        <w:rPr>
          <w:rFonts w:ascii="Arial" w:cs="Arial" w:eastAsia="Arial" w:hAnsi="Arial"/>
          <w:sz w:val="18"/>
          <w:szCs w:val="18"/>
          <w:color w:val="auto"/>
        </w:rPr>
        <w:t xml:space="preserve"> to this Proxy Statement. References to</w:t>
      </w:r>
    </w:p>
    <w:p>
      <w:pPr>
        <w:ind w:left="920" w:right="419"/>
        <w:spacing w:after="0" w:line="237" w:lineRule="auto"/>
        <w:rPr>
          <w:sz w:val="20"/>
          <w:szCs w:val="20"/>
          <w:color w:val="auto"/>
        </w:rPr>
      </w:pPr>
      <w:r>
        <w:rPr>
          <w:rFonts w:ascii="Arial" w:cs="Arial" w:eastAsia="Arial" w:hAnsi="Arial"/>
          <w:sz w:val="18"/>
          <w:szCs w:val="18"/>
          <w:color w:val="auto"/>
        </w:rPr>
        <w:t>our Board in this summary include the Compensation Committee or any similar committee appointed by our Board to administer the New Plan.</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Shares Available for Issuance under the New Plan</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Awards may be made under the New Plan for up to 16,180,307 shares of our common stock, consisting of</w:t>
      </w:r>
    </w:p>
    <w:p>
      <w:pPr>
        <w:spacing w:after="0" w:line="14" w:lineRule="exact"/>
        <w:rPr>
          <w:sz w:val="20"/>
          <w:szCs w:val="20"/>
          <w:color w:val="auto"/>
        </w:rPr>
      </w:pPr>
    </w:p>
    <w:p>
      <w:pPr>
        <w:ind w:left="920" w:right="139" w:firstLine="4"/>
        <w:spacing w:after="0" w:line="233" w:lineRule="auto"/>
        <w:tabs>
          <w:tab w:leader="none" w:pos="114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14,000,000 new shares of our common stock plus (ii) 2,180,307 shares of our common stock previously reserved for issuance under the 2019 Plan that remain available for grant as of the Effective Date, plus that number of shares of our common stock subject to awards granted previously under the Prior Plans which become available after the Effective Date for grant under the New Plan as a result of such outstanding awards expiring or terminating or being cancelled or forfeited for any other reason pursuant to the terms of the Prior Plans (as described below). The number of shares issuable under the New Plan is subject to adjustment for changes in capitalization, including stock splits and other similar events. No more than 16,180,307 shares of common stock may be issued as incentive stock options under the New Plan.</w:t>
      </w:r>
    </w:p>
    <w:p>
      <w:pPr>
        <w:spacing w:after="0" w:line="1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an award (or an award under the Prior Plans) expires, terminates, is surrendered or cancelled or</w:t>
      </w:r>
    </w:p>
    <w:p>
      <w:pPr>
        <w:spacing w:after="0" w:line="14" w:lineRule="exact"/>
        <w:rPr>
          <w:sz w:val="20"/>
          <w:szCs w:val="20"/>
          <w:color w:val="auto"/>
        </w:rPr>
      </w:pPr>
    </w:p>
    <w:p>
      <w:pPr>
        <w:ind w:left="920" w:right="579"/>
        <w:spacing w:after="0" w:line="237" w:lineRule="auto"/>
        <w:rPr>
          <w:sz w:val="20"/>
          <w:szCs w:val="20"/>
          <w:color w:val="auto"/>
        </w:rPr>
      </w:pPr>
      <w:r>
        <w:rPr>
          <w:rFonts w:ascii="Arial" w:cs="Arial" w:eastAsia="Arial" w:hAnsi="Arial"/>
          <w:sz w:val="18"/>
          <w:szCs w:val="18"/>
          <w:color w:val="auto"/>
        </w:rPr>
        <w:t>otherwise results in shares not being issued, the unused shares covered by such award will generally become available for future grants under the New Plan. However, any shares tendered or withheld</w:t>
      </w:r>
    </w:p>
    <w:p>
      <w:pPr>
        <w:spacing w:after="0" w:line="18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pay the exercise price of an option under the New Plan or the Prior Plans or to satisfy a tax withholding</w:t>
      </w:r>
    </w:p>
    <w:p>
      <w:pPr>
        <w:spacing w:after="0" w:line="14" w:lineRule="exact"/>
        <w:rPr>
          <w:sz w:val="20"/>
          <w:szCs w:val="20"/>
          <w:color w:val="auto"/>
        </w:rPr>
      </w:pPr>
    </w:p>
    <w:p>
      <w:pPr>
        <w:ind w:left="920" w:right="279"/>
        <w:spacing w:after="0" w:line="226" w:lineRule="auto"/>
        <w:rPr>
          <w:sz w:val="20"/>
          <w:szCs w:val="20"/>
          <w:color w:val="auto"/>
        </w:rPr>
      </w:pPr>
      <w:r>
        <w:rPr>
          <w:rFonts w:ascii="Arial" w:cs="Arial" w:eastAsia="Arial" w:hAnsi="Arial"/>
          <w:sz w:val="18"/>
          <w:szCs w:val="18"/>
          <w:color w:val="auto"/>
        </w:rPr>
        <w:t>obligation of any award under the New Plan or the Prior Plans will not become available for future grant under the New Plan. Furthermore, any shares repurchased by us on the open market using the proceeds</w:t>
      </w:r>
    </w:p>
    <w:p>
      <w:pPr>
        <w:spacing w:after="0" w:line="2" w:lineRule="exact"/>
        <w:rPr>
          <w:sz w:val="20"/>
          <w:szCs w:val="20"/>
          <w:color w:val="auto"/>
        </w:rPr>
      </w:pPr>
    </w:p>
    <w:p>
      <w:pPr>
        <w:ind w:left="920" w:right="699"/>
        <w:spacing w:after="0" w:line="250" w:lineRule="auto"/>
        <w:rPr>
          <w:sz w:val="20"/>
          <w:szCs w:val="20"/>
          <w:color w:val="auto"/>
        </w:rPr>
      </w:pPr>
      <w:r>
        <w:rPr>
          <w:rFonts w:ascii="Arial" w:cs="Arial" w:eastAsia="Arial" w:hAnsi="Arial"/>
          <w:sz w:val="18"/>
          <w:szCs w:val="18"/>
          <w:color w:val="auto"/>
        </w:rPr>
        <w:t>from the exercise of an award under the New Plan or the Prior Plans will not increase the number of shares available for the future grant of awards under the New Plan.</w:t>
      </w:r>
    </w:p>
    <w:p>
      <w:pPr>
        <w:spacing w:after="0" w:line="9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Shares of common stock issued pursuant to awards under the New Plan will count against the shares of</w:t>
      </w:r>
    </w:p>
    <w:p>
      <w:pPr>
        <w:spacing w:after="0" w:line="14" w:lineRule="exact"/>
        <w:rPr>
          <w:sz w:val="20"/>
          <w:szCs w:val="20"/>
          <w:color w:val="auto"/>
        </w:rPr>
      </w:pPr>
    </w:p>
    <w:p>
      <w:pPr>
        <w:ind w:left="920" w:right="259"/>
        <w:spacing w:after="0" w:line="226" w:lineRule="auto"/>
        <w:rPr>
          <w:sz w:val="20"/>
          <w:szCs w:val="20"/>
          <w:color w:val="auto"/>
        </w:rPr>
      </w:pPr>
      <w:r>
        <w:rPr>
          <w:rFonts w:ascii="Arial" w:cs="Arial" w:eastAsia="Arial" w:hAnsi="Arial"/>
          <w:sz w:val="18"/>
          <w:szCs w:val="18"/>
          <w:color w:val="auto"/>
        </w:rPr>
        <w:t>common stock available for issuance under the New Plan as one share for each one share issued in connection with the award, except that shares subject to a SAR that are not issued in connection with the</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exercise or settlement of the SAR will not become available for future grants under the New Plan.</w:t>
      </w:r>
    </w:p>
    <w:p>
      <w:pPr>
        <w:spacing w:after="0" w:line="113" w:lineRule="exact"/>
        <w:rPr>
          <w:sz w:val="20"/>
          <w:szCs w:val="20"/>
          <w:color w:val="auto"/>
        </w:rPr>
      </w:pPr>
    </w:p>
    <w:p>
      <w:pPr>
        <w:ind w:left="920" w:right="479"/>
        <w:spacing w:after="0" w:line="245" w:lineRule="auto"/>
        <w:rPr>
          <w:sz w:val="20"/>
          <w:szCs w:val="20"/>
          <w:color w:val="auto"/>
        </w:rPr>
      </w:pPr>
      <w:r>
        <w:rPr>
          <w:rFonts w:ascii="Arial" w:cs="Arial" w:eastAsia="Arial" w:hAnsi="Arial"/>
          <w:sz w:val="18"/>
          <w:szCs w:val="18"/>
          <w:color w:val="auto"/>
        </w:rPr>
        <w:t>In connection with a corporate transaction with another entity, such as a merger or consolidation of an entity with us or our acquisition of property or stock of an entity, our Board may grant awards under the</w:t>
      </w:r>
    </w:p>
    <w:p>
      <w:pPr>
        <w:ind w:left="920" w:right="199"/>
        <w:spacing w:after="0" w:line="226" w:lineRule="auto"/>
        <w:rPr>
          <w:sz w:val="20"/>
          <w:szCs w:val="20"/>
          <w:color w:val="auto"/>
        </w:rPr>
      </w:pPr>
      <w:r>
        <w:rPr>
          <w:rFonts w:ascii="Arial" w:cs="Arial" w:eastAsia="Arial" w:hAnsi="Arial"/>
          <w:sz w:val="18"/>
          <w:szCs w:val="18"/>
          <w:color w:val="auto"/>
        </w:rPr>
        <w:t>New Plan in substitution for any options or other stock or stock-based awards granted by such entity or an affiliate thereof on such terms as our Board determines appropriate in the circumstances, notwithstanding</w:t>
      </w:r>
    </w:p>
    <w:p>
      <w:pPr>
        <w:spacing w:after="0" w:line="2" w:lineRule="exact"/>
        <w:rPr>
          <w:sz w:val="20"/>
          <w:szCs w:val="20"/>
          <w:color w:val="auto"/>
        </w:rPr>
      </w:pPr>
    </w:p>
    <w:p>
      <w:pPr>
        <w:ind w:left="920" w:right="319"/>
        <w:spacing w:after="0" w:line="226" w:lineRule="auto"/>
        <w:rPr>
          <w:sz w:val="20"/>
          <w:szCs w:val="20"/>
          <w:color w:val="auto"/>
        </w:rPr>
      </w:pPr>
      <w:r>
        <w:rPr>
          <w:rFonts w:ascii="Arial" w:cs="Arial" w:eastAsia="Arial" w:hAnsi="Arial"/>
          <w:sz w:val="18"/>
          <w:szCs w:val="18"/>
          <w:color w:val="auto"/>
        </w:rPr>
        <w:t>any limitation on awards contained in the New Plan (subject to compliance with the applicable requirements of Section 424 of the Code and Section 409A of the Code (together with the Department of</w:t>
      </w:r>
    </w:p>
    <w:p>
      <w:pPr>
        <w:ind w:left="920"/>
        <w:spacing w:after="0" w:line="236" w:lineRule="auto"/>
        <w:rPr>
          <w:sz w:val="20"/>
          <w:szCs w:val="20"/>
          <w:color w:val="auto"/>
        </w:rPr>
      </w:pPr>
      <w:r>
        <w:rPr>
          <w:rFonts w:ascii="Arial" w:cs="Arial" w:eastAsia="Arial" w:hAnsi="Arial"/>
          <w:sz w:val="18"/>
          <w:szCs w:val="18"/>
          <w:color w:val="auto"/>
        </w:rPr>
        <w:t>Treasury regulations and other interpretive guidance issued thereunder, “</w:t>
      </w:r>
      <w:r>
        <w:rPr>
          <w:rFonts w:ascii="Arial" w:cs="Arial" w:eastAsia="Arial" w:hAnsi="Arial"/>
          <w:sz w:val="18"/>
          <w:szCs w:val="18"/>
          <w:b w:val="1"/>
          <w:bCs w:val="1"/>
          <w:color w:val="auto"/>
        </w:rPr>
        <w:t>Section 409A</w:t>
      </w:r>
      <w:r>
        <w:rPr>
          <w:rFonts w:ascii="Arial" w:cs="Arial" w:eastAsia="Arial" w:hAnsi="Arial"/>
          <w:sz w:val="18"/>
          <w:szCs w:val="18"/>
          <w:color w:val="auto"/>
        </w:rPr>
        <w:t>”)). No such</w:t>
      </w:r>
    </w:p>
    <w:p>
      <w:pPr>
        <w:spacing w:after="0" w:line="1" w:lineRule="exact"/>
        <w:rPr>
          <w:sz w:val="20"/>
          <w:szCs w:val="20"/>
          <w:color w:val="auto"/>
        </w:rPr>
      </w:pPr>
    </w:p>
    <w:p>
      <w:pPr>
        <w:ind w:left="920" w:right="779"/>
        <w:spacing w:after="0" w:line="237" w:lineRule="auto"/>
        <w:rPr>
          <w:sz w:val="20"/>
          <w:szCs w:val="20"/>
          <w:color w:val="auto"/>
        </w:rPr>
      </w:pPr>
      <w:r>
        <w:rPr>
          <w:rFonts w:ascii="Arial" w:cs="Arial" w:eastAsia="Arial" w:hAnsi="Arial"/>
          <w:sz w:val="18"/>
          <w:szCs w:val="18"/>
          <w:color w:val="auto"/>
        </w:rPr>
        <w:t>substitute awards will count against the overall share limits described above, except as required by Section 422 and related provisions of the Code.</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Administration of the New Plan</w:t>
      </w:r>
    </w:p>
    <w:p>
      <w:pPr>
        <w:spacing w:after="0" w:line="135" w:lineRule="exact"/>
        <w:rPr>
          <w:sz w:val="20"/>
          <w:szCs w:val="20"/>
          <w:color w:val="auto"/>
        </w:rPr>
      </w:pPr>
    </w:p>
    <w:p>
      <w:pPr>
        <w:ind w:left="920" w:right="419"/>
        <w:spacing w:after="0" w:line="245" w:lineRule="auto"/>
        <w:rPr>
          <w:sz w:val="20"/>
          <w:szCs w:val="20"/>
          <w:color w:val="auto"/>
        </w:rPr>
      </w:pPr>
      <w:r>
        <w:rPr>
          <w:rFonts w:ascii="Arial" w:cs="Arial" w:eastAsia="Arial" w:hAnsi="Arial"/>
          <w:sz w:val="18"/>
          <w:szCs w:val="18"/>
          <w:color w:val="auto"/>
        </w:rPr>
        <w:t>The New Plan is administered by our Board, which has the authority to adopt, amend and repeal the administrative rules, guidelines and practices relating to the New Plan and to construe and interpret the</w:t>
      </w:r>
    </w:p>
    <w:p>
      <w:pPr>
        <w:ind w:left="920" w:right="739"/>
        <w:spacing w:after="0" w:line="226" w:lineRule="auto"/>
        <w:rPr>
          <w:sz w:val="20"/>
          <w:szCs w:val="20"/>
          <w:color w:val="auto"/>
        </w:rPr>
      </w:pPr>
      <w:r>
        <w:rPr>
          <w:rFonts w:ascii="Arial" w:cs="Arial" w:eastAsia="Arial" w:hAnsi="Arial"/>
          <w:sz w:val="18"/>
          <w:szCs w:val="18"/>
          <w:color w:val="auto"/>
        </w:rPr>
        <w:t>provisions of the New Plan. Pursuant to the terms of the New Plan and to the extent permitted by applicable law, our Board may delegate authority under the New Plan to one or more committees or</w:t>
      </w:r>
    </w:p>
    <w:p>
      <w:pPr>
        <w:ind w:left="920"/>
        <w:spacing w:after="0" w:line="236" w:lineRule="auto"/>
        <w:rPr>
          <w:sz w:val="20"/>
          <w:szCs w:val="20"/>
          <w:color w:val="auto"/>
        </w:rPr>
      </w:pPr>
      <w:r>
        <w:rPr>
          <w:rFonts w:ascii="Arial" w:cs="Arial" w:eastAsia="Arial" w:hAnsi="Arial"/>
          <w:sz w:val="18"/>
          <w:szCs w:val="18"/>
          <w:color w:val="auto"/>
        </w:rPr>
        <w:t>subcommittees of our Board with respect to awards other than awards granted to our non-employee</w:t>
      </w:r>
    </w:p>
    <w:p>
      <w:pPr>
        <w:spacing w:after="0" w:line="1" w:lineRule="exact"/>
        <w:rPr>
          <w:sz w:val="20"/>
          <w:szCs w:val="20"/>
          <w:color w:val="auto"/>
        </w:rPr>
      </w:pPr>
    </w:p>
    <w:p>
      <w:pPr>
        <w:ind w:left="920" w:right="219"/>
        <w:spacing w:after="0" w:line="226" w:lineRule="auto"/>
        <w:rPr>
          <w:sz w:val="20"/>
          <w:szCs w:val="20"/>
          <w:color w:val="auto"/>
        </w:rPr>
      </w:pPr>
      <w:r>
        <w:rPr>
          <w:rFonts w:ascii="Arial" w:cs="Arial" w:eastAsia="Arial" w:hAnsi="Arial"/>
          <w:sz w:val="18"/>
          <w:szCs w:val="18"/>
          <w:color w:val="auto"/>
        </w:rPr>
        <w:t>directors. Our Board may also delegate authority to one or more of our officers to grant awards to certain of our non-executive officer employees (subject to pre-established share count and time period limits) and</w:t>
      </w:r>
    </w:p>
    <w:p>
      <w:pPr>
        <w:ind w:left="920"/>
        <w:spacing w:after="0" w:line="236" w:lineRule="auto"/>
        <w:rPr>
          <w:sz w:val="20"/>
          <w:szCs w:val="20"/>
          <w:color w:val="auto"/>
        </w:rPr>
      </w:pPr>
      <w:r>
        <w:rPr>
          <w:rFonts w:ascii="Arial" w:cs="Arial" w:eastAsia="Arial" w:hAnsi="Arial"/>
          <w:sz w:val="18"/>
          <w:szCs w:val="18"/>
          <w:color w:val="auto"/>
        </w:rPr>
        <w:t>to exercise such other powers under the New Plan as our Board may determine, in each case, as</w:t>
      </w:r>
    </w:p>
    <w:p>
      <w:pPr>
        <w:spacing w:after="0" w:line="1" w:lineRule="exact"/>
        <w:rPr>
          <w:sz w:val="20"/>
          <w:szCs w:val="20"/>
          <w:color w:val="auto"/>
        </w:rPr>
      </w:pPr>
    </w:p>
    <w:p>
      <w:pPr>
        <w:ind w:left="920" w:right="519"/>
        <w:spacing w:after="0" w:line="237" w:lineRule="auto"/>
        <w:rPr>
          <w:sz w:val="20"/>
          <w:szCs w:val="20"/>
          <w:color w:val="auto"/>
        </w:rPr>
      </w:pPr>
      <w:r>
        <w:rPr>
          <w:rFonts w:ascii="Arial" w:cs="Arial" w:eastAsia="Arial" w:hAnsi="Arial"/>
          <w:sz w:val="18"/>
          <w:szCs w:val="18"/>
          <w:color w:val="auto"/>
        </w:rPr>
        <w:t>permitted by applicable law. Our Board has authorized the Compensation Committee to administer the New Plan on our Board’s behalf.</w:t>
      </w:r>
    </w:p>
    <w:p>
      <w:pPr>
        <w:spacing w:after="0" w:line="113" w:lineRule="exact"/>
        <w:rPr>
          <w:sz w:val="20"/>
          <w:szCs w:val="20"/>
          <w:color w:val="auto"/>
        </w:rPr>
      </w:pPr>
    </w:p>
    <w:p>
      <w:pPr>
        <w:ind w:left="920" w:right="219"/>
        <w:spacing w:after="0" w:line="237" w:lineRule="auto"/>
        <w:rPr>
          <w:sz w:val="20"/>
          <w:szCs w:val="20"/>
          <w:color w:val="auto"/>
        </w:rPr>
      </w:pPr>
      <w:r>
        <w:rPr>
          <w:rFonts w:ascii="Arial" w:cs="Arial" w:eastAsia="Arial" w:hAnsi="Arial"/>
          <w:sz w:val="18"/>
          <w:szCs w:val="18"/>
          <w:color w:val="auto"/>
        </w:rPr>
        <w:t>Subject to any applicable limitations contained in the New Plan, our Board, the Compensation Committee, or any other committee or individual to whom our Board delegates authority, as the case may be, selects</w:t>
      </w:r>
    </w:p>
    <w:p>
      <w:pPr>
        <w:spacing w:after="0" w:line="1" w:lineRule="exact"/>
        <w:rPr>
          <w:sz w:val="20"/>
          <w:szCs w:val="20"/>
          <w:color w:val="auto"/>
        </w:rPr>
      </w:pPr>
    </w:p>
    <w:p>
      <w:pPr>
        <w:ind w:left="920" w:right="399"/>
        <w:spacing w:after="0" w:line="250" w:lineRule="auto"/>
        <w:rPr>
          <w:sz w:val="20"/>
          <w:szCs w:val="20"/>
          <w:color w:val="auto"/>
        </w:rPr>
      </w:pPr>
      <w:r>
        <w:rPr>
          <w:rFonts w:ascii="Arial" w:cs="Arial" w:eastAsia="Arial" w:hAnsi="Arial"/>
          <w:sz w:val="18"/>
          <w:szCs w:val="18"/>
          <w:color w:val="auto"/>
        </w:rPr>
        <w:t>the recipients of awards and determines the terms of the awards. However, only our Board can approve grants to our non-employee directors.</w:t>
      </w:r>
    </w:p>
    <w:p>
      <w:pPr>
        <w:spacing w:after="0" w:line="9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Board may make equitable adjustments in connection with the New Plan and any outstanding awards</w:t>
      </w:r>
    </w:p>
    <w:p>
      <w:pPr>
        <w:spacing w:after="0" w:line="14" w:lineRule="exact"/>
        <w:rPr>
          <w:sz w:val="20"/>
          <w:szCs w:val="20"/>
          <w:color w:val="auto"/>
        </w:rPr>
      </w:pPr>
    </w:p>
    <w:p>
      <w:pPr>
        <w:ind w:left="920" w:right="159"/>
        <w:spacing w:after="0" w:line="226" w:lineRule="auto"/>
        <w:rPr>
          <w:sz w:val="20"/>
          <w:szCs w:val="20"/>
          <w:color w:val="auto"/>
        </w:rPr>
      </w:pPr>
      <w:r>
        <w:rPr>
          <w:rFonts w:ascii="Arial" w:cs="Arial" w:eastAsia="Arial" w:hAnsi="Arial"/>
          <w:sz w:val="18"/>
          <w:szCs w:val="18"/>
          <w:color w:val="auto"/>
        </w:rPr>
        <w:t>to reflect stock splits, stock dividends, recapitalizations, combination or exchange of shares, consolidation, reclassification of shares, spin-offs and other similar changes in capitalization or event, or any other</w:t>
      </w:r>
    </w:p>
    <w:p>
      <w:pPr>
        <w:ind w:left="920"/>
        <w:spacing w:after="0" w:line="236" w:lineRule="auto"/>
        <w:rPr>
          <w:sz w:val="20"/>
          <w:szCs w:val="20"/>
          <w:color w:val="auto"/>
        </w:rPr>
      </w:pPr>
      <w:r>
        <w:rPr>
          <w:rFonts w:ascii="Arial" w:cs="Arial" w:eastAsia="Arial" w:hAnsi="Arial"/>
          <w:sz w:val="18"/>
          <w:szCs w:val="18"/>
          <w:color w:val="auto"/>
        </w:rPr>
        <w:t>dividend or distribution other than an ordinary cash dividend, or any other change affecting the shares of</w:t>
      </w:r>
    </w:p>
    <w:p>
      <w:pPr>
        <w:spacing w:after="0" w:line="1" w:lineRule="exact"/>
        <w:rPr>
          <w:sz w:val="20"/>
          <w:szCs w:val="20"/>
          <w:color w:val="auto"/>
        </w:rPr>
      </w:pPr>
    </w:p>
    <w:p>
      <w:pPr>
        <w:ind w:left="920" w:right="219"/>
        <w:spacing w:after="0" w:line="226" w:lineRule="auto"/>
        <w:rPr>
          <w:sz w:val="20"/>
          <w:szCs w:val="20"/>
          <w:color w:val="auto"/>
        </w:rPr>
      </w:pPr>
      <w:r>
        <w:rPr>
          <w:rFonts w:ascii="Arial" w:cs="Arial" w:eastAsia="Arial" w:hAnsi="Arial"/>
          <w:sz w:val="18"/>
          <w:szCs w:val="18"/>
          <w:color w:val="auto"/>
        </w:rPr>
        <w:t>common stock or the share price of the common stock. In the event of an Equity Restructuring, as defined below, the Company will equitably adjust in the manner determined by our Board the number and class of</w:t>
      </w:r>
    </w:p>
    <w:p>
      <w:pPr>
        <w:ind w:left="920"/>
        <w:spacing w:after="0" w:line="236" w:lineRule="auto"/>
        <w:rPr>
          <w:sz w:val="20"/>
          <w:szCs w:val="20"/>
          <w:color w:val="auto"/>
        </w:rPr>
      </w:pPr>
      <w:r>
        <w:rPr>
          <w:rFonts w:ascii="Arial" w:cs="Arial" w:eastAsia="Arial" w:hAnsi="Arial"/>
          <w:sz w:val="18"/>
          <w:szCs w:val="18"/>
          <w:color w:val="auto"/>
        </w:rPr>
        <w:t>security subject to each outstanding award and the exercise or purchase price thereof, if applicable (and</w:t>
      </w:r>
    </w:p>
    <w:p>
      <w:pPr>
        <w:spacing w:after="0" w:line="1" w:lineRule="exact"/>
        <w:rPr>
          <w:sz w:val="20"/>
          <w:szCs w:val="20"/>
          <w:color w:val="auto"/>
        </w:rPr>
      </w:pPr>
    </w:p>
    <w:p>
      <w:pPr>
        <w:ind w:left="920" w:right="159"/>
        <w:spacing w:after="0" w:line="226" w:lineRule="auto"/>
        <w:rPr>
          <w:sz w:val="20"/>
          <w:szCs w:val="20"/>
          <w:color w:val="auto"/>
        </w:rPr>
      </w:pPr>
      <w:r>
        <w:rPr>
          <w:rFonts w:ascii="Arial" w:cs="Arial" w:eastAsia="Arial" w:hAnsi="Arial"/>
          <w:sz w:val="18"/>
          <w:szCs w:val="18"/>
          <w:color w:val="auto"/>
        </w:rPr>
        <w:t>such adjustments shall be nondiscretionary and final and binding), and/or the aggregate number and class of security that may be issued under the New Plan (including, without limitation, any share counting</w:t>
      </w:r>
    </w:p>
    <w:p>
      <w:pPr>
        <w:spacing w:after="0" w:line="2" w:lineRule="exact"/>
        <w:rPr>
          <w:sz w:val="20"/>
          <w:szCs w:val="20"/>
          <w:color w:val="auto"/>
        </w:rPr>
      </w:pPr>
    </w:p>
    <w:p>
      <w:pPr>
        <w:ind w:left="920" w:right="179"/>
        <w:spacing w:after="0" w:line="226" w:lineRule="auto"/>
        <w:rPr>
          <w:sz w:val="20"/>
          <w:szCs w:val="20"/>
          <w:color w:val="auto"/>
        </w:rPr>
      </w:pPr>
      <w:r>
        <w:rPr>
          <w:rFonts w:ascii="Arial" w:cs="Arial" w:eastAsia="Arial" w:hAnsi="Arial"/>
          <w:sz w:val="18"/>
          <w:szCs w:val="18"/>
          <w:color w:val="auto"/>
        </w:rPr>
        <w:t>provisions related thereto) . “</w:t>
      </w:r>
      <w:r>
        <w:rPr>
          <w:rFonts w:ascii="Arial" w:cs="Arial" w:eastAsia="Arial" w:hAnsi="Arial"/>
          <w:sz w:val="18"/>
          <w:szCs w:val="18"/>
          <w:b w:val="1"/>
          <w:bCs w:val="1"/>
          <w:color w:val="auto"/>
        </w:rPr>
        <w:t>Equity Restructuring</w:t>
      </w:r>
      <w:r>
        <w:rPr>
          <w:rFonts w:ascii="Arial" w:cs="Arial" w:eastAsia="Arial" w:hAnsi="Arial"/>
          <w:sz w:val="18"/>
          <w:szCs w:val="18"/>
          <w:color w:val="auto"/>
        </w:rPr>
        <w:t>” means a nonreciprocal transaction between us and our stockholders, such as a stock dividend, stock split, spin-off, rights offering or recapitalization through a</w:t>
      </w:r>
    </w:p>
    <w:p>
      <w:pPr>
        <w:ind w:left="920"/>
        <w:spacing w:after="0" w:line="236" w:lineRule="auto"/>
        <w:rPr>
          <w:sz w:val="20"/>
          <w:szCs w:val="20"/>
          <w:color w:val="auto"/>
        </w:rPr>
      </w:pPr>
      <w:r>
        <w:rPr>
          <w:rFonts w:ascii="Arial" w:cs="Arial" w:eastAsia="Arial" w:hAnsi="Arial"/>
          <w:sz w:val="18"/>
          <w:szCs w:val="18"/>
          <w:color w:val="auto"/>
        </w:rPr>
        <w:t>large, nonrecurring cash dividend, that affects the number or kind of shares of common stock (or other of</w:t>
      </w:r>
    </w:p>
    <w:p>
      <w:pPr>
        <w:spacing w:after="0" w:line="1" w:lineRule="exact"/>
        <w:rPr>
          <w:sz w:val="20"/>
          <w:szCs w:val="20"/>
          <w:color w:val="auto"/>
        </w:rPr>
      </w:pPr>
    </w:p>
    <w:p>
      <w:pPr>
        <w:ind w:left="920" w:right="419"/>
        <w:spacing w:after="0" w:line="237" w:lineRule="auto"/>
        <w:rPr>
          <w:sz w:val="20"/>
          <w:szCs w:val="20"/>
          <w:color w:val="auto"/>
        </w:rPr>
      </w:pPr>
      <w:r>
        <w:rPr>
          <w:rFonts w:ascii="Arial" w:cs="Arial" w:eastAsia="Arial" w:hAnsi="Arial"/>
          <w:sz w:val="18"/>
          <w:szCs w:val="18"/>
          <w:color w:val="auto"/>
        </w:rPr>
        <w:t>our securities) or the share price of common stock (or other securities) and causes a change in the per-share value of the common stock underlying outstanding awards.</w:t>
      </w:r>
    </w:p>
    <w:p>
      <w:pPr>
        <w:spacing w:after="0" w:line="113" w:lineRule="exact"/>
        <w:rPr>
          <w:sz w:val="20"/>
          <w:szCs w:val="20"/>
          <w:color w:val="auto"/>
        </w:rPr>
      </w:pPr>
    </w:p>
    <w:p>
      <w:pPr>
        <w:ind w:left="920" w:right="299"/>
        <w:spacing w:after="0" w:line="237" w:lineRule="auto"/>
        <w:rPr>
          <w:sz w:val="20"/>
          <w:szCs w:val="20"/>
          <w:color w:val="auto"/>
        </w:rPr>
      </w:pPr>
      <w:r>
        <w:rPr>
          <w:rFonts w:ascii="Arial" w:cs="Arial" w:eastAsia="Arial" w:hAnsi="Arial"/>
          <w:sz w:val="18"/>
          <w:szCs w:val="18"/>
          <w:color w:val="auto"/>
        </w:rPr>
        <w:t xml:space="preserve">The New Plan also contains provisions addressing the consequences of a “ </w:t>
      </w:r>
      <w:r>
        <w:rPr>
          <w:rFonts w:ascii="Arial" w:cs="Arial" w:eastAsia="Arial" w:hAnsi="Arial"/>
          <w:sz w:val="18"/>
          <w:szCs w:val="18"/>
          <w:b w:val="1"/>
          <w:bCs w:val="1"/>
          <w:color w:val="auto"/>
        </w:rPr>
        <w:t>Reorganization Event</w:t>
      </w:r>
      <w:r>
        <w:rPr>
          <w:rFonts w:ascii="Arial" w:cs="Arial" w:eastAsia="Arial" w:hAnsi="Arial"/>
          <w:sz w:val="18"/>
          <w:szCs w:val="18"/>
          <w:color w:val="auto"/>
        </w:rPr>
        <w:t>,” which is defined as: (i) any merger or consolidation of the Company with or into another entity as a result</w:t>
      </w:r>
    </w:p>
    <w:p>
      <w:pPr>
        <w:spacing w:after="0" w:line="1" w:lineRule="exact"/>
        <w:rPr>
          <w:sz w:val="20"/>
          <w:szCs w:val="20"/>
          <w:color w:val="auto"/>
        </w:rPr>
      </w:pPr>
    </w:p>
    <w:p>
      <w:pPr>
        <w:ind w:left="920" w:right="199"/>
        <w:spacing w:after="0" w:line="250" w:lineRule="auto"/>
        <w:rPr>
          <w:sz w:val="20"/>
          <w:szCs w:val="20"/>
          <w:color w:val="auto"/>
        </w:rPr>
      </w:pPr>
      <w:r>
        <w:rPr>
          <w:rFonts w:ascii="Arial" w:cs="Arial" w:eastAsia="Arial" w:hAnsi="Arial"/>
          <w:sz w:val="18"/>
          <w:szCs w:val="18"/>
          <w:color w:val="auto"/>
        </w:rPr>
        <w:t>of which all of our common stock is converted into or exchanged for the right to receive cash, securities or other property, or is cancelled; (ii) any exchange of all of our common stock for</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74</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167640</wp:posOffset>
            </wp:positionV>
            <wp:extent cx="683196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cash, securities or other property pursuant to a share exchange transaction; (iii) any liquidation or</w:t>
      </w:r>
    </w:p>
    <w:p>
      <w:pPr>
        <w:spacing w:after="0" w:line="14" w:lineRule="exact"/>
        <w:rPr>
          <w:sz w:val="20"/>
          <w:szCs w:val="20"/>
          <w:color w:val="auto"/>
        </w:rPr>
      </w:pPr>
    </w:p>
    <w:p>
      <w:pPr>
        <w:ind w:left="920" w:right="479"/>
        <w:spacing w:after="0" w:line="226" w:lineRule="auto"/>
        <w:rPr>
          <w:sz w:val="20"/>
          <w:szCs w:val="20"/>
          <w:color w:val="auto"/>
        </w:rPr>
      </w:pPr>
      <w:r>
        <w:rPr>
          <w:rFonts w:ascii="Arial" w:cs="Arial" w:eastAsia="Arial" w:hAnsi="Arial"/>
          <w:sz w:val="18"/>
          <w:szCs w:val="18"/>
          <w:color w:val="auto"/>
        </w:rPr>
        <w:t>dissolution of our Company; or (iv) certain capitalization events described in the New Plan or any other unusual or nonrecurring transaction or event affecting the Company or any of its subsidiaries (or their</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respective financial statements).</w:t>
      </w:r>
    </w:p>
    <w:p>
      <w:pPr>
        <w:spacing w:after="0" w:line="126" w:lineRule="exact"/>
        <w:rPr>
          <w:sz w:val="20"/>
          <w:szCs w:val="20"/>
          <w:color w:val="auto"/>
        </w:rPr>
      </w:pPr>
    </w:p>
    <w:p>
      <w:pPr>
        <w:ind w:left="920" w:right="119"/>
        <w:spacing w:after="0" w:line="287" w:lineRule="auto"/>
        <w:rPr>
          <w:sz w:val="20"/>
          <w:szCs w:val="20"/>
          <w:color w:val="auto"/>
        </w:rPr>
      </w:pPr>
      <w:r>
        <w:rPr>
          <w:rFonts w:ascii="Arial" w:cs="Arial" w:eastAsia="Arial" w:hAnsi="Arial"/>
          <w:sz w:val="18"/>
          <w:szCs w:val="18"/>
          <w:color w:val="auto"/>
        </w:rPr>
        <w:t>In connection with a Reorganization Event, our Board may take any one or more of the following actions as to all or any (or any portion of) outstanding awards, on such terms as our Board determines:</w:t>
      </w:r>
    </w:p>
    <w:p>
      <w:pPr>
        <w:spacing w:after="0" w:line="72" w:lineRule="exact"/>
        <w:rPr>
          <w:sz w:val="20"/>
          <w:szCs w:val="20"/>
          <w:color w:val="auto"/>
        </w:rPr>
      </w:pPr>
    </w:p>
    <w:p>
      <w:pPr>
        <w:ind w:left="1280" w:right="519" w:hanging="356"/>
        <w:spacing w:after="0" w:line="271" w:lineRule="auto"/>
        <w:tabs>
          <w:tab w:leader="none" w:pos="1280" w:val="left"/>
        </w:tabs>
        <w:numPr>
          <w:ilvl w:val="0"/>
          <w:numId w:val="140"/>
        </w:numPr>
        <w:rPr>
          <w:rFonts w:ascii="Arial" w:cs="Arial" w:eastAsia="Arial" w:hAnsi="Arial"/>
          <w:sz w:val="18"/>
          <w:szCs w:val="18"/>
          <w:color w:val="62259D"/>
        </w:rPr>
      </w:pPr>
      <w:r>
        <w:rPr>
          <w:rFonts w:ascii="Arial" w:cs="Arial" w:eastAsia="Arial" w:hAnsi="Arial"/>
          <w:sz w:val="18"/>
          <w:szCs w:val="18"/>
          <w:color w:val="auto"/>
        </w:rPr>
        <w:t>provide that awards will be assumed, or substantially equivalent awards will be substituted, by the acquiring or succeeding corporation (or an affiliate thereof);</w:t>
      </w:r>
    </w:p>
    <w:p>
      <w:pPr>
        <w:spacing w:after="0" w:line="18" w:lineRule="exact"/>
        <w:rPr>
          <w:rFonts w:ascii="Arial" w:cs="Arial" w:eastAsia="Arial" w:hAnsi="Arial"/>
          <w:sz w:val="18"/>
          <w:szCs w:val="18"/>
          <w:color w:val="62259D"/>
        </w:rPr>
      </w:pPr>
    </w:p>
    <w:p>
      <w:pPr>
        <w:ind w:left="1280" w:right="299" w:hanging="356"/>
        <w:spacing w:after="0" w:line="253" w:lineRule="auto"/>
        <w:tabs>
          <w:tab w:leader="none" w:pos="1280" w:val="left"/>
        </w:tabs>
        <w:numPr>
          <w:ilvl w:val="0"/>
          <w:numId w:val="140"/>
        </w:numPr>
        <w:rPr>
          <w:rFonts w:ascii="Arial" w:cs="Arial" w:eastAsia="Arial" w:hAnsi="Arial"/>
          <w:sz w:val="18"/>
          <w:szCs w:val="18"/>
          <w:color w:val="62259D"/>
        </w:rPr>
      </w:pPr>
      <w:r>
        <w:rPr>
          <w:rFonts w:ascii="Arial" w:cs="Arial" w:eastAsia="Arial" w:hAnsi="Arial"/>
          <w:sz w:val="18"/>
          <w:szCs w:val="18"/>
          <w:color w:val="auto"/>
        </w:rPr>
        <w:t>upon written notice, provide that all unexercised awards will terminate immediately prior to the consummation of such Reorganization Event unless exercised within a specified period following the date of such notice;</w:t>
      </w:r>
    </w:p>
    <w:p>
      <w:pPr>
        <w:spacing w:after="0" w:line="33" w:lineRule="exact"/>
        <w:rPr>
          <w:rFonts w:ascii="Arial" w:cs="Arial" w:eastAsia="Arial" w:hAnsi="Arial"/>
          <w:sz w:val="18"/>
          <w:szCs w:val="18"/>
          <w:color w:val="62259D"/>
        </w:rPr>
      </w:pPr>
    </w:p>
    <w:p>
      <w:pPr>
        <w:jc w:val="both"/>
        <w:ind w:left="1280" w:right="599" w:hanging="356"/>
        <w:spacing w:after="0" w:line="271" w:lineRule="auto"/>
        <w:tabs>
          <w:tab w:leader="none" w:pos="1280" w:val="left"/>
        </w:tabs>
        <w:numPr>
          <w:ilvl w:val="0"/>
          <w:numId w:val="140"/>
        </w:numPr>
        <w:rPr>
          <w:rFonts w:ascii="Arial" w:cs="Arial" w:eastAsia="Arial" w:hAnsi="Arial"/>
          <w:sz w:val="18"/>
          <w:szCs w:val="18"/>
          <w:color w:val="62259D"/>
        </w:rPr>
      </w:pPr>
      <w:r>
        <w:rPr>
          <w:rFonts w:ascii="Arial" w:cs="Arial" w:eastAsia="Arial" w:hAnsi="Arial"/>
          <w:sz w:val="18"/>
          <w:szCs w:val="18"/>
          <w:color w:val="auto"/>
        </w:rPr>
        <w:t>provide that outstanding awards will become exercisable, realizable or deliverable, or restrictions applicable to an award will lapse, in whole or in part, prior to or upon such Reorganization Event;</w:t>
      </w:r>
    </w:p>
    <w:p>
      <w:pPr>
        <w:spacing w:after="0" w:line="18" w:lineRule="exact"/>
        <w:rPr>
          <w:rFonts w:ascii="Arial" w:cs="Arial" w:eastAsia="Arial" w:hAnsi="Arial"/>
          <w:sz w:val="18"/>
          <w:szCs w:val="18"/>
          <w:color w:val="62259D"/>
        </w:rPr>
      </w:pPr>
    </w:p>
    <w:p>
      <w:pPr>
        <w:ind w:left="1280" w:right="219" w:hanging="356"/>
        <w:spacing w:after="0" w:line="243" w:lineRule="auto"/>
        <w:tabs>
          <w:tab w:leader="none" w:pos="1280" w:val="left"/>
        </w:tabs>
        <w:numPr>
          <w:ilvl w:val="0"/>
          <w:numId w:val="140"/>
        </w:numPr>
        <w:rPr>
          <w:rFonts w:ascii="Arial" w:cs="Arial" w:eastAsia="Arial" w:hAnsi="Arial"/>
          <w:sz w:val="18"/>
          <w:szCs w:val="18"/>
          <w:color w:val="62259D"/>
        </w:rPr>
      </w:pPr>
      <w:r>
        <w:rPr>
          <w:rFonts w:ascii="Arial" w:cs="Arial" w:eastAsia="Arial" w:hAnsi="Arial"/>
          <w:sz w:val="18"/>
          <w:szCs w:val="18"/>
          <w:color w:val="auto"/>
        </w:rPr>
        <w:t>in the event of a Reorganization Event under the terms of which holders of our common stock will receive upon consummation thereof a payment of cash and/or property for each share surrendered in the Reorganization Event (the value of such payment, the “</w:t>
      </w:r>
      <w:r>
        <w:rPr>
          <w:rFonts w:ascii="Arial" w:cs="Arial" w:eastAsia="Arial" w:hAnsi="Arial"/>
          <w:sz w:val="18"/>
          <w:szCs w:val="18"/>
          <w:b w:val="1"/>
          <w:bCs w:val="1"/>
          <w:color w:val="auto"/>
        </w:rPr>
        <w:t>Acquisition Price</w:t>
      </w:r>
      <w:r>
        <w:rPr>
          <w:rFonts w:ascii="Arial" w:cs="Arial" w:eastAsia="Arial" w:hAnsi="Arial"/>
          <w:sz w:val="18"/>
          <w:szCs w:val="18"/>
          <w:color w:val="auto"/>
        </w:rPr>
        <w:t>”), make or provide for a payment of cash and/or property to an award holder with a value equal to the excess, if any, of</w:t>
      </w:r>
    </w:p>
    <w:p>
      <w:pPr>
        <w:spacing w:after="0" w:line="3" w:lineRule="exact"/>
        <w:rPr>
          <w:rFonts w:ascii="Arial" w:cs="Arial" w:eastAsia="Arial" w:hAnsi="Arial"/>
          <w:sz w:val="18"/>
          <w:szCs w:val="18"/>
          <w:color w:val="62259D"/>
        </w:rPr>
      </w:pPr>
    </w:p>
    <w:p>
      <w:pPr>
        <w:ind w:left="1280"/>
        <w:spacing w:after="0"/>
        <w:rPr>
          <w:rFonts w:ascii="Arial" w:cs="Arial" w:eastAsia="Arial" w:hAnsi="Arial"/>
          <w:sz w:val="18"/>
          <w:szCs w:val="18"/>
          <w:color w:val="62259D"/>
        </w:rPr>
      </w:pPr>
      <w:r>
        <w:rPr>
          <w:rFonts w:ascii="Arial" w:cs="Arial" w:eastAsia="Arial" w:hAnsi="Arial"/>
          <w:sz w:val="18"/>
          <w:szCs w:val="18"/>
          <w:color w:val="auto"/>
        </w:rPr>
        <w:t>(A) the Acquisition Price times the number of shares of common stock subject to the holder’s awards</w:t>
      </w:r>
    </w:p>
    <w:p>
      <w:pPr>
        <w:spacing w:after="0" w:line="9" w:lineRule="exact"/>
        <w:rPr>
          <w:sz w:val="20"/>
          <w:szCs w:val="20"/>
          <w:color w:val="auto"/>
        </w:rPr>
      </w:pPr>
    </w:p>
    <w:p>
      <w:pPr>
        <w:ind w:left="1280" w:right="259"/>
        <w:spacing w:after="0" w:line="242" w:lineRule="auto"/>
        <w:rPr>
          <w:sz w:val="20"/>
          <w:szCs w:val="20"/>
          <w:color w:val="auto"/>
        </w:rPr>
      </w:pPr>
      <w:r>
        <w:rPr>
          <w:rFonts w:ascii="Arial" w:cs="Arial" w:eastAsia="Arial" w:hAnsi="Arial"/>
          <w:sz w:val="18"/>
          <w:szCs w:val="18"/>
          <w:color w:val="auto"/>
        </w:rPr>
        <w:t>(to the extent the exercise price does not equal or exceed the Acquisition Price) over (B) the aggregate exercise price of all such outstanding awards and any applicable tax withholdings, in exchange for the termination of such awards (and, if as of the Reorganization Event, our Board determines in good faith that there is no such excess with respect to an award, then such award may be terminated by us without payment);</w:t>
      </w:r>
    </w:p>
    <w:p>
      <w:pPr>
        <w:spacing w:after="0" w:line="32" w:lineRule="exact"/>
        <w:rPr>
          <w:sz w:val="20"/>
          <w:szCs w:val="20"/>
          <w:color w:val="auto"/>
        </w:rPr>
      </w:pPr>
    </w:p>
    <w:p>
      <w:pPr>
        <w:ind w:left="1280" w:right="359" w:hanging="356"/>
        <w:spacing w:after="0" w:line="252" w:lineRule="auto"/>
        <w:tabs>
          <w:tab w:leader="none" w:pos="1280" w:val="left"/>
        </w:tabs>
        <w:numPr>
          <w:ilvl w:val="0"/>
          <w:numId w:val="141"/>
        </w:numPr>
        <w:rPr>
          <w:rFonts w:ascii="Arial" w:cs="Arial" w:eastAsia="Arial" w:hAnsi="Arial"/>
          <w:sz w:val="18"/>
          <w:szCs w:val="18"/>
          <w:color w:val="62259D"/>
        </w:rPr>
      </w:pPr>
      <w:r>
        <w:rPr>
          <w:rFonts w:ascii="Arial" w:cs="Arial" w:eastAsia="Arial" w:hAnsi="Arial"/>
          <w:sz w:val="18"/>
          <w:szCs w:val="18"/>
          <w:color w:val="auto"/>
        </w:rPr>
        <w:t>provide that awards will be replaced with other rights or property selected by our Board (including in connection with a liquidation or dissolution of our company, conversion into the right to receive liquidation proceeds (if applicable, net of the exercise price thereof and any applicable tax withholdings);</w:t>
      </w:r>
    </w:p>
    <w:p>
      <w:pPr>
        <w:spacing w:after="0" w:line="35" w:lineRule="exact"/>
        <w:rPr>
          <w:rFonts w:ascii="Arial" w:cs="Arial" w:eastAsia="Arial" w:hAnsi="Arial"/>
          <w:sz w:val="18"/>
          <w:szCs w:val="18"/>
          <w:color w:val="62259D"/>
        </w:rPr>
      </w:pPr>
    </w:p>
    <w:p>
      <w:pPr>
        <w:ind w:left="1280" w:hanging="356"/>
        <w:spacing w:after="0"/>
        <w:tabs>
          <w:tab w:leader="none" w:pos="1280" w:val="left"/>
        </w:tabs>
        <w:numPr>
          <w:ilvl w:val="0"/>
          <w:numId w:val="141"/>
        </w:numPr>
        <w:rPr>
          <w:rFonts w:ascii="Arial" w:cs="Arial" w:eastAsia="Arial" w:hAnsi="Arial"/>
          <w:sz w:val="18"/>
          <w:szCs w:val="18"/>
          <w:color w:val="62259D"/>
        </w:rPr>
      </w:pPr>
      <w:r>
        <w:rPr>
          <w:rFonts w:ascii="Arial" w:cs="Arial" w:eastAsia="Arial" w:hAnsi="Arial"/>
          <w:sz w:val="18"/>
          <w:szCs w:val="18"/>
          <w:color w:val="auto"/>
        </w:rPr>
        <w:t>provide that awards cannot vest, be exercised or become payable after the Reorganization Event; and</w:t>
      </w:r>
    </w:p>
    <w:p>
      <w:pPr>
        <w:spacing w:after="0" w:line="76" w:lineRule="exact"/>
        <w:rPr>
          <w:rFonts w:ascii="Arial" w:cs="Arial" w:eastAsia="Arial" w:hAnsi="Arial"/>
          <w:sz w:val="18"/>
          <w:szCs w:val="18"/>
          <w:color w:val="62259D"/>
        </w:rPr>
      </w:pPr>
    </w:p>
    <w:p>
      <w:pPr>
        <w:ind w:left="1280" w:hanging="356"/>
        <w:spacing w:after="0"/>
        <w:tabs>
          <w:tab w:leader="none" w:pos="1280" w:val="left"/>
        </w:tabs>
        <w:numPr>
          <w:ilvl w:val="0"/>
          <w:numId w:val="141"/>
        </w:numPr>
        <w:rPr>
          <w:rFonts w:ascii="Arial" w:cs="Arial" w:eastAsia="Arial" w:hAnsi="Arial"/>
          <w:sz w:val="18"/>
          <w:szCs w:val="18"/>
          <w:color w:val="62259D"/>
        </w:rPr>
      </w:pPr>
      <w:r>
        <w:rPr>
          <w:rFonts w:ascii="Arial" w:cs="Arial" w:eastAsia="Arial" w:hAnsi="Arial"/>
          <w:sz w:val="18"/>
          <w:szCs w:val="18"/>
          <w:color w:val="auto"/>
        </w:rPr>
        <w:t>any combination of the foregoing.</w:t>
      </w:r>
    </w:p>
    <w:p>
      <w:pPr>
        <w:spacing w:after="0" w:line="144" w:lineRule="exact"/>
        <w:rPr>
          <w:sz w:val="20"/>
          <w:szCs w:val="20"/>
          <w:color w:val="auto"/>
        </w:rPr>
      </w:pPr>
    </w:p>
    <w:p>
      <w:pPr>
        <w:ind w:left="920" w:right="259"/>
        <w:spacing w:after="0" w:line="247" w:lineRule="auto"/>
        <w:rPr>
          <w:sz w:val="20"/>
          <w:szCs w:val="20"/>
          <w:color w:val="auto"/>
        </w:rPr>
      </w:pPr>
      <w:r>
        <w:rPr>
          <w:rFonts w:ascii="Arial" w:cs="Arial" w:eastAsia="Arial" w:hAnsi="Arial"/>
          <w:sz w:val="18"/>
          <w:szCs w:val="18"/>
          <w:color w:val="auto"/>
        </w:rPr>
        <w:t>However, no payment or settlement of an award which is subject to Section 409A of the Code may occur prior to the originally-scheduled date unless the Reorganization Event is a “change in control” ​(as defined in Section 409A of the Code) . In taking any of the actions permitted directly above, our Board is not obligated by the New Plan to treat identically all awards, all awards held by a holder of such awards or all awards of the same type.</w:t>
      </w:r>
    </w:p>
    <w:p>
      <w:pPr>
        <w:spacing w:after="0" w:line="109" w:lineRule="exact"/>
        <w:rPr>
          <w:sz w:val="20"/>
          <w:szCs w:val="20"/>
          <w:color w:val="auto"/>
        </w:rPr>
      </w:pPr>
    </w:p>
    <w:p>
      <w:pPr>
        <w:ind w:left="920" w:right="579"/>
        <w:spacing w:after="0" w:line="252" w:lineRule="auto"/>
        <w:rPr>
          <w:sz w:val="20"/>
          <w:szCs w:val="20"/>
          <w:color w:val="auto"/>
        </w:rPr>
      </w:pPr>
      <w:r>
        <w:rPr>
          <w:rFonts w:ascii="Arial" w:cs="Arial" w:eastAsia="Arial" w:hAnsi="Arial"/>
          <w:sz w:val="18"/>
          <w:szCs w:val="18"/>
          <w:color w:val="auto"/>
        </w:rPr>
        <w:t>The New Plan also contains provisions addressing a Change in Control and our Board’s authority to determine whether a Change in Control has occurred pursuant to the below definition, the date of the occurrence of a Change in Control, and any incidental matters related thereto. Under the New Plan, a Change in Control means:</w:t>
      </w:r>
    </w:p>
    <w:p>
      <w:pPr>
        <w:spacing w:after="0" w:line="103" w:lineRule="exact"/>
        <w:rPr>
          <w:sz w:val="20"/>
          <w:szCs w:val="20"/>
          <w:color w:val="auto"/>
        </w:rPr>
      </w:pPr>
    </w:p>
    <w:p>
      <w:pPr>
        <w:ind w:left="1640" w:right="199" w:hanging="356"/>
        <w:spacing w:after="0" w:line="243" w:lineRule="auto"/>
        <w:tabs>
          <w:tab w:leader="none" w:pos="16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transaction or series of transactions (other than an offering of common stock to the general public through a registration statement filed with the SEC) whereby any “person” or related “group” of “persons” (as​ such terms are used in Sections 13(d) and 14(d)(2) of the Exchange Act) directly or indirectly acquires beneficial ownership (within the meaning of Rules 13d-3 and 13d-5 under the Exchange Act) of securities of the Company possessing more than 50% of the total combined voting power of the Company’s securities outstanding immediately after such acquisition; provided, however, that the following acquisitions shall not constitute a Change in Control under the New Plan: (A) any acquisition by the Company; (B) any acquisition by an employee benefit plan maintained by the Company, (C) any acquisition which is not a Change in Control under subsection (iii) below as a result of compliance with subsections (A), (B) and (C) of subsection (iii) below; or (D) in respect of</w:t>
      </w:r>
    </w:p>
    <w:p>
      <w:pPr>
        <w:spacing w:after="0" w:line="388"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an award held by a particular participant, any acquisition by the participant or any group of</w:t>
      </w:r>
    </w:p>
    <w:p>
      <w:pPr>
        <w:spacing w:after="0" w:line="14" w:lineRule="exact"/>
        <w:rPr>
          <w:sz w:val="20"/>
          <w:szCs w:val="20"/>
          <w:color w:val="auto"/>
        </w:rPr>
      </w:pPr>
    </w:p>
    <w:p>
      <w:pPr>
        <w:ind w:left="1640" w:right="759"/>
        <w:spacing w:after="0" w:line="237" w:lineRule="auto"/>
        <w:rPr>
          <w:sz w:val="20"/>
          <w:szCs w:val="20"/>
          <w:color w:val="auto"/>
        </w:rPr>
      </w:pPr>
      <w:r>
        <w:rPr>
          <w:rFonts w:ascii="Arial" w:cs="Arial" w:eastAsia="Arial" w:hAnsi="Arial"/>
          <w:sz w:val="18"/>
          <w:szCs w:val="18"/>
          <w:color w:val="auto"/>
        </w:rPr>
        <w:t>persons including the participant (or any entity controlled by the participant or any group of persons including the participant); or</w:t>
      </w:r>
    </w:p>
    <w:p>
      <w:pPr>
        <w:spacing w:after="0" w:line="113" w:lineRule="exact"/>
        <w:rPr>
          <w:sz w:val="20"/>
          <w:szCs w:val="20"/>
          <w:color w:val="auto"/>
        </w:rPr>
      </w:pPr>
    </w:p>
    <w:p>
      <w:pPr>
        <w:ind w:left="1640" w:hanging="356"/>
        <w:spacing w:after="0"/>
        <w:tabs>
          <w:tab w:leader="none" w:pos="16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Incumbent Directors cease for any reason to constitute a majority of our Board;</w:t>
      </w:r>
    </w:p>
    <w:p>
      <w:pPr>
        <w:spacing w:after="0" w:line="144" w:lineRule="exact"/>
        <w:rPr>
          <w:rFonts w:ascii="Arial" w:cs="Arial" w:eastAsia="Arial" w:hAnsi="Arial"/>
          <w:sz w:val="18"/>
          <w:szCs w:val="18"/>
          <w:color w:val="auto"/>
        </w:rPr>
      </w:pPr>
    </w:p>
    <w:p>
      <w:pPr>
        <w:ind w:left="1640" w:right="139" w:hanging="356"/>
        <w:spacing w:after="0" w:line="247" w:lineRule="auto"/>
        <w:tabs>
          <w:tab w:leader="none" w:pos="16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109" w:lineRule="exact"/>
        <w:rPr>
          <w:rFonts w:ascii="Arial" w:cs="Arial" w:eastAsia="Arial" w:hAnsi="Arial"/>
          <w:sz w:val="18"/>
          <w:szCs w:val="18"/>
          <w:color w:val="auto"/>
        </w:rPr>
      </w:pPr>
    </w:p>
    <w:p>
      <w:pPr>
        <w:ind w:left="2000" w:right="299" w:hanging="356"/>
        <w:spacing w:after="0" w:line="246" w:lineRule="auto"/>
        <w:tabs>
          <w:tab w:leader="none" w:pos="20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“Successor Entity”)) directly or indirectly, at least a majority of the combined voting power of the Successor Entity’s outstanding voting securities,</w:t>
      </w:r>
    </w:p>
    <w:p>
      <w:pPr>
        <w:spacing w:after="0" w:line="107" w:lineRule="exact"/>
        <w:rPr>
          <w:rFonts w:ascii="Arial" w:cs="Arial" w:eastAsia="Arial" w:hAnsi="Arial"/>
          <w:sz w:val="18"/>
          <w:szCs w:val="18"/>
          <w:color w:val="auto"/>
        </w:rPr>
      </w:pPr>
    </w:p>
    <w:p>
      <w:pPr>
        <w:ind w:left="2000" w:right="179" w:hanging="356"/>
        <w:spacing w:after="0" w:line="247" w:lineRule="auto"/>
        <w:tabs>
          <w:tab w:leader="none" w:pos="20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after which no person or group beneficially owns voting securities representing 50% or more of the combined voting power of the Successor Entity; provided, however, that no person or group shall be treated for purposes of this subsection (B) as beneficially owning 50% or more of the combined voting power of the Successor Entity solely as a result of the voting power held in the Company prior to the consummation of the transaction; and</w:t>
      </w:r>
    </w:p>
    <w:p>
      <w:pPr>
        <w:spacing w:after="0" w:line="109" w:lineRule="exact"/>
        <w:rPr>
          <w:rFonts w:ascii="Arial" w:cs="Arial" w:eastAsia="Arial" w:hAnsi="Arial"/>
          <w:sz w:val="18"/>
          <w:szCs w:val="18"/>
          <w:color w:val="auto"/>
        </w:rPr>
      </w:pPr>
    </w:p>
    <w:p>
      <w:pPr>
        <w:jc w:val="both"/>
        <w:ind w:left="2000" w:right="359" w:hanging="356"/>
        <w:spacing w:after="0" w:line="253" w:lineRule="auto"/>
        <w:tabs>
          <w:tab w:leader="none" w:pos="20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immediately after which at least a majority of the members of the board of directors (or the analogous governing body) of the Successor Entity were Board members at the time of our Board’s approval of the execution of the initial agreement providing for such transaction; or</w:t>
      </w:r>
    </w:p>
    <w:p>
      <w:pPr>
        <w:spacing w:after="0" w:line="101" w:lineRule="exact"/>
        <w:rPr>
          <w:rFonts w:ascii="Arial" w:cs="Arial" w:eastAsia="Arial" w:hAnsi="Arial"/>
          <w:sz w:val="18"/>
          <w:szCs w:val="18"/>
          <w:color w:val="auto"/>
        </w:rPr>
      </w:pPr>
    </w:p>
    <w:p>
      <w:pPr>
        <w:ind w:left="1640" w:hanging="356"/>
        <w:spacing w:after="0"/>
        <w:tabs>
          <w:tab w:leader="none" w:pos="16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effective date of a liquidation or dissolution of the Company.</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Incumbent Directors</w:t>
      </w:r>
      <w:r>
        <w:rPr>
          <w:rFonts w:ascii="Arial" w:cs="Arial" w:eastAsia="Arial" w:hAnsi="Arial"/>
          <w:sz w:val="18"/>
          <w:szCs w:val="18"/>
          <w:color w:val="auto"/>
        </w:rPr>
        <w:t>” means for any period of 12 consecutive months, individuals who, at the beginning</w:t>
      </w:r>
    </w:p>
    <w:p>
      <w:pPr>
        <w:spacing w:after="0" w:line="14" w:lineRule="exact"/>
        <w:rPr>
          <w:sz w:val="20"/>
          <w:szCs w:val="20"/>
          <w:color w:val="auto"/>
        </w:rPr>
      </w:pPr>
    </w:p>
    <w:p>
      <w:pPr>
        <w:ind w:left="920" w:right="219"/>
        <w:spacing w:after="0" w:line="226" w:lineRule="auto"/>
        <w:rPr>
          <w:sz w:val="20"/>
          <w:szCs w:val="20"/>
          <w:color w:val="auto"/>
        </w:rPr>
      </w:pPr>
      <w:r>
        <w:rPr>
          <w:rFonts w:ascii="Arial" w:cs="Arial" w:eastAsia="Arial" w:hAnsi="Arial"/>
          <w:sz w:val="18"/>
          <w:szCs w:val="18"/>
          <w:color w:val="auto"/>
        </w:rPr>
        <w:t>of such period, constitute our Board together with any new director(s) (other than a director designated by a person who shall have entered into an agreement with the Company to effect a transaction described in</w:t>
      </w:r>
    </w:p>
    <w:p>
      <w:pPr>
        <w:ind w:left="920"/>
        <w:spacing w:after="0" w:line="236" w:lineRule="auto"/>
        <w:rPr>
          <w:sz w:val="20"/>
          <w:szCs w:val="20"/>
          <w:color w:val="auto"/>
        </w:rPr>
      </w:pPr>
      <w:r>
        <w:rPr>
          <w:rFonts w:ascii="Arial" w:cs="Arial" w:eastAsia="Arial" w:hAnsi="Arial"/>
          <w:sz w:val="18"/>
          <w:szCs w:val="18"/>
          <w:color w:val="auto"/>
        </w:rPr>
        <w:t>subsection (i) or (iii) above) whose election or nomination for election to our Board was approved by a vote</w:t>
      </w:r>
    </w:p>
    <w:p>
      <w:pPr>
        <w:spacing w:after="0" w:line="1" w:lineRule="exact"/>
        <w:rPr>
          <w:sz w:val="20"/>
          <w:szCs w:val="20"/>
          <w:color w:val="auto"/>
        </w:rPr>
      </w:pPr>
    </w:p>
    <w:p>
      <w:pPr>
        <w:ind w:left="920" w:right="479"/>
        <w:spacing w:after="0" w:line="226" w:lineRule="auto"/>
        <w:rPr>
          <w:sz w:val="20"/>
          <w:szCs w:val="20"/>
          <w:color w:val="auto"/>
        </w:rPr>
      </w:pPr>
      <w:r>
        <w:rPr>
          <w:rFonts w:ascii="Arial" w:cs="Arial" w:eastAsia="Arial" w:hAnsi="Arial"/>
          <w:sz w:val="18"/>
          <w:szCs w:val="18"/>
          <w:color w:val="auto"/>
        </w:rPr>
        <w:t>of at least a majority (either by a specific vote or by approval of the proxy statement of the Company in which such person is named as a nominee for director without objection to such nomination) of the</w:t>
      </w:r>
    </w:p>
    <w:p>
      <w:pPr>
        <w:ind w:left="920"/>
        <w:spacing w:after="0" w:line="236" w:lineRule="auto"/>
        <w:rPr>
          <w:sz w:val="20"/>
          <w:szCs w:val="20"/>
          <w:color w:val="auto"/>
        </w:rPr>
      </w:pPr>
      <w:r>
        <w:rPr>
          <w:rFonts w:ascii="Arial" w:cs="Arial" w:eastAsia="Arial" w:hAnsi="Arial"/>
          <w:sz w:val="18"/>
          <w:szCs w:val="18"/>
          <w:color w:val="auto"/>
        </w:rPr>
        <w:t>directors then still in office who either were directors at the beginning of the 12-month period or whose</w:t>
      </w:r>
    </w:p>
    <w:p>
      <w:pPr>
        <w:spacing w:after="0" w:line="1" w:lineRule="exact"/>
        <w:rPr>
          <w:sz w:val="20"/>
          <w:szCs w:val="20"/>
          <w:color w:val="auto"/>
        </w:rPr>
      </w:pPr>
    </w:p>
    <w:p>
      <w:pPr>
        <w:ind w:left="920" w:right="199"/>
        <w:spacing w:after="0" w:line="226" w:lineRule="auto"/>
        <w:rPr>
          <w:sz w:val="20"/>
          <w:szCs w:val="20"/>
          <w:color w:val="auto"/>
        </w:rPr>
      </w:pPr>
      <w:r>
        <w:rPr>
          <w:rFonts w:ascii="Arial" w:cs="Arial" w:eastAsia="Arial" w:hAnsi="Arial"/>
          <w:sz w:val="18"/>
          <w:szCs w:val="18"/>
          <w:color w:val="auto"/>
        </w:rPr>
        <w:t>election or nomination for election was previously so approved. No individual initially elected or nominated as a director of the Company as a result of an actual or threatened election contest with respect to</w:t>
      </w:r>
    </w:p>
    <w:p>
      <w:pPr>
        <w:spacing w:after="0" w:line="2" w:lineRule="exact"/>
        <w:rPr>
          <w:sz w:val="20"/>
          <w:szCs w:val="20"/>
          <w:color w:val="auto"/>
        </w:rPr>
      </w:pPr>
    </w:p>
    <w:p>
      <w:pPr>
        <w:ind w:left="920" w:right="679"/>
        <w:spacing w:after="0" w:line="250" w:lineRule="auto"/>
        <w:rPr>
          <w:sz w:val="20"/>
          <w:szCs w:val="20"/>
          <w:color w:val="auto"/>
        </w:rPr>
      </w:pPr>
      <w:r>
        <w:rPr>
          <w:rFonts w:ascii="Arial" w:cs="Arial" w:eastAsia="Arial" w:hAnsi="Arial"/>
          <w:sz w:val="18"/>
          <w:szCs w:val="18"/>
          <w:color w:val="auto"/>
        </w:rPr>
        <w:t>directors or as a result of any other actual or threatened solicitation of proxies by or on behalf of any person other than our Board shall be an Incumbent Director.</w:t>
      </w:r>
    </w:p>
    <w:p>
      <w:pPr>
        <w:spacing w:after="0" w:line="9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Notwithstanding the foregoing, if a Change in Control constitutes a payment event with respect to any</w:t>
      </w:r>
    </w:p>
    <w:p>
      <w:pPr>
        <w:spacing w:after="0" w:line="14" w:lineRule="exact"/>
        <w:rPr>
          <w:sz w:val="20"/>
          <w:szCs w:val="20"/>
          <w:color w:val="auto"/>
        </w:rPr>
      </w:pPr>
    </w:p>
    <w:p>
      <w:pPr>
        <w:ind w:left="920" w:right="419"/>
        <w:spacing w:after="0" w:line="226" w:lineRule="auto"/>
        <w:rPr>
          <w:sz w:val="20"/>
          <w:szCs w:val="20"/>
          <w:color w:val="auto"/>
        </w:rPr>
      </w:pPr>
      <w:r>
        <w:rPr>
          <w:rFonts w:ascii="Arial" w:cs="Arial" w:eastAsia="Arial" w:hAnsi="Arial"/>
          <w:sz w:val="18"/>
          <w:szCs w:val="18"/>
          <w:color w:val="auto"/>
        </w:rPr>
        <w:t>award (or any portion of an award) that provides for the deferral of compensation that is subject to Section 409A, to the extent required to avoid the imposition of additional taxes under Section 409A, the</w:t>
      </w:r>
    </w:p>
    <w:p>
      <w:pPr>
        <w:ind w:left="920"/>
        <w:spacing w:after="0" w:line="236" w:lineRule="auto"/>
        <w:rPr>
          <w:sz w:val="20"/>
          <w:szCs w:val="20"/>
          <w:color w:val="auto"/>
        </w:rPr>
      </w:pPr>
      <w:r>
        <w:rPr>
          <w:rFonts w:ascii="Arial" w:cs="Arial" w:eastAsia="Arial" w:hAnsi="Arial"/>
          <w:sz w:val="18"/>
          <w:szCs w:val="18"/>
          <w:color w:val="auto"/>
        </w:rPr>
        <w:t>transaction or event described in subsection (i), (ii), (iii) or (iv) above with respect to such award (or portion</w:t>
      </w:r>
    </w:p>
    <w:p>
      <w:pPr>
        <w:spacing w:after="0" w:line="1" w:lineRule="exact"/>
        <w:rPr>
          <w:sz w:val="20"/>
          <w:szCs w:val="20"/>
          <w:color w:val="auto"/>
        </w:rPr>
      </w:pPr>
    </w:p>
    <w:p>
      <w:pPr>
        <w:ind w:left="920" w:right="139"/>
        <w:spacing w:after="0" w:line="226" w:lineRule="auto"/>
        <w:rPr>
          <w:sz w:val="20"/>
          <w:szCs w:val="20"/>
          <w:color w:val="auto"/>
        </w:rPr>
      </w:pPr>
      <w:r>
        <w:rPr>
          <w:rFonts w:ascii="Arial" w:cs="Arial" w:eastAsia="Arial" w:hAnsi="Arial"/>
          <w:sz w:val="18"/>
          <w:szCs w:val="18"/>
          <w:color w:val="auto"/>
        </w:rPr>
        <w:t>thereof) will only constitute a Change in Control for purposes of the payment timing of such award if such transaction also constitutes a “change in control event,” as defined in Treasury Regulation Section 1.409A-</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3(i)(5).</w:t>
      </w:r>
    </w:p>
    <w:p>
      <w:pPr>
        <w:spacing w:after="0" w:line="113" w:lineRule="exact"/>
        <w:rPr>
          <w:sz w:val="20"/>
          <w:szCs w:val="20"/>
          <w:color w:val="auto"/>
        </w:rPr>
      </w:pPr>
    </w:p>
    <w:p>
      <w:pPr>
        <w:jc w:val="both"/>
        <w:ind w:left="920" w:right="319"/>
        <w:spacing w:after="0" w:line="245" w:lineRule="auto"/>
        <w:rPr>
          <w:sz w:val="20"/>
          <w:szCs w:val="20"/>
          <w:color w:val="auto"/>
        </w:rPr>
      </w:pPr>
      <w:r>
        <w:rPr>
          <w:rFonts w:ascii="Arial" w:cs="Arial" w:eastAsia="Arial" w:hAnsi="Arial"/>
          <w:sz w:val="18"/>
          <w:szCs w:val="18"/>
          <w:color w:val="auto"/>
        </w:rPr>
        <w:t>Our Board may at any time provide that any award will become immediately exercisable in full or in part, free of some or all restrictions or conditions, or otherwise realizable in full or in part, as the case may be,</w:t>
      </w:r>
    </w:p>
    <w:p>
      <w:pPr>
        <w:ind w:left="920" w:right="239"/>
        <w:spacing w:after="0" w:line="226" w:lineRule="auto"/>
        <w:rPr>
          <w:sz w:val="20"/>
          <w:szCs w:val="20"/>
          <w:color w:val="auto"/>
        </w:rPr>
      </w:pPr>
      <w:r>
        <w:rPr>
          <w:rFonts w:ascii="Arial" w:cs="Arial" w:eastAsia="Arial" w:hAnsi="Arial"/>
          <w:sz w:val="18"/>
          <w:szCs w:val="18"/>
          <w:color w:val="auto"/>
        </w:rPr>
        <w:t>including, without limitation, (A) upon the death, disability, retirement, termination of employment, or other separation of service of the holder of such award or (B) in connection with a Change in Control or other</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Reorganization Event.</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76</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Except as otherwise provided in the New Plan with respect to repricing outstanding stock options or SARs,</w:t>
      </w:r>
    </w:p>
    <w:p>
      <w:pPr>
        <w:spacing w:after="0" w:line="14" w:lineRule="exact"/>
        <w:rPr>
          <w:sz w:val="20"/>
          <w:szCs w:val="20"/>
          <w:color w:val="auto"/>
        </w:rPr>
      </w:pPr>
    </w:p>
    <w:p>
      <w:pPr>
        <w:ind w:left="920" w:right="139"/>
        <w:spacing w:after="0" w:line="226" w:lineRule="auto"/>
        <w:rPr>
          <w:sz w:val="20"/>
          <w:szCs w:val="20"/>
          <w:color w:val="auto"/>
        </w:rPr>
      </w:pPr>
      <w:r>
        <w:rPr>
          <w:rFonts w:ascii="Arial" w:cs="Arial" w:eastAsia="Arial" w:hAnsi="Arial"/>
          <w:sz w:val="18"/>
          <w:szCs w:val="18"/>
          <w:color w:val="auto"/>
        </w:rPr>
        <w:t>which requires stockholder approval, our Board may amend, modify or terminate any outstanding award, including but not limited to, substituting another award of the same or a different type, changing the date of</w:t>
      </w:r>
    </w:p>
    <w:p>
      <w:pPr>
        <w:ind w:left="920"/>
        <w:spacing w:after="0" w:line="236" w:lineRule="auto"/>
        <w:rPr>
          <w:sz w:val="20"/>
          <w:szCs w:val="20"/>
          <w:color w:val="auto"/>
        </w:rPr>
      </w:pPr>
      <w:r>
        <w:rPr>
          <w:rFonts w:ascii="Arial" w:cs="Arial" w:eastAsia="Arial" w:hAnsi="Arial"/>
          <w:sz w:val="18"/>
          <w:szCs w:val="18"/>
          <w:color w:val="auto"/>
        </w:rPr>
        <w:t>exercise or realization, and converting an incentive stock option to a non-statutory stock option, subject to</w:t>
      </w:r>
    </w:p>
    <w:p>
      <w:pPr>
        <w:spacing w:after="0" w:line="1" w:lineRule="exact"/>
        <w:rPr>
          <w:sz w:val="20"/>
          <w:szCs w:val="20"/>
          <w:color w:val="auto"/>
        </w:rPr>
      </w:pPr>
    </w:p>
    <w:p>
      <w:pPr>
        <w:ind w:left="920" w:right="419"/>
        <w:spacing w:after="0" w:line="226" w:lineRule="auto"/>
        <w:rPr>
          <w:sz w:val="20"/>
          <w:szCs w:val="20"/>
          <w:color w:val="auto"/>
        </w:rPr>
      </w:pPr>
      <w:r>
        <w:rPr>
          <w:rFonts w:ascii="Arial" w:cs="Arial" w:eastAsia="Arial" w:hAnsi="Arial"/>
          <w:sz w:val="18"/>
          <w:szCs w:val="18"/>
          <w:color w:val="auto"/>
        </w:rPr>
        <w:t>the applicable participant’s consent unless our Board determines that the action will not materially and adversely affect the participant or the change is otherwise permitted under the terms of the New Plan in</w:t>
      </w:r>
    </w:p>
    <w:p>
      <w:pPr>
        <w:spacing w:after="0" w:line="2" w:lineRule="exact"/>
        <w:rPr>
          <w:sz w:val="20"/>
          <w:szCs w:val="20"/>
          <w:color w:val="auto"/>
        </w:rPr>
      </w:pPr>
    </w:p>
    <w:p>
      <w:pPr>
        <w:ind w:left="920" w:right="579"/>
        <w:spacing w:after="0" w:line="250" w:lineRule="auto"/>
        <w:rPr>
          <w:sz w:val="20"/>
          <w:szCs w:val="20"/>
          <w:color w:val="auto"/>
        </w:rPr>
      </w:pPr>
      <w:r>
        <w:rPr>
          <w:rFonts w:ascii="Arial" w:cs="Arial" w:eastAsia="Arial" w:hAnsi="Arial"/>
          <w:sz w:val="18"/>
          <w:szCs w:val="18"/>
          <w:color w:val="auto"/>
        </w:rPr>
        <w:t>connection with a change in capitalization or Reorganization Event (as defined above) or a Change in Control.</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Descriptions of Awards</w:t>
      </w:r>
    </w:p>
    <w:p>
      <w:pPr>
        <w:spacing w:after="0" w:line="148" w:lineRule="exact"/>
        <w:rPr>
          <w:sz w:val="20"/>
          <w:szCs w:val="20"/>
          <w:color w:val="auto"/>
        </w:rPr>
      </w:pPr>
    </w:p>
    <w:p>
      <w:pPr>
        <w:ind w:left="920" w:right="159"/>
        <w:spacing w:after="0" w:line="237" w:lineRule="auto"/>
        <w:rPr>
          <w:sz w:val="20"/>
          <w:szCs w:val="20"/>
          <w:color w:val="auto"/>
        </w:rPr>
      </w:pPr>
      <w:r>
        <w:rPr>
          <w:rFonts w:ascii="Arial" w:cs="Arial" w:eastAsia="Arial" w:hAnsi="Arial"/>
          <w:sz w:val="18"/>
          <w:szCs w:val="18"/>
          <w:color w:val="auto"/>
        </w:rPr>
        <w:t>The New Plan provides for the grant of incentive stock options intended to qualify under Section 422 of the Code, non-statutory stock options, stock appreciation rights, restricted stock, restricted stock units</w:t>
      </w:r>
    </w:p>
    <w:p>
      <w:pPr>
        <w:spacing w:after="0" w:line="1" w:lineRule="exact"/>
        <w:rPr>
          <w:sz w:val="20"/>
          <w:szCs w:val="20"/>
          <w:color w:val="auto"/>
        </w:rPr>
      </w:pPr>
    </w:p>
    <w:p>
      <w:pPr>
        <w:ind w:left="920" w:right="599"/>
        <w:spacing w:after="0" w:line="313" w:lineRule="auto"/>
        <w:rPr>
          <w:sz w:val="20"/>
          <w:szCs w:val="20"/>
          <w:color w:val="auto"/>
        </w:rPr>
      </w:pPr>
      <w:r>
        <w:rPr>
          <w:rFonts w:ascii="Arial" w:cs="Arial" w:eastAsia="Arial" w:hAnsi="Arial"/>
          <w:sz w:val="18"/>
          <w:szCs w:val="18"/>
          <w:color w:val="auto"/>
        </w:rPr>
        <w:t xml:space="preserve">(including performance stock units) and other stock or cash-based awards, as described below. </w:t>
      </w:r>
      <w:r>
        <w:rPr>
          <w:rFonts w:ascii="Arial" w:cs="Arial" w:eastAsia="Arial" w:hAnsi="Arial"/>
          <w:sz w:val="18"/>
          <w:szCs w:val="18"/>
          <w:i w:val="1"/>
          <w:iCs w:val="1"/>
          <w:color w:val="auto"/>
        </w:rPr>
        <w:t xml:space="preserve">Incentive Stock Options and Non-statutory Stock Options. </w:t>
      </w:r>
      <w:r>
        <w:rPr>
          <w:rFonts w:ascii="Arial" w:cs="Arial" w:eastAsia="Arial" w:hAnsi="Arial"/>
          <w:sz w:val="18"/>
          <w:szCs w:val="18"/>
          <w:color w:val="auto"/>
        </w:rPr>
        <w:t>Optionees receive the right to purchase a</w:t>
      </w:r>
    </w:p>
    <w:p>
      <w:pPr>
        <w:ind w:left="920" w:right="359"/>
        <w:spacing w:after="0" w:line="226" w:lineRule="auto"/>
        <w:rPr>
          <w:sz w:val="20"/>
          <w:szCs w:val="20"/>
          <w:color w:val="auto"/>
        </w:rPr>
      </w:pPr>
      <w:r>
        <w:rPr>
          <w:rFonts w:ascii="Arial" w:cs="Arial" w:eastAsia="Arial" w:hAnsi="Arial"/>
          <w:sz w:val="18"/>
          <w:szCs w:val="18"/>
          <w:color w:val="auto"/>
        </w:rPr>
        <w:t>specified number of shares of our common stock at a specified exercise price and subject to such other terms and conditions as are specified in connection with the option grant. Options must be granted at an</w:t>
      </w:r>
    </w:p>
    <w:p>
      <w:pPr>
        <w:ind w:left="920"/>
        <w:spacing w:after="0" w:line="236" w:lineRule="auto"/>
        <w:rPr>
          <w:sz w:val="20"/>
          <w:szCs w:val="20"/>
          <w:color w:val="auto"/>
        </w:rPr>
      </w:pPr>
      <w:r>
        <w:rPr>
          <w:rFonts w:ascii="Arial" w:cs="Arial" w:eastAsia="Arial" w:hAnsi="Arial"/>
          <w:sz w:val="18"/>
          <w:szCs w:val="18"/>
          <w:color w:val="auto"/>
        </w:rPr>
        <w:t>exercise price that is not less than the fair market value of our common stock at the close of trading on the</w:t>
      </w:r>
    </w:p>
    <w:p>
      <w:pPr>
        <w:spacing w:after="0" w:line="1" w:lineRule="exact"/>
        <w:rPr>
          <w:sz w:val="20"/>
          <w:szCs w:val="20"/>
          <w:color w:val="auto"/>
        </w:rPr>
      </w:pPr>
    </w:p>
    <w:p>
      <w:pPr>
        <w:ind w:left="920" w:right="119"/>
        <w:spacing w:after="0" w:line="226" w:lineRule="auto"/>
        <w:rPr>
          <w:sz w:val="20"/>
          <w:szCs w:val="20"/>
          <w:color w:val="auto"/>
        </w:rPr>
      </w:pPr>
      <w:r>
        <w:rPr>
          <w:rFonts w:ascii="Arial" w:cs="Arial" w:eastAsia="Arial" w:hAnsi="Arial"/>
          <w:sz w:val="18"/>
          <w:szCs w:val="18"/>
          <w:color w:val="auto"/>
        </w:rPr>
        <w:t>date of grant. Options may not be granted for a term in excess of 10 years; provided that, notwithstanding the foregoing and unless determined otherwise by us, in the event that on the last business day of the term</w:t>
      </w:r>
    </w:p>
    <w:p>
      <w:pPr>
        <w:ind w:left="920"/>
        <w:spacing w:after="0" w:line="236" w:lineRule="auto"/>
        <w:rPr>
          <w:sz w:val="20"/>
          <w:szCs w:val="20"/>
          <w:color w:val="auto"/>
        </w:rPr>
      </w:pPr>
      <w:r>
        <w:rPr>
          <w:rFonts w:ascii="Arial" w:cs="Arial" w:eastAsia="Arial" w:hAnsi="Arial"/>
          <w:sz w:val="18"/>
          <w:szCs w:val="18"/>
          <w:color w:val="auto"/>
        </w:rPr>
        <w:t>of an option (other than an incentive stock option) (i) the exercise of the option is prohibited by applicable</w:t>
      </w:r>
    </w:p>
    <w:p>
      <w:pPr>
        <w:spacing w:after="0" w:line="1" w:lineRule="exact"/>
        <w:rPr>
          <w:sz w:val="20"/>
          <w:szCs w:val="20"/>
          <w:color w:val="auto"/>
        </w:rPr>
      </w:pPr>
    </w:p>
    <w:p>
      <w:pPr>
        <w:ind w:left="920" w:right="159"/>
        <w:spacing w:after="0" w:line="226" w:lineRule="auto"/>
        <w:rPr>
          <w:sz w:val="20"/>
          <w:szCs w:val="20"/>
          <w:color w:val="auto"/>
        </w:rPr>
      </w:pPr>
      <w:r>
        <w:rPr>
          <w:rFonts w:ascii="Arial" w:cs="Arial" w:eastAsia="Arial" w:hAnsi="Arial"/>
          <w:sz w:val="18"/>
          <w:szCs w:val="18"/>
          <w:color w:val="auto"/>
        </w:rPr>
        <w:t>law, as determined by us, or (ii) shares of our common stock may not be purchased or sold by the applicable participant due to any Company insider trading policy (including blackout periods) or a “lock-up”</w:t>
      </w:r>
    </w:p>
    <w:p>
      <w:pPr>
        <w:ind w:left="920"/>
        <w:spacing w:after="0" w:line="236" w:lineRule="auto"/>
        <w:rPr>
          <w:sz w:val="20"/>
          <w:szCs w:val="20"/>
          <w:color w:val="auto"/>
        </w:rPr>
      </w:pPr>
      <w:r>
        <w:rPr>
          <w:rFonts w:ascii="Arial" w:cs="Arial" w:eastAsia="Arial" w:hAnsi="Arial"/>
          <w:sz w:val="18"/>
          <w:szCs w:val="18"/>
          <w:color w:val="auto"/>
        </w:rPr>
        <w:t>agreement undertaken in connection with an issuance of securities by us, the term of the option shall be</w:t>
      </w:r>
    </w:p>
    <w:p>
      <w:pPr>
        <w:spacing w:after="0" w:line="1" w:lineRule="exact"/>
        <w:rPr>
          <w:sz w:val="20"/>
          <w:szCs w:val="20"/>
          <w:color w:val="auto"/>
        </w:rPr>
      </w:pPr>
    </w:p>
    <w:p>
      <w:pPr>
        <w:ind w:left="920" w:right="99"/>
        <w:spacing w:after="0" w:line="226" w:lineRule="auto"/>
        <w:rPr>
          <w:sz w:val="20"/>
          <w:szCs w:val="20"/>
          <w:color w:val="auto"/>
        </w:rPr>
      </w:pPr>
      <w:r>
        <w:rPr>
          <w:rFonts w:ascii="Arial" w:cs="Arial" w:eastAsia="Arial" w:hAnsi="Arial"/>
          <w:sz w:val="18"/>
          <w:szCs w:val="18"/>
          <w:color w:val="auto"/>
        </w:rPr>
        <w:t>extended until the date that is thirty (30) days after the end of the legal prohibition, black-out period or lock-up agreement, as determined by us; provided, the extension will not last beyond the term of the applicable</w:t>
      </w:r>
    </w:p>
    <w:p>
      <w:pPr>
        <w:ind w:left="920"/>
        <w:spacing w:after="0" w:line="236" w:lineRule="auto"/>
        <w:rPr>
          <w:sz w:val="20"/>
          <w:szCs w:val="20"/>
          <w:color w:val="auto"/>
        </w:rPr>
      </w:pPr>
      <w:r>
        <w:rPr>
          <w:rFonts w:ascii="Arial" w:cs="Arial" w:eastAsia="Arial" w:hAnsi="Arial"/>
          <w:sz w:val="18"/>
          <w:szCs w:val="18"/>
          <w:color w:val="auto"/>
        </w:rPr>
        <w:t>option (which will in no event exceed 10 years from the date of grant). The New Plan permits the following</w:t>
      </w:r>
    </w:p>
    <w:p>
      <w:pPr>
        <w:spacing w:after="0" w:line="1" w:lineRule="exact"/>
        <w:rPr>
          <w:sz w:val="20"/>
          <w:szCs w:val="20"/>
          <w:color w:val="auto"/>
        </w:rPr>
      </w:pPr>
    </w:p>
    <w:p>
      <w:pPr>
        <w:ind w:left="920" w:right="139"/>
        <w:spacing w:after="0" w:line="226" w:lineRule="auto"/>
        <w:rPr>
          <w:sz w:val="20"/>
          <w:szCs w:val="20"/>
          <w:color w:val="auto"/>
        </w:rPr>
      </w:pPr>
      <w:r>
        <w:rPr>
          <w:rFonts w:ascii="Arial" w:cs="Arial" w:eastAsia="Arial" w:hAnsi="Arial"/>
          <w:sz w:val="18"/>
          <w:szCs w:val="18"/>
          <w:color w:val="auto"/>
        </w:rPr>
        <w:t>forms of payment for the exercise price of options: payment by cash or check (if determined appropriate by us, electronic payment); via broker-assisted sale; subject to certain conditions and if permitted by our</w:t>
      </w:r>
    </w:p>
    <w:p>
      <w:pPr>
        <w:ind w:left="920"/>
        <w:spacing w:after="0" w:line="236" w:lineRule="auto"/>
        <w:rPr>
          <w:sz w:val="20"/>
          <w:szCs w:val="20"/>
          <w:color w:val="auto"/>
        </w:rPr>
      </w:pPr>
      <w:r>
        <w:rPr>
          <w:rFonts w:ascii="Arial" w:cs="Arial" w:eastAsia="Arial" w:hAnsi="Arial"/>
          <w:sz w:val="18"/>
          <w:szCs w:val="18"/>
          <w:color w:val="auto"/>
        </w:rPr>
        <w:t>Board, withholding of shares of our common stock otherwise issuable under an award or surrender to us of</w:t>
      </w:r>
    </w:p>
    <w:p>
      <w:pPr>
        <w:spacing w:after="0" w:line="1" w:lineRule="exact"/>
        <w:rPr>
          <w:sz w:val="20"/>
          <w:szCs w:val="20"/>
          <w:color w:val="auto"/>
        </w:rPr>
      </w:pPr>
    </w:p>
    <w:p>
      <w:pPr>
        <w:ind w:left="920" w:right="299"/>
        <w:spacing w:after="0" w:line="226" w:lineRule="auto"/>
        <w:rPr>
          <w:sz w:val="20"/>
          <w:szCs w:val="20"/>
          <w:color w:val="auto"/>
        </w:rPr>
      </w:pPr>
      <w:r>
        <w:rPr>
          <w:rFonts w:ascii="Arial" w:cs="Arial" w:eastAsia="Arial" w:hAnsi="Arial"/>
          <w:sz w:val="18"/>
          <w:szCs w:val="18"/>
          <w:color w:val="auto"/>
        </w:rPr>
        <w:t>shares of our common stock or restricted stock held by the optionee; any other lawful means as provided for in the applicable option agreement or approved by the Board; or any combination of these forms of</w:t>
      </w:r>
    </w:p>
    <w:p>
      <w:pPr>
        <w:ind w:left="920"/>
        <w:spacing w:after="0" w:line="236" w:lineRule="auto"/>
        <w:rPr>
          <w:sz w:val="20"/>
          <w:szCs w:val="20"/>
          <w:color w:val="auto"/>
        </w:rPr>
      </w:pPr>
      <w:r>
        <w:rPr>
          <w:rFonts w:ascii="Arial" w:cs="Arial" w:eastAsia="Arial" w:hAnsi="Arial"/>
          <w:sz w:val="18"/>
          <w:szCs w:val="18"/>
          <w:color w:val="auto"/>
        </w:rPr>
        <w:t>payment. Stock options granted under the New Plan may not provide for the payment or accrual of</w:t>
      </w:r>
    </w:p>
    <w:p>
      <w:pPr>
        <w:spacing w:after="0" w:line="1" w:lineRule="exact"/>
        <w:rPr>
          <w:sz w:val="20"/>
          <w:szCs w:val="20"/>
          <w:color w:val="auto"/>
        </w:rPr>
      </w:pPr>
    </w:p>
    <w:p>
      <w:pPr>
        <w:ind w:left="920" w:right="119"/>
        <w:spacing w:after="0" w:line="226" w:lineRule="auto"/>
        <w:rPr>
          <w:sz w:val="20"/>
          <w:szCs w:val="20"/>
          <w:color w:val="auto"/>
        </w:rPr>
      </w:pPr>
      <w:r>
        <w:rPr>
          <w:rFonts w:ascii="Arial" w:cs="Arial" w:eastAsia="Arial" w:hAnsi="Arial"/>
          <w:sz w:val="18"/>
          <w:szCs w:val="18"/>
          <w:color w:val="auto"/>
        </w:rPr>
        <w:t>dividend equivalents or contain any provision entitling the grantee to the automatic grant of additional stock options in connection with the exercise of the original stock option. Any stock options granted as incentive</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stock options must comply with Section 422 of the Code.</w:t>
      </w:r>
    </w:p>
    <w:p>
      <w:pPr>
        <w:spacing w:after="0" w:line="113" w:lineRule="exact"/>
        <w:rPr>
          <w:sz w:val="20"/>
          <w:szCs w:val="20"/>
          <w:color w:val="auto"/>
        </w:rPr>
      </w:pPr>
    </w:p>
    <w:p>
      <w:pPr>
        <w:jc w:val="both"/>
        <w:ind w:left="920" w:right="139"/>
        <w:spacing w:after="0" w:line="245"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A SAR is an award entitling the holder, upon exercise, to receive an amount in</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our common stock or cash or a combination thereof determined by reference to the appreciation,</w:t>
      </w:r>
    </w:p>
    <w:p>
      <w:pPr>
        <w:ind w:left="920" w:right="219"/>
        <w:spacing w:after="0" w:line="226" w:lineRule="auto"/>
        <w:rPr>
          <w:sz w:val="20"/>
          <w:szCs w:val="20"/>
          <w:color w:val="auto"/>
        </w:rPr>
      </w:pPr>
      <w:r>
        <w:rPr>
          <w:rFonts w:ascii="Arial" w:cs="Arial" w:eastAsia="Arial" w:hAnsi="Arial"/>
          <w:sz w:val="18"/>
          <w:szCs w:val="18"/>
          <w:color w:val="auto"/>
        </w:rPr>
        <w:t>from and after the date of grant, in the fair market value of a share of our common stock over the exercise price, which may not be less than the fair market value of the common stock on the date the SAR is</w:t>
      </w:r>
    </w:p>
    <w:p>
      <w:pPr>
        <w:ind w:left="920"/>
        <w:spacing w:after="0" w:line="236" w:lineRule="auto"/>
        <w:rPr>
          <w:sz w:val="20"/>
          <w:szCs w:val="20"/>
          <w:color w:val="auto"/>
        </w:rPr>
      </w:pPr>
      <w:r>
        <w:rPr>
          <w:rFonts w:ascii="Arial" w:cs="Arial" w:eastAsia="Arial" w:hAnsi="Arial"/>
          <w:sz w:val="18"/>
          <w:szCs w:val="18"/>
          <w:color w:val="auto"/>
        </w:rPr>
        <w:t>granted. SARs may be granted independently or in tandem with an option granted under the New Plan.</w:t>
      </w:r>
    </w:p>
    <w:p>
      <w:pPr>
        <w:spacing w:after="0" w:line="1" w:lineRule="exact"/>
        <w:rPr>
          <w:sz w:val="20"/>
          <w:szCs w:val="20"/>
          <w:color w:val="auto"/>
        </w:rPr>
      </w:pPr>
    </w:p>
    <w:p>
      <w:pPr>
        <w:ind w:left="920" w:right="399"/>
        <w:spacing w:after="0" w:line="226" w:lineRule="auto"/>
        <w:rPr>
          <w:sz w:val="20"/>
          <w:szCs w:val="20"/>
          <w:color w:val="auto"/>
        </w:rPr>
      </w:pPr>
      <w:r>
        <w:rPr>
          <w:rFonts w:ascii="Arial" w:cs="Arial" w:eastAsia="Arial" w:hAnsi="Arial"/>
          <w:sz w:val="18"/>
          <w:szCs w:val="18"/>
          <w:color w:val="auto"/>
        </w:rPr>
        <w:t>Each SAR granted under the New Plan will be exercisable subject to terms and conditions as the Board may specify in the applicable SAR agreement; provided that, notwithstanding the foregoing and unless</w:t>
      </w:r>
    </w:p>
    <w:p>
      <w:pPr>
        <w:ind w:left="920"/>
        <w:spacing w:after="0" w:line="236" w:lineRule="auto"/>
        <w:rPr>
          <w:sz w:val="20"/>
          <w:szCs w:val="20"/>
          <w:color w:val="auto"/>
        </w:rPr>
      </w:pPr>
      <w:r>
        <w:rPr>
          <w:rFonts w:ascii="Arial" w:cs="Arial" w:eastAsia="Arial" w:hAnsi="Arial"/>
          <w:sz w:val="18"/>
          <w:szCs w:val="18"/>
          <w:color w:val="auto"/>
        </w:rPr>
        <w:t>determined otherwise by us, in the event that on the last business day of the term of an SAR (i) the</w:t>
      </w:r>
    </w:p>
    <w:p>
      <w:pPr>
        <w:spacing w:after="0" w:line="1" w:lineRule="exact"/>
        <w:rPr>
          <w:sz w:val="20"/>
          <w:szCs w:val="20"/>
          <w:color w:val="auto"/>
        </w:rPr>
      </w:pPr>
    </w:p>
    <w:p>
      <w:pPr>
        <w:ind w:left="920" w:right="539"/>
        <w:spacing w:after="0" w:line="226" w:lineRule="auto"/>
        <w:rPr>
          <w:sz w:val="20"/>
          <w:szCs w:val="20"/>
          <w:color w:val="auto"/>
        </w:rPr>
      </w:pPr>
      <w:r>
        <w:rPr>
          <w:rFonts w:ascii="Arial" w:cs="Arial" w:eastAsia="Arial" w:hAnsi="Arial"/>
          <w:sz w:val="18"/>
          <w:szCs w:val="18"/>
          <w:color w:val="auto"/>
        </w:rPr>
        <w:t>exercise of the SAR is prohibited by applicable law, as determined by us, or (ii) shares of our common stock may not be purchased or sold by the applicable participant due to any Company insider trading</w:t>
      </w:r>
    </w:p>
    <w:p>
      <w:pPr>
        <w:spacing w:after="0" w:line="2" w:lineRule="exact"/>
        <w:rPr>
          <w:sz w:val="20"/>
          <w:szCs w:val="20"/>
          <w:color w:val="auto"/>
        </w:rPr>
      </w:pPr>
    </w:p>
    <w:p>
      <w:pPr>
        <w:ind w:left="920" w:right="219"/>
        <w:spacing w:after="0" w:line="226" w:lineRule="auto"/>
        <w:rPr>
          <w:sz w:val="20"/>
          <w:szCs w:val="20"/>
          <w:color w:val="auto"/>
        </w:rPr>
      </w:pPr>
      <w:r>
        <w:rPr>
          <w:rFonts w:ascii="Arial" w:cs="Arial" w:eastAsia="Arial" w:hAnsi="Arial"/>
          <w:sz w:val="18"/>
          <w:szCs w:val="18"/>
          <w:color w:val="auto"/>
        </w:rPr>
        <w:t>policy (including blackout periods) or a “lock -up” agreement undertaken in connection with an issuance of securities by us, the term of the SAR will be extended until the date that is thirty (30) days after the end of</w:t>
      </w:r>
    </w:p>
    <w:p>
      <w:pPr>
        <w:ind w:left="920"/>
        <w:spacing w:after="0" w:line="236" w:lineRule="auto"/>
        <w:rPr>
          <w:sz w:val="20"/>
          <w:szCs w:val="20"/>
          <w:color w:val="auto"/>
        </w:rPr>
      </w:pPr>
      <w:r>
        <w:rPr>
          <w:rFonts w:ascii="Arial" w:cs="Arial" w:eastAsia="Arial" w:hAnsi="Arial"/>
          <w:sz w:val="18"/>
          <w:szCs w:val="18"/>
          <w:color w:val="auto"/>
        </w:rPr>
        <w:t>the legal prohibition, black-out period or lock-up agreement, as determined by us; provided, that the</w:t>
      </w:r>
    </w:p>
    <w:p>
      <w:pPr>
        <w:spacing w:after="0" w:line="1" w:lineRule="exact"/>
        <w:rPr>
          <w:sz w:val="20"/>
          <w:szCs w:val="20"/>
          <w:color w:val="auto"/>
        </w:rPr>
      </w:pPr>
    </w:p>
    <w:p>
      <w:pPr>
        <w:ind w:left="920" w:right="159"/>
        <w:spacing w:after="0" w:line="226" w:lineRule="auto"/>
        <w:rPr>
          <w:sz w:val="20"/>
          <w:szCs w:val="20"/>
          <w:color w:val="auto"/>
        </w:rPr>
      </w:pPr>
      <w:r>
        <w:rPr>
          <w:rFonts w:ascii="Arial" w:cs="Arial" w:eastAsia="Arial" w:hAnsi="Arial"/>
          <w:sz w:val="18"/>
          <w:szCs w:val="18"/>
          <w:color w:val="auto"/>
        </w:rPr>
        <w:t>extension will not last beyond the term of the applicable SAR (which, in no event will exceed 10 years from the date of grant). SARs granted under the New Plan may not provide for the payment or accrual of</w:t>
      </w:r>
    </w:p>
    <w:p>
      <w:pPr>
        <w:spacing w:after="0" w:line="2" w:lineRule="exact"/>
        <w:rPr>
          <w:sz w:val="20"/>
          <w:szCs w:val="20"/>
          <w:color w:val="auto"/>
        </w:rPr>
      </w:pPr>
    </w:p>
    <w:p>
      <w:pPr>
        <w:ind w:left="920" w:right="599"/>
        <w:spacing w:after="0" w:line="250" w:lineRule="auto"/>
        <w:rPr>
          <w:sz w:val="20"/>
          <w:szCs w:val="20"/>
          <w:color w:val="auto"/>
        </w:rPr>
      </w:pPr>
      <w:r>
        <w:rPr>
          <w:rFonts w:ascii="Arial" w:cs="Arial" w:eastAsia="Arial" w:hAnsi="Arial"/>
          <w:sz w:val="18"/>
          <w:szCs w:val="18"/>
          <w:color w:val="auto"/>
        </w:rPr>
        <w:t>dividend equivalents or contain any provision entitling the grantee to the automatic grant of additional SARs in connection with the exercise of the original SAR.</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right="239"/>
        <w:spacing w:after="0" w:line="244"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Restricted stock awards entitle recipients to acquire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subject to forfeiture if the conditions specified in the applicable award are not satisfied prior to the end of the applicable restriction period established by the Board for such award. Our Board will determine the terms and conditions of the applicable award, including the conditions for vesting and the purchase price, if any. Any dividends, whether paid in cash, stock or property, declared and paid by us with respect to shares of restricted stock will be paid to a participant only if and when the underlying shares become free from the restrictions on transferability and forfeitability that apply to such shares. No interest will be paid on unvested dividends.</w:t>
      </w:r>
    </w:p>
    <w:p>
      <w:pPr>
        <w:spacing w:after="0" w:line="112" w:lineRule="exact"/>
        <w:rPr>
          <w:sz w:val="20"/>
          <w:szCs w:val="20"/>
          <w:color w:val="auto"/>
        </w:rPr>
      </w:pPr>
    </w:p>
    <w:p>
      <w:pPr>
        <w:ind w:left="920" w:right="179"/>
        <w:spacing w:after="0" w:line="246" w:lineRule="auto"/>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RSU awards entitle the recipient to receive shares of our common stock or</w:t>
      </w:r>
      <w:r>
        <w:rPr>
          <w:rFonts w:ascii="Arial" w:cs="Arial" w:eastAsia="Arial" w:hAnsi="Arial"/>
          <w:sz w:val="18"/>
          <w:szCs w:val="18"/>
          <w:i w:val="1"/>
          <w:iCs w:val="1"/>
          <w:color w:val="auto"/>
        </w:rPr>
        <w:t xml:space="preserve"> </w:t>
      </w:r>
      <w:r>
        <w:rPr>
          <w:rFonts w:ascii="Arial" w:cs="Arial" w:eastAsia="Arial" w:hAnsi="Arial"/>
          <w:sz w:val="18"/>
          <w:szCs w:val="18"/>
          <w:color w:val="auto"/>
        </w:rPr>
        <w:t>cash to be delivered at the time such award vests pursuant to the terms and conditions established by our Board. Our Board will determine the terms and conditions of the applicable award, including the conditions for vesting and the purchase price, if any. The award agreement for RSUs may provide the participant with a right to receive dividend equivalents, which will be subject to the same restrictions on transfer and forfeitability as the underlying RSUs. Any dividends, whether paid in cash, stock or property, declared and paid by us with respect to shares of restricted stock will be paid to a participant only if and when the underlying RSUs become vested. No interest will be paid on dividend equivalents.</w:t>
      </w:r>
    </w:p>
    <w:p>
      <w:pPr>
        <w:spacing w:after="0" w:line="112" w:lineRule="exact"/>
        <w:rPr>
          <w:sz w:val="20"/>
          <w:szCs w:val="20"/>
          <w:color w:val="auto"/>
        </w:rPr>
      </w:pPr>
    </w:p>
    <w:p>
      <w:pPr>
        <w:ind w:left="920" w:right="219"/>
        <w:spacing w:after="0" w:line="242" w:lineRule="auto"/>
        <w:rPr>
          <w:sz w:val="20"/>
          <w:szCs w:val="20"/>
          <w:color w:val="auto"/>
        </w:rPr>
      </w:pPr>
      <w:r>
        <w:rPr>
          <w:rFonts w:ascii="Arial" w:cs="Arial" w:eastAsia="Arial" w:hAnsi="Arial"/>
          <w:sz w:val="18"/>
          <w:szCs w:val="18"/>
          <w:i w:val="1"/>
          <w:iCs w:val="1"/>
          <w:color w:val="auto"/>
        </w:rPr>
        <w:t xml:space="preserve">Other Stock or Cash-Based Awards. </w:t>
      </w:r>
      <w:r>
        <w:rPr>
          <w:rFonts w:ascii="Arial" w:cs="Arial" w:eastAsia="Arial" w:hAnsi="Arial"/>
          <w:sz w:val="18"/>
          <w:szCs w:val="18"/>
          <w:color w:val="auto"/>
        </w:rPr>
        <w:t>Under the New Plan, our Board has the right to grant other awards</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of our common stock and other awards that are valued in whole or in part by reference to, or otherwise based on, shares of our common stock or other property (“</w:t>
      </w:r>
      <w:r>
        <w:rPr>
          <w:rFonts w:ascii="Arial" w:cs="Arial" w:eastAsia="Arial" w:hAnsi="Arial"/>
          <w:sz w:val="18"/>
          <w:szCs w:val="18"/>
          <w:b w:val="1"/>
          <w:bCs w:val="1"/>
          <w:color w:val="auto"/>
        </w:rPr>
        <w:t>Other Stock-Based Awards</w:t>
      </w:r>
      <w:r>
        <w:rPr>
          <w:rFonts w:ascii="Arial" w:cs="Arial" w:eastAsia="Arial" w:hAnsi="Arial"/>
          <w:sz w:val="18"/>
          <w:szCs w:val="18"/>
          <w:color w:val="auto"/>
        </w:rPr>
        <w:t>”), which may include, without limitation, deferred shares or deferred stock units, as well as cash payments and other cash bonus awards (“</w:t>
      </w:r>
      <w:r>
        <w:rPr>
          <w:rFonts w:ascii="Arial" w:cs="Arial" w:eastAsia="Arial" w:hAnsi="Arial"/>
          <w:sz w:val="18"/>
          <w:szCs w:val="18"/>
          <w:b w:val="1"/>
          <w:bCs w:val="1"/>
          <w:color w:val="auto"/>
        </w:rPr>
        <w:t>Cash-Based Awards</w:t>
      </w:r>
      <w:r>
        <w:rPr>
          <w:rFonts w:ascii="Arial" w:cs="Arial" w:eastAsia="Arial" w:hAnsi="Arial"/>
          <w:sz w:val="18"/>
          <w:szCs w:val="18"/>
          <w:color w:val="auto"/>
        </w:rPr>
        <w:t>”), and dividend equivalents and awards entitling recipients to receive shares of common stock or cash to be delivered in the future (collectively, “</w:t>
      </w:r>
      <w:r>
        <w:rPr>
          <w:rFonts w:ascii="Arial" w:cs="Arial" w:eastAsia="Arial" w:hAnsi="Arial"/>
          <w:sz w:val="18"/>
          <w:szCs w:val="18"/>
          <w:b w:val="1"/>
          <w:bCs w:val="1"/>
          <w:color w:val="auto"/>
        </w:rPr>
        <w:t>Other</w:t>
      </w:r>
      <w:r>
        <w:rPr>
          <w:rFonts w:ascii="Arial" w:cs="Arial" w:eastAsia="Arial" w:hAnsi="Arial"/>
          <w:sz w:val="18"/>
          <w:szCs w:val="18"/>
          <w:color w:val="auto"/>
        </w:rPr>
        <w:t xml:space="preserve"> </w:t>
      </w:r>
      <w:r>
        <w:rPr>
          <w:rFonts w:ascii="Arial" w:cs="Arial" w:eastAsia="Arial" w:hAnsi="Arial"/>
          <w:sz w:val="18"/>
          <w:szCs w:val="18"/>
          <w:b w:val="1"/>
          <w:bCs w:val="1"/>
          <w:color w:val="auto"/>
        </w:rPr>
        <w:t>Stock-Based Awards and Cash-Based Awards</w:t>
      </w:r>
      <w:r>
        <w:rPr>
          <w:rFonts w:ascii="Arial" w:cs="Arial" w:eastAsia="Arial" w:hAnsi="Arial"/>
          <w:sz w:val="18"/>
          <w:szCs w:val="18"/>
          <w:color w:val="auto"/>
        </w:rPr>
        <w:t>”). Other Stock-Based Awards and Cash-Based</w:t>
      </w:r>
      <w:r>
        <w:rPr>
          <w:rFonts w:ascii="Arial" w:cs="Arial" w:eastAsia="Arial" w:hAnsi="Arial"/>
          <w:sz w:val="18"/>
          <w:szCs w:val="18"/>
          <w:b w:val="1"/>
          <w:bCs w:val="1"/>
          <w:color w:val="auto"/>
        </w:rPr>
        <w:t xml:space="preserve"> </w:t>
      </w:r>
      <w:r>
        <w:rPr>
          <w:rFonts w:ascii="Arial" w:cs="Arial" w:eastAsia="Arial" w:hAnsi="Arial"/>
          <w:sz w:val="18"/>
          <w:szCs w:val="18"/>
          <w:color w:val="auto"/>
        </w:rPr>
        <w:t>Awards will have such terms and conditions as our Board may determine. An Other Stock-Based Award may provide the participant with a right to receive dividends or dividend equivalents, which may be settled in cash and/or shares of our common stock and will be subject to the same restrictions on transfer and forfeitability as the underlying Other Stock-Based Award. No interest will be paid on dividends or dividend equivalents.</w:t>
      </w:r>
    </w:p>
    <w:p>
      <w:pPr>
        <w:spacing w:after="0" w:line="323" w:lineRule="exact"/>
        <w:rPr>
          <w:sz w:val="20"/>
          <w:szCs w:val="20"/>
          <w:color w:val="auto"/>
        </w:rPr>
      </w:pPr>
    </w:p>
    <w:p>
      <w:pPr>
        <w:ind w:left="920" w:right="119"/>
        <w:spacing w:after="0" w:line="243"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Under the New Plan, any award may be made subject to the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measures. For any performance award, our Board may specify that the degree of vesting, settlement and/or payout (or other term or condition of the performance award) shall be subject to the achievement of one or more performance measures established by the Board. Performance measures may vary by participant and may be different for different awards and may be particular to a participant or the department, branch, line of business, subsidiary or other unit in which the participant works and may cover such period as may be specified by the Board. Performance measures may be calculated on generally accepted accounting principles (“</w:t>
      </w:r>
      <w:r>
        <w:rPr>
          <w:rFonts w:ascii="Arial" w:cs="Arial" w:eastAsia="Arial" w:hAnsi="Arial"/>
          <w:sz w:val="18"/>
          <w:szCs w:val="18"/>
          <w:b w:val="1"/>
          <w:bCs w:val="1"/>
          <w:color w:val="auto"/>
        </w:rPr>
        <w:t>GAAP</w:t>
      </w:r>
      <w:r>
        <w:rPr>
          <w:rFonts w:ascii="Arial" w:cs="Arial" w:eastAsia="Arial" w:hAnsi="Arial"/>
          <w:sz w:val="18"/>
          <w:szCs w:val="18"/>
          <w:color w:val="auto"/>
        </w:rPr>
        <w:t>”) or non- GAAP basis or otherwise in accordance with applicable accounting principles or such other methodology as determined appropriate by our Board. Our Board may specify that such performance measures shall be adjusted to consider such events or circumstances as determined appropriate by the Board.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78</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Restrictions on Repricings</w:t>
      </w:r>
    </w:p>
    <w:p>
      <w:pPr>
        <w:spacing w:after="0" w:line="135" w:lineRule="exact"/>
        <w:rPr>
          <w:sz w:val="20"/>
          <w:szCs w:val="20"/>
          <w:color w:val="auto"/>
        </w:rPr>
      </w:pPr>
    </w:p>
    <w:p>
      <w:pPr>
        <w:ind w:left="920" w:right="259"/>
        <w:spacing w:after="0" w:line="245" w:lineRule="auto"/>
        <w:rPr>
          <w:sz w:val="20"/>
          <w:szCs w:val="20"/>
          <w:color w:val="auto"/>
        </w:rPr>
      </w:pPr>
      <w:r>
        <w:rPr>
          <w:rFonts w:ascii="Arial" w:cs="Arial" w:eastAsia="Arial" w:hAnsi="Arial"/>
          <w:sz w:val="18"/>
          <w:szCs w:val="18"/>
          <w:color w:val="auto"/>
        </w:rPr>
        <w:t>Unless approved by our stockholders, our Board may not: (i) lower the exercise price of an option or a SAR; (ii) cancel an option or SAR when the exercise price per share exceeds the fair market value of one</w:t>
      </w:r>
    </w:p>
    <w:p>
      <w:pPr>
        <w:ind w:left="920" w:right="139"/>
        <w:spacing w:after="0" w:line="226" w:lineRule="auto"/>
        <w:rPr>
          <w:sz w:val="20"/>
          <w:szCs w:val="20"/>
          <w:color w:val="auto"/>
        </w:rPr>
      </w:pPr>
      <w:r>
        <w:rPr>
          <w:rFonts w:ascii="Arial" w:cs="Arial" w:eastAsia="Arial" w:hAnsi="Arial"/>
          <w:sz w:val="18"/>
          <w:szCs w:val="18"/>
          <w:color w:val="auto"/>
        </w:rPr>
        <w:t>share in exchange for cash or another award; or (iii) take any other action with respect to an option or SAR that would be treated as repricing under the rules and regulations of the principal U.S. national securities</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exchange on which the shares of our common stock are listed.</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Transferability of Awards</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Awards, other than vested shares of restricted stock, may not be sold, assigned, transferred, pledged or</w:t>
      </w:r>
    </w:p>
    <w:p>
      <w:pPr>
        <w:spacing w:after="0" w:line="14" w:lineRule="exact"/>
        <w:rPr>
          <w:sz w:val="20"/>
          <w:szCs w:val="20"/>
          <w:color w:val="auto"/>
        </w:rPr>
      </w:pPr>
    </w:p>
    <w:p>
      <w:pPr>
        <w:ind w:left="920" w:right="159"/>
        <w:spacing w:after="0" w:line="226" w:lineRule="auto"/>
        <w:rPr>
          <w:sz w:val="20"/>
          <w:szCs w:val="20"/>
          <w:color w:val="auto"/>
        </w:rPr>
      </w:pPr>
      <w:r>
        <w:rPr>
          <w:rFonts w:ascii="Arial" w:cs="Arial" w:eastAsia="Arial" w:hAnsi="Arial"/>
          <w:sz w:val="18"/>
          <w:szCs w:val="18"/>
          <w:color w:val="auto"/>
        </w:rPr>
        <w:t>otherwise encumbered by the person to whom they are granted, either voluntarily or by operation of law, except by will or the laws of descent and distribution or, other than in the case of an incentive stock option,</w:t>
      </w:r>
    </w:p>
    <w:p>
      <w:pPr>
        <w:ind w:left="920"/>
        <w:spacing w:after="0" w:line="236" w:lineRule="auto"/>
        <w:rPr>
          <w:sz w:val="20"/>
          <w:szCs w:val="20"/>
          <w:color w:val="auto"/>
        </w:rPr>
      </w:pPr>
      <w:r>
        <w:rPr>
          <w:rFonts w:ascii="Arial" w:cs="Arial" w:eastAsia="Arial" w:hAnsi="Arial"/>
          <w:sz w:val="18"/>
          <w:szCs w:val="18"/>
          <w:color w:val="auto"/>
        </w:rPr>
        <w:t>pursuant to a qualified domestic relations order. During the life of the holder of an award, awards, other</w:t>
      </w:r>
    </w:p>
    <w:p>
      <w:pPr>
        <w:spacing w:after="0" w:line="1" w:lineRule="exact"/>
        <w:rPr>
          <w:sz w:val="20"/>
          <w:szCs w:val="20"/>
          <w:color w:val="auto"/>
        </w:rPr>
      </w:pPr>
    </w:p>
    <w:p>
      <w:pPr>
        <w:ind w:left="920" w:right="379"/>
        <w:spacing w:after="0" w:line="226" w:lineRule="auto"/>
        <w:rPr>
          <w:sz w:val="20"/>
          <w:szCs w:val="20"/>
          <w:color w:val="auto"/>
        </w:rPr>
      </w:pPr>
      <w:r>
        <w:rPr>
          <w:rFonts w:ascii="Arial" w:cs="Arial" w:eastAsia="Arial" w:hAnsi="Arial"/>
          <w:sz w:val="18"/>
          <w:szCs w:val="18"/>
          <w:color w:val="auto"/>
        </w:rPr>
        <w:t>than vested shares of restricted stock, are exercisable only by such holder. Our Board may permit the gratuitous transfer of an award other than an incentive stock option (and other than an option granted in</w:t>
      </w:r>
    </w:p>
    <w:p>
      <w:pPr>
        <w:spacing w:after="0" w:line="2" w:lineRule="exact"/>
        <w:rPr>
          <w:sz w:val="20"/>
          <w:szCs w:val="20"/>
          <w:color w:val="auto"/>
        </w:rPr>
      </w:pPr>
    </w:p>
    <w:p>
      <w:pPr>
        <w:ind w:left="920" w:right="159"/>
        <w:spacing w:after="0" w:line="226" w:lineRule="auto"/>
        <w:rPr>
          <w:sz w:val="20"/>
          <w:szCs w:val="20"/>
          <w:color w:val="auto"/>
        </w:rPr>
      </w:pPr>
      <w:r>
        <w:rPr>
          <w:rFonts w:ascii="Arial" w:cs="Arial" w:eastAsia="Arial" w:hAnsi="Arial"/>
          <w:sz w:val="18"/>
          <w:szCs w:val="18"/>
          <w:color w:val="auto"/>
        </w:rPr>
        <w:t>tandem with an incentive stock option) by the holder of such award to or for the benefit of any immediate family member, family trust or other entity established for the benefit of such holder or an immediate family</w:t>
      </w:r>
    </w:p>
    <w:p>
      <w:pPr>
        <w:ind w:left="920"/>
        <w:spacing w:after="0" w:line="236" w:lineRule="auto"/>
        <w:rPr>
          <w:sz w:val="20"/>
          <w:szCs w:val="20"/>
          <w:color w:val="auto"/>
        </w:rPr>
      </w:pPr>
      <w:r>
        <w:rPr>
          <w:rFonts w:ascii="Arial" w:cs="Arial" w:eastAsia="Arial" w:hAnsi="Arial"/>
          <w:sz w:val="18"/>
          <w:szCs w:val="18"/>
          <w:color w:val="auto"/>
        </w:rPr>
        <w:t>member of such holder if, with respect to such transferee, we would be eligible to use a Form S-8 for the</w:t>
      </w:r>
    </w:p>
    <w:p>
      <w:pPr>
        <w:spacing w:after="0" w:line="1" w:lineRule="exact"/>
        <w:rPr>
          <w:sz w:val="20"/>
          <w:szCs w:val="20"/>
          <w:color w:val="auto"/>
        </w:rPr>
      </w:pPr>
    </w:p>
    <w:p>
      <w:pPr>
        <w:ind w:left="920" w:right="219"/>
        <w:spacing w:after="0" w:line="226" w:lineRule="auto"/>
        <w:rPr>
          <w:sz w:val="20"/>
          <w:szCs w:val="20"/>
          <w:color w:val="auto"/>
        </w:rPr>
      </w:pPr>
      <w:r>
        <w:rPr>
          <w:rFonts w:ascii="Arial" w:cs="Arial" w:eastAsia="Arial" w:hAnsi="Arial"/>
          <w:sz w:val="18"/>
          <w:szCs w:val="18"/>
          <w:color w:val="auto"/>
        </w:rPr>
        <w:t>registration of the sale of the common stock subject to such award under the Securities Act of 1933, as amended, and if such transferee agrees that the award shall continue to be bound by the same terms and</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conditions as it was prior to the transfer.</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Eligibility to Receive Awards</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employees (~3,100 as of the Record Date), non-employee directors (7 as of the Record Date),</w:t>
      </w:r>
    </w:p>
    <w:p>
      <w:pPr>
        <w:spacing w:after="0" w:line="14" w:lineRule="exact"/>
        <w:rPr>
          <w:sz w:val="20"/>
          <w:szCs w:val="20"/>
          <w:color w:val="auto"/>
        </w:rPr>
      </w:pPr>
    </w:p>
    <w:p>
      <w:pPr>
        <w:ind w:left="920" w:right="159"/>
        <w:spacing w:after="0" w:line="226" w:lineRule="auto"/>
        <w:rPr>
          <w:sz w:val="20"/>
          <w:szCs w:val="20"/>
          <w:color w:val="auto"/>
        </w:rPr>
      </w:pPr>
      <w:r>
        <w:rPr>
          <w:rFonts w:ascii="Arial" w:cs="Arial" w:eastAsia="Arial" w:hAnsi="Arial"/>
          <w:sz w:val="18"/>
          <w:szCs w:val="18"/>
          <w:color w:val="auto"/>
        </w:rPr>
        <w:t>consultants and advisors (~1,700 as of the Record Date) and those of our subsidiaries are eligible to be granted awards under the New Plan. Only our employees and employees of our subsidiaries, however, are</w:t>
      </w:r>
    </w:p>
    <w:p>
      <w:pPr>
        <w:spacing w:after="0" w:line="2" w:lineRule="exact"/>
        <w:rPr>
          <w:sz w:val="20"/>
          <w:szCs w:val="20"/>
          <w:color w:val="auto"/>
        </w:rPr>
      </w:pPr>
    </w:p>
    <w:p>
      <w:pPr>
        <w:ind w:left="920" w:right="419"/>
        <w:spacing w:after="0" w:line="250" w:lineRule="auto"/>
        <w:rPr>
          <w:sz w:val="20"/>
          <w:szCs w:val="20"/>
          <w:color w:val="auto"/>
        </w:rPr>
      </w:pPr>
      <w:r>
        <w:rPr>
          <w:rFonts w:ascii="Arial" w:cs="Arial" w:eastAsia="Arial" w:hAnsi="Arial"/>
          <w:sz w:val="18"/>
          <w:szCs w:val="18"/>
          <w:color w:val="auto"/>
        </w:rPr>
        <w:t>eligible to be granted incentive stock options. On April 10, 2025, the last reported sale price of common stock on the Nasdaq Global Select Market was $3.46 per share.</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Director Award Limit</w:t>
      </w:r>
    </w:p>
    <w:p>
      <w:pPr>
        <w:spacing w:after="0" w:line="148" w:lineRule="exact"/>
        <w:rPr>
          <w:sz w:val="20"/>
          <w:szCs w:val="20"/>
          <w:color w:val="auto"/>
        </w:rPr>
      </w:pPr>
    </w:p>
    <w:p>
      <w:pPr>
        <w:ind w:left="920" w:right="259"/>
        <w:spacing w:after="0" w:line="237" w:lineRule="auto"/>
        <w:rPr>
          <w:sz w:val="20"/>
          <w:szCs w:val="20"/>
          <w:color w:val="auto"/>
        </w:rPr>
      </w:pPr>
      <w:r>
        <w:rPr>
          <w:rFonts w:ascii="Arial" w:cs="Arial" w:eastAsia="Arial" w:hAnsi="Arial"/>
          <w:sz w:val="18"/>
          <w:szCs w:val="18"/>
          <w:color w:val="auto"/>
        </w:rPr>
        <w:t>During any calendar year, the sum of the grant date fair value of awards and the amount of any cash fees granted or paid to non-employee directors in respect of such director’s services for such year, may not</w:t>
      </w:r>
    </w:p>
    <w:p>
      <w:pPr>
        <w:spacing w:after="0" w:line="1" w:lineRule="exact"/>
        <w:rPr>
          <w:sz w:val="20"/>
          <w:szCs w:val="20"/>
          <w:color w:val="auto"/>
        </w:rPr>
      </w:pPr>
    </w:p>
    <w:p>
      <w:pPr>
        <w:ind w:left="920" w:right="1219"/>
        <w:spacing w:after="0" w:line="250" w:lineRule="auto"/>
        <w:rPr>
          <w:sz w:val="20"/>
          <w:szCs w:val="20"/>
          <w:color w:val="auto"/>
        </w:rPr>
      </w:pPr>
      <w:r>
        <w:rPr>
          <w:rFonts w:ascii="Arial" w:cs="Arial" w:eastAsia="Arial" w:hAnsi="Arial"/>
          <w:sz w:val="18"/>
          <w:szCs w:val="18"/>
          <w:color w:val="auto"/>
        </w:rPr>
        <w:t>exceed $800,000, provided that our Board may make exceptions to such limit in extraordinary circumstances.</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Limitation on Benefits</w:t>
      </w:r>
    </w:p>
    <w:p>
      <w:pPr>
        <w:spacing w:after="0" w:line="148" w:lineRule="exact"/>
        <w:rPr>
          <w:sz w:val="20"/>
          <w:szCs w:val="20"/>
          <w:color w:val="auto"/>
        </w:rPr>
      </w:pPr>
    </w:p>
    <w:p>
      <w:pPr>
        <w:ind w:left="920" w:right="219"/>
        <w:spacing w:after="0" w:line="237" w:lineRule="auto"/>
        <w:rPr>
          <w:sz w:val="20"/>
          <w:szCs w:val="20"/>
          <w:color w:val="auto"/>
        </w:rPr>
      </w:pPr>
      <w:r>
        <w:rPr>
          <w:rFonts w:ascii="Arial" w:cs="Arial" w:eastAsia="Arial" w:hAnsi="Arial"/>
          <w:sz w:val="18"/>
          <w:szCs w:val="18"/>
          <w:color w:val="auto"/>
        </w:rPr>
        <w:t>If the receipt of payments or benefits under the New Plan would, alone or in combination with other payments from us, result in the holder of the award becoming subject to an excise tax under Section 4999</w:t>
      </w:r>
    </w:p>
    <w:p>
      <w:pPr>
        <w:ind w:left="920"/>
        <w:spacing w:after="0" w:line="235" w:lineRule="auto"/>
        <w:rPr>
          <w:sz w:val="20"/>
          <w:szCs w:val="20"/>
          <w:color w:val="auto"/>
        </w:rPr>
      </w:pPr>
      <w:r>
        <w:rPr>
          <w:rFonts w:ascii="Arial" w:cs="Arial" w:eastAsia="Arial" w:hAnsi="Arial"/>
          <w:sz w:val="18"/>
          <w:szCs w:val="18"/>
          <w:color w:val="auto"/>
        </w:rPr>
        <w:t>of the Code, our Board may reduce the amount of such payments and benefits (including with respect to</w:t>
      </w:r>
    </w:p>
    <w:p>
      <w:pPr>
        <w:spacing w:after="0" w:line="1" w:lineRule="exact"/>
        <w:rPr>
          <w:sz w:val="20"/>
          <w:szCs w:val="20"/>
          <w:color w:val="auto"/>
        </w:rPr>
      </w:pPr>
    </w:p>
    <w:p>
      <w:pPr>
        <w:ind w:left="920" w:right="139"/>
        <w:spacing w:after="0" w:line="237" w:lineRule="auto"/>
        <w:rPr>
          <w:sz w:val="20"/>
          <w:szCs w:val="20"/>
          <w:color w:val="auto"/>
        </w:rPr>
      </w:pPr>
      <w:r>
        <w:rPr>
          <w:rFonts w:ascii="Arial" w:cs="Arial" w:eastAsia="Arial" w:hAnsi="Arial"/>
          <w:sz w:val="18"/>
          <w:szCs w:val="18"/>
          <w:color w:val="auto"/>
        </w:rPr>
        <w:t>awards granted under the New Plan) to the extent such reduction results in a greater after-tax return to the holder of the award.</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Share Retention Guidelines and Clawback Policies</w:t>
      </w:r>
    </w:p>
    <w:p>
      <w:pPr>
        <w:spacing w:after="0" w:line="135" w:lineRule="exact"/>
        <w:rPr>
          <w:sz w:val="20"/>
          <w:szCs w:val="20"/>
          <w:color w:val="auto"/>
        </w:rPr>
      </w:pPr>
    </w:p>
    <w:p>
      <w:pPr>
        <w:ind w:left="920" w:right="199"/>
        <w:spacing w:after="0" w:line="245" w:lineRule="auto"/>
        <w:rPr>
          <w:sz w:val="20"/>
          <w:szCs w:val="20"/>
          <w:color w:val="auto"/>
        </w:rPr>
      </w:pPr>
      <w:r>
        <w:rPr>
          <w:rFonts w:ascii="Arial" w:cs="Arial" w:eastAsia="Arial" w:hAnsi="Arial"/>
          <w:sz w:val="18"/>
          <w:szCs w:val="18"/>
          <w:color w:val="auto"/>
        </w:rPr>
        <w:t>Shares of our common stock acquired by a participant pursuant to the New Plan are subject to our current stock retention guidelines and any additional guidelines we may adopt in the future. Additionally, awards</w:t>
      </w:r>
    </w:p>
    <w:p>
      <w:pPr>
        <w:ind w:left="920" w:right="99"/>
        <w:spacing w:after="0" w:line="226" w:lineRule="auto"/>
        <w:rPr>
          <w:sz w:val="20"/>
          <w:szCs w:val="20"/>
          <w:color w:val="auto"/>
        </w:rPr>
      </w:pPr>
      <w:r>
        <w:rPr>
          <w:rFonts w:ascii="Arial" w:cs="Arial" w:eastAsia="Arial" w:hAnsi="Arial"/>
          <w:sz w:val="18"/>
          <w:szCs w:val="18"/>
          <w:color w:val="auto"/>
        </w:rPr>
        <w:t>granted under the New Plan are subject to any current clawback policy of the Company (including the Ribbons Communications Inc. Clawback Policy), as well as any additional clawback policy we may adopt in</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future, as applicable.</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Minimum Vesting Periods</w:t>
      </w:r>
    </w:p>
    <w:p>
      <w:pPr>
        <w:spacing w:after="0" w:line="148" w:lineRule="exact"/>
        <w:rPr>
          <w:sz w:val="20"/>
          <w:szCs w:val="20"/>
          <w:color w:val="auto"/>
        </w:rPr>
      </w:pPr>
    </w:p>
    <w:p>
      <w:pPr>
        <w:ind w:left="920" w:right="119"/>
        <w:spacing w:after="0" w:line="256" w:lineRule="auto"/>
        <w:rPr>
          <w:sz w:val="20"/>
          <w:szCs w:val="20"/>
          <w:color w:val="auto"/>
        </w:rPr>
      </w:pPr>
      <w:r>
        <w:rPr>
          <w:rFonts w:ascii="Arial" w:cs="Arial" w:eastAsia="Arial" w:hAnsi="Arial"/>
          <w:sz w:val="18"/>
          <w:szCs w:val="18"/>
          <w:color w:val="auto"/>
        </w:rPr>
        <w:t>Under the New Plan, no award (other than cash-based awards) will vest earlier than the first anniversary of its date of grant and each performance-based award must have a performance</w:t>
      </w:r>
    </w:p>
    <w:p>
      <w:pPr>
        <w:spacing w:after="0" w:line="166"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period of at least one year; provided, however, that such minimum vesting requirements will not apply to</w:t>
      </w:r>
    </w:p>
    <w:p>
      <w:pPr>
        <w:spacing w:after="0" w:line="14" w:lineRule="exact"/>
        <w:rPr>
          <w:sz w:val="20"/>
          <w:szCs w:val="20"/>
          <w:color w:val="auto"/>
        </w:rPr>
      </w:pPr>
    </w:p>
    <w:p>
      <w:pPr>
        <w:ind w:left="920" w:right="139" w:firstLine="4"/>
        <w:spacing w:after="0" w:line="241" w:lineRule="auto"/>
        <w:tabs>
          <w:tab w:leader="none" w:pos="114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substitute award issued in connection with a transaction, (ii) shares of common stock delivered in lieu of fully-vested cash-based awards (or other cash awards or payments), (iii) awards to our non-employee directors that vest on the earlier of the one-year anniversary of the date of grant and the next annual meeting of stockholders which is at least 50 weeks after the immediately preceding year’s annual meeting, and (iv) any additional awards our Board may grant, up to a maximum of five percent (5%) of the available share reserve authorized for issuance under the New Plan (subject to adjustment for certain capitalization and reorganization events); and, provided, further, that the foregoing restriction does not apply to our Board’s discretion to provide for accelerated exercisability or vesting of any awards upon a participant’s death, disability, retirement, termination of employment, or other separation from service, or in connection with a Change in Control or other Reorganization Event.</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Treatment of Dividends and Dividend Equivalents on Unvested Awards</w:t>
      </w:r>
    </w:p>
    <w:p>
      <w:pPr>
        <w:spacing w:after="0" w:line="148" w:lineRule="exact"/>
        <w:rPr>
          <w:sz w:val="20"/>
          <w:szCs w:val="20"/>
          <w:color w:val="auto"/>
        </w:rPr>
      </w:pPr>
    </w:p>
    <w:p>
      <w:pPr>
        <w:ind w:left="920" w:right="179"/>
        <w:spacing w:after="0" w:line="248" w:lineRule="auto"/>
        <w:rPr>
          <w:sz w:val="20"/>
          <w:szCs w:val="20"/>
          <w:color w:val="auto"/>
        </w:rPr>
      </w:pPr>
      <w:r>
        <w:rPr>
          <w:rFonts w:ascii="Arial" w:cs="Arial" w:eastAsia="Arial" w:hAnsi="Arial"/>
          <w:sz w:val="18"/>
          <w:szCs w:val="18"/>
          <w:color w:val="auto"/>
        </w:rPr>
        <w:t>Notwithstanding any other provision of the New Plan to the contrary, with respect to any award that provides for or includes a right to dividends or dividend equivalents, if dividends are declared during the period that the award is outstanding, such dividends (or dividend equivalents) shall either (i) not be paid or credited with respect to such award or (ii) be accumulated but remain subject to vesting requirement(s) to the same extent as the applicable award and shall only be paid at the time or times such vesting requirement(s) are satisfied.</w:t>
      </w:r>
    </w:p>
    <w:p>
      <w:pPr>
        <w:spacing w:after="0" w:line="37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Provisions for Foreign Participants</w:t>
      </w:r>
    </w:p>
    <w:p>
      <w:pPr>
        <w:spacing w:after="0" w:line="148" w:lineRule="exact"/>
        <w:rPr>
          <w:sz w:val="20"/>
          <w:szCs w:val="20"/>
          <w:color w:val="auto"/>
        </w:rPr>
      </w:pPr>
    </w:p>
    <w:p>
      <w:pPr>
        <w:ind w:left="920" w:right="339"/>
        <w:spacing w:after="0" w:line="252" w:lineRule="auto"/>
        <w:rPr>
          <w:sz w:val="20"/>
          <w:szCs w:val="20"/>
          <w:color w:val="auto"/>
        </w:rPr>
      </w:pPr>
      <w:r>
        <w:rPr>
          <w:rFonts w:ascii="Arial" w:cs="Arial" w:eastAsia="Arial" w:hAnsi="Arial"/>
          <w:sz w:val="18"/>
          <w:szCs w:val="18"/>
          <w:color w:val="auto"/>
        </w:rPr>
        <w:t>Our Board may modify awards granted to participants who are foreign nationals or employed outside the United States or establish subplans or procedures under the New Plan to recognize differences in laws, rules, regulations or customs of such foreign jurisdictions with respect to tax, securities, currency, employee benefit or other matters.</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Term of New Plan; Amendment or Termination</w:t>
      </w:r>
    </w:p>
    <w:p>
      <w:pPr>
        <w:spacing w:after="0" w:line="148" w:lineRule="exact"/>
        <w:rPr>
          <w:sz w:val="20"/>
          <w:szCs w:val="20"/>
          <w:color w:val="auto"/>
        </w:rPr>
      </w:pPr>
    </w:p>
    <w:p>
      <w:pPr>
        <w:ind w:left="920" w:right="279"/>
        <w:spacing w:after="0" w:line="247" w:lineRule="auto"/>
        <w:rPr>
          <w:sz w:val="20"/>
          <w:szCs w:val="20"/>
          <w:color w:val="auto"/>
        </w:rPr>
      </w:pPr>
      <w:r>
        <w:rPr>
          <w:rFonts w:ascii="Arial" w:cs="Arial" w:eastAsia="Arial" w:hAnsi="Arial"/>
          <w:sz w:val="18"/>
          <w:szCs w:val="18"/>
          <w:color w:val="auto"/>
        </w:rPr>
        <w:t>Our Board may at any time amend, suspend or terminate the New Plan; provided that, to the extent determined by our Board, stockholder approval shall be required for any material amendment to the plan, including as determined under any applicable legal, regulatory or listing requirement. No awards will be granted under the New Plan after the day prior to the tenth anniversary of the Effective Date, but awards previously granted thereunder may extend beyond that date.</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New Plan Benefits / Interest of Certain Persons</w:t>
      </w:r>
    </w:p>
    <w:p>
      <w:pPr>
        <w:spacing w:after="0" w:line="152" w:lineRule="exact"/>
        <w:rPr>
          <w:sz w:val="20"/>
          <w:szCs w:val="20"/>
          <w:color w:val="auto"/>
        </w:rPr>
      </w:pPr>
    </w:p>
    <w:p>
      <w:pPr>
        <w:ind w:left="920" w:right="99"/>
        <w:spacing w:after="0" w:line="245" w:lineRule="auto"/>
        <w:rPr>
          <w:sz w:val="20"/>
          <w:szCs w:val="20"/>
          <w:color w:val="auto"/>
        </w:rPr>
      </w:pPr>
      <w:r>
        <w:rPr>
          <w:rFonts w:ascii="Arial" w:cs="Arial" w:eastAsia="Arial" w:hAnsi="Arial"/>
          <w:sz w:val="18"/>
          <w:szCs w:val="18"/>
          <w:color w:val="auto"/>
        </w:rPr>
        <w:t>Stockholders should understand that our executive officers and non-employee directors may be considered to have an interest in the approval of the New Plan because they may in the future receive awards under such plan. In particular, to the extent the New Plan is approved by our stockholders, certain of our named executive officers, other executive officers, non-executive directors and non-executive officer employees are expected to receive certain RSU and PSU grants in 2025, although no grants have been made to date. It is expected that, if and when made, such grants are made they will include both annual award grants similar to those discussed under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portion of this Proxy Statement, as well as additional true-up grants of RSUs and PSUs as a result of the smaller size of the grants made in 2024 given shares available under the 2019 Plan.</w:t>
      </w:r>
    </w:p>
    <w:p>
      <w:pPr>
        <w:spacing w:after="0" w:line="110" w:lineRule="exact"/>
        <w:rPr>
          <w:sz w:val="20"/>
          <w:szCs w:val="20"/>
          <w:color w:val="auto"/>
        </w:rPr>
      </w:pPr>
    </w:p>
    <w:p>
      <w:pPr>
        <w:ind w:left="920" w:right="199"/>
        <w:spacing w:after="0" w:line="246" w:lineRule="auto"/>
        <w:rPr>
          <w:sz w:val="20"/>
          <w:szCs w:val="20"/>
          <w:color w:val="auto"/>
        </w:rPr>
      </w:pPr>
      <w:r>
        <w:rPr>
          <w:rFonts w:ascii="Arial" w:cs="Arial" w:eastAsia="Arial" w:hAnsi="Arial"/>
          <w:sz w:val="18"/>
          <w:szCs w:val="18"/>
          <w:color w:val="auto"/>
        </w:rPr>
        <w:t>The benefits that will be received by participants, including our named executive officers, other executive officers, non- executive directors and other non-executive officer employees, under the New Plan will depend on a variety of factors, including the fair market value of our common stock at various future dates and our Board’s or Compensation Committee’s discretion in granting awards. Therefore, except as set forth in the table above, it is not possible to determine the benefits that will be received by or allocated to, any participants, including our name executive officers, other executive officers, non-executive directors and other non-executive officer employees if the New</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80</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right="379"/>
        <w:spacing w:after="0" w:line="261" w:lineRule="auto"/>
        <w:rPr>
          <w:sz w:val="20"/>
          <w:szCs w:val="20"/>
          <w:color w:val="auto"/>
        </w:rPr>
      </w:pPr>
      <w:r>
        <w:rPr>
          <w:rFonts w:ascii="Arial" w:cs="Arial" w:eastAsia="Arial" w:hAnsi="Arial"/>
          <w:sz w:val="18"/>
          <w:szCs w:val="18"/>
          <w:color w:val="auto"/>
        </w:rPr>
        <w:t>Plan is approved by our stockholders. For additional information regarding our equity grants in 2024, please see the tables entitled “</w:t>
      </w:r>
      <w:r>
        <w:rPr>
          <w:rFonts w:ascii="Arial" w:cs="Arial" w:eastAsia="Arial" w:hAnsi="Arial"/>
          <w:sz w:val="18"/>
          <w:szCs w:val="18"/>
          <w:i w:val="1"/>
          <w:iCs w:val="1"/>
          <w:color w:val="auto"/>
        </w:rPr>
        <w:t>Grants of Plan-Based Awards</w:t>
      </w:r>
      <w:r>
        <w:rPr>
          <w:rFonts w:ascii="Arial" w:cs="Arial" w:eastAsia="Arial" w:hAnsi="Arial"/>
          <w:sz w:val="18"/>
          <w:szCs w:val="18"/>
          <w:color w:val="auto"/>
        </w:rPr>
        <w:t>” and “</w:t>
      </w:r>
      <w:r>
        <w:rPr>
          <w:rFonts w:ascii="Arial" w:cs="Arial" w:eastAsia="Arial" w:hAnsi="Arial"/>
          <w:sz w:val="18"/>
          <w:szCs w:val="18"/>
          <w:i w:val="1"/>
          <w:iCs w:val="1"/>
          <w:color w:val="auto"/>
        </w:rPr>
        <w:t>Director Compensation</w:t>
      </w:r>
      <w:r>
        <w:rPr>
          <w:rFonts w:ascii="Arial" w:cs="Arial" w:eastAsia="Arial" w:hAnsi="Arial"/>
          <w:sz w:val="18"/>
          <w:szCs w:val="18"/>
          <w:color w:val="auto"/>
        </w:rPr>
        <w:t>” in this Proxy Statement.</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Federal Income Tax Consequences</w:t>
      </w:r>
    </w:p>
    <w:p>
      <w:pPr>
        <w:spacing w:after="0" w:line="152" w:lineRule="exact"/>
        <w:rPr>
          <w:sz w:val="20"/>
          <w:szCs w:val="20"/>
          <w:color w:val="auto"/>
        </w:rPr>
      </w:pPr>
    </w:p>
    <w:p>
      <w:pPr>
        <w:ind w:left="920" w:right="139"/>
        <w:spacing w:after="0" w:line="245" w:lineRule="auto"/>
        <w:rPr>
          <w:sz w:val="20"/>
          <w:szCs w:val="20"/>
          <w:color w:val="auto"/>
        </w:rPr>
      </w:pPr>
      <w:r>
        <w:rPr>
          <w:rFonts w:ascii="Arial" w:cs="Arial" w:eastAsia="Arial" w:hAnsi="Arial"/>
          <w:sz w:val="18"/>
          <w:szCs w:val="18"/>
          <w:color w:val="auto"/>
        </w:rPr>
        <w:t>The following summarizes the United States federal income tax consequences that generally will arise with respect to awards granted under the New Plan. This summary is based on the federal tax laws in effect as of the date of this Proxy Statement. In addition, this summary assumes that all awards are exempt from, or comply with, the rules under Section 409A regarding nonqualified deferred compensation. Changes to these laws or assumptions could alter the tax consequences described below. The summary is general in nature and does not purport to be legal or tax advice.</w:t>
      </w:r>
    </w:p>
    <w:p>
      <w:pPr>
        <w:spacing w:after="0" w:line="109" w:lineRule="exact"/>
        <w:rPr>
          <w:sz w:val="20"/>
          <w:szCs w:val="20"/>
          <w:color w:val="auto"/>
        </w:rPr>
      </w:pPr>
    </w:p>
    <w:p>
      <w:pPr>
        <w:ind w:left="920" w:right="139"/>
        <w:spacing w:after="0" w:line="246" w:lineRule="auto"/>
        <w:rPr>
          <w:sz w:val="20"/>
          <w:szCs w:val="20"/>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A participant will not have income upon the grant of an incentive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Also, except as described below, a participant will not have income upon exercise of an incentive stock option if the participant has been employed by us, our corporate parent, or a 50% or more-owned corporate subsidiary at all times beginning with the option grant date and ending three months before the date the participant exercises the option. If the participant has not been so employed during that time, then the participant will be taxed as described below under the section entitled “</w:t>
      </w:r>
      <w:r>
        <w:rPr>
          <w:rFonts w:ascii="Arial" w:cs="Arial" w:eastAsia="Arial" w:hAnsi="Arial"/>
          <w:sz w:val="18"/>
          <w:szCs w:val="18"/>
          <w:i w:val="1"/>
          <w:iCs w:val="1"/>
          <w:color w:val="auto"/>
        </w:rPr>
        <w:t>Non-statutory Stock Options</w:t>
      </w:r>
      <w:r>
        <w:rPr>
          <w:rFonts w:ascii="Arial" w:cs="Arial" w:eastAsia="Arial" w:hAnsi="Arial"/>
          <w:sz w:val="18"/>
          <w:szCs w:val="18"/>
          <w:color w:val="auto"/>
        </w:rPr>
        <w:t>.” The exercise of an incentive stock option may subject the participant to the alternative minimum tax.</w:t>
      </w:r>
    </w:p>
    <w:p>
      <w:pPr>
        <w:spacing w:after="0" w:line="108" w:lineRule="exact"/>
        <w:rPr>
          <w:sz w:val="20"/>
          <w:szCs w:val="20"/>
          <w:color w:val="auto"/>
        </w:rPr>
      </w:pPr>
    </w:p>
    <w:p>
      <w:pPr>
        <w:ind w:left="920" w:right="99"/>
        <w:spacing w:after="0" w:line="244" w:lineRule="auto"/>
        <w:rPr>
          <w:sz w:val="20"/>
          <w:szCs w:val="20"/>
          <w:color w:val="auto"/>
        </w:rPr>
      </w:pPr>
      <w:r>
        <w:rPr>
          <w:rFonts w:ascii="Arial" w:cs="Arial" w:eastAsia="Arial" w:hAnsi="Arial"/>
          <w:sz w:val="18"/>
          <w:szCs w:val="18"/>
          <w:color w:val="auto"/>
        </w:rPr>
        <w:t>A participant will have income upon the sale of the stock acquired under an incentive stock option at a profit (if sales proceeds exceed the exercise price) . The type of income will depend on when the participant sells the stock. If a participant sells the stock more than two years after the option was granted and more than one year after the option was exercised, then all of the profit will be long-term capital gain. If a participant sells the stock prior to satisfying these waiting periods, then the participant will have engaged in a disqualifying disposition and a portion of the profit will be ordinary income and a 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w:t>
      </w:r>
    </w:p>
    <w:p>
      <w:pPr>
        <w:spacing w:after="0" w:line="110" w:lineRule="exact"/>
        <w:rPr>
          <w:sz w:val="20"/>
          <w:szCs w:val="20"/>
          <w:color w:val="auto"/>
        </w:rPr>
      </w:pPr>
    </w:p>
    <w:p>
      <w:pPr>
        <w:jc w:val="both"/>
        <w:ind w:left="920" w:right="219"/>
        <w:spacing w:after="0" w:line="246" w:lineRule="auto"/>
        <w:rPr>
          <w:sz w:val="20"/>
          <w:szCs w:val="20"/>
          <w:color w:val="auto"/>
        </w:rPr>
      </w:pPr>
      <w:r>
        <w:rPr>
          <w:rFonts w:ascii="Arial" w:cs="Arial" w:eastAsia="Arial" w:hAnsi="Arial"/>
          <w:sz w:val="18"/>
          <w:szCs w:val="18"/>
          <w:i w:val="1"/>
          <w:iCs w:val="1"/>
          <w:color w:val="auto"/>
        </w:rPr>
        <w:t xml:space="preserve">Non-statutory Stock Options. </w:t>
      </w:r>
      <w:r>
        <w:rPr>
          <w:rFonts w:ascii="Arial" w:cs="Arial" w:eastAsia="Arial" w:hAnsi="Arial"/>
          <w:sz w:val="18"/>
          <w:szCs w:val="18"/>
          <w:color w:val="auto"/>
        </w:rPr>
        <w:t>A participant will not have income upon the grant of a non- statutory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A participant will have ordinary income upon the exercise of a non -statutory stock option equal to the value of the stock on the day the participant exercised the option less the exercise price. Upon sale of the stock, the participant will have capital gain or loss equal to the difference between the sales proceeds and the fair market value of the stock on the day the option was exercised. There will be long -term capital gain or loss if the participant has held the stock for more than one year, and otherwise, there will be short-term capital gain or loss.</w:t>
      </w:r>
    </w:p>
    <w:p>
      <w:pPr>
        <w:spacing w:after="0" w:line="108" w:lineRule="exact"/>
        <w:rPr>
          <w:sz w:val="20"/>
          <w:szCs w:val="20"/>
          <w:color w:val="auto"/>
        </w:rPr>
      </w:pPr>
    </w:p>
    <w:p>
      <w:pPr>
        <w:ind w:left="920" w:right="199"/>
        <w:spacing w:after="0" w:line="246"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A participant will not have income upon the grant of a SAR. A participant will</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ordinary income upon the exercise of a SAR equal to the difference between the SAR exercise price per share and the fair market value per share on the date of exercise. Upon the sale of any stock received pursuant to the SAR, the participant will have capital gain or loss equal to the difference between the sales proceeds and the value of the stock on the day the SAR was exercised. There will be long -term capital gain or loss if the participant held the stock for more than one year, and otherwise, there will be short-term capital gain or loss.</w:t>
      </w:r>
    </w:p>
    <w:p>
      <w:pPr>
        <w:spacing w:after="0" w:line="108" w:lineRule="exact"/>
        <w:rPr>
          <w:sz w:val="20"/>
          <w:szCs w:val="20"/>
          <w:color w:val="auto"/>
        </w:rPr>
      </w:pPr>
    </w:p>
    <w:p>
      <w:pPr>
        <w:ind w:left="920" w:right="259"/>
        <w:spacing w:after="0" w:line="244"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A participant will not have income upon the grant of restricted stock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voluntarily makes an election under Section 83(b) of the Code within 30 days of the date of grant. If a timely Section 83(b) election is made, then a participant will have ordinary income equal to the fair market value of the stock on the date of grant less any purchase price. If a participant forfeits the restricted stock subject to such election, they will not be entitled to any deduction, refund or loss for tax purposes. When the stock is sold, the participant will have capital gain or loss equal to the difference between the sales proceeds and the value of the stock on the date of grant, if a timely Section 83(b) election has been made.</w:t>
      </w:r>
    </w:p>
    <w:p>
      <w:pPr>
        <w:spacing w:after="0" w:line="390"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right="199"/>
        <w:spacing w:after="0" w:line="244" w:lineRule="auto"/>
        <w:rPr>
          <w:sz w:val="20"/>
          <w:szCs w:val="20"/>
          <w:color w:val="auto"/>
        </w:rPr>
      </w:pPr>
      <w:r>
        <w:rPr>
          <w:rFonts w:ascii="Arial" w:cs="Arial" w:eastAsia="Arial" w:hAnsi="Arial"/>
          <w:sz w:val="18"/>
          <w:szCs w:val="18"/>
          <w:color w:val="auto"/>
        </w:rPr>
        <w:t>If the participant does not make a Section 83(b) election, then when the stock vests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transfer restrictions and forfeiture provisions lapse) the participant will have ordinary income equal to the value of the stock on the vesting date less any purchase price. When the stock is sold, the participant will have capital gain or loss equal to the sales proceeds less the value of the stock on the vesting date, if no Section 83(b) election has been made. Any capital gain or loss will be long-term if the participant held the stock for more than one year following (i) the day after the grant date if a timely Section 83(b) election has been made or (ii) the day after the vesting date if no Section 83(b) election has been made, and otherwise will be short-term.</w:t>
      </w:r>
    </w:p>
    <w:p>
      <w:pPr>
        <w:spacing w:after="0" w:line="322" w:lineRule="exact"/>
        <w:rPr>
          <w:sz w:val="20"/>
          <w:szCs w:val="20"/>
          <w:color w:val="auto"/>
        </w:rPr>
      </w:pPr>
    </w:p>
    <w:p>
      <w:pPr>
        <w:ind w:left="920" w:right="219"/>
        <w:spacing w:after="0" w:line="246"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A participant will not have income upon the grant of an RSU. A participant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to make a Section 83(b) election with respect to an RSU award. When the RSU vests, the participant will have income on the vesting date in an amount equal to the amount of cash received or the fair market value of the stock on the vesting date less the purchase price, if any. When the stock is sold, the participant will have capital gain or loss equal to the sales proceeds less the value of the stock on the vesting date. There will be long-term capital gain or loss if the participant held the stock for more than one year, and otherwise, there will be short-term capital gain or loss.</w:t>
      </w:r>
    </w:p>
    <w:p>
      <w:pPr>
        <w:spacing w:after="0" w:line="108" w:lineRule="exact"/>
        <w:rPr>
          <w:sz w:val="20"/>
          <w:szCs w:val="20"/>
          <w:color w:val="auto"/>
        </w:rPr>
      </w:pPr>
    </w:p>
    <w:p>
      <w:pPr>
        <w:ind w:left="920"/>
        <w:spacing w:after="0"/>
        <w:tabs>
          <w:tab w:leader="none" w:pos="6480" w:val="left"/>
        </w:tabs>
        <w:rPr>
          <w:sz w:val="20"/>
          <w:szCs w:val="20"/>
          <w:color w:val="auto"/>
        </w:rPr>
      </w:pPr>
      <w:r>
        <w:rPr>
          <w:rFonts w:ascii="Arial" w:cs="Arial" w:eastAsia="Arial" w:hAnsi="Arial"/>
          <w:sz w:val="18"/>
          <w:szCs w:val="18"/>
          <w:i w:val="1"/>
          <w:iCs w:val="1"/>
          <w:color w:val="auto"/>
        </w:rPr>
        <w:t>Other Stock- or Cashed-Based Awards and Performance Awards.</w:t>
      </w:r>
      <w:r>
        <w:rPr>
          <w:sz w:val="20"/>
          <w:szCs w:val="20"/>
          <w:color w:val="auto"/>
        </w:rPr>
        <w:tab/>
      </w:r>
      <w:r>
        <w:rPr>
          <w:rFonts w:ascii="Arial" w:cs="Arial" w:eastAsia="Arial" w:hAnsi="Arial"/>
          <w:sz w:val="18"/>
          <w:szCs w:val="18"/>
          <w:color w:val="auto"/>
        </w:rPr>
        <w:t>The tax consequences associated with</w:t>
      </w:r>
    </w:p>
    <w:p>
      <w:pPr>
        <w:spacing w:after="0" w:line="27" w:lineRule="exact"/>
        <w:rPr>
          <w:sz w:val="20"/>
          <w:szCs w:val="20"/>
          <w:color w:val="auto"/>
        </w:rPr>
      </w:pPr>
    </w:p>
    <w:p>
      <w:pPr>
        <w:ind w:left="920" w:right="119"/>
        <w:spacing w:after="0" w:line="242" w:lineRule="auto"/>
        <w:rPr>
          <w:sz w:val="20"/>
          <w:szCs w:val="20"/>
          <w:color w:val="auto"/>
        </w:rPr>
      </w:pPr>
      <w:r>
        <w:rPr>
          <w:rFonts w:ascii="Arial" w:cs="Arial" w:eastAsia="Arial" w:hAnsi="Arial"/>
          <w:sz w:val="18"/>
          <w:szCs w:val="18"/>
          <w:color w:val="auto"/>
        </w:rPr>
        <w:t>any other stock- or cashed-based award or performance award granted under the New Plan will vary 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113" w:lineRule="exact"/>
        <w:rPr>
          <w:sz w:val="20"/>
          <w:szCs w:val="20"/>
          <w:color w:val="auto"/>
        </w:rPr>
      </w:pPr>
    </w:p>
    <w:p>
      <w:pPr>
        <w:ind w:left="920" w:right="239"/>
        <w:spacing w:after="0" w:line="261" w:lineRule="auto"/>
        <w:rPr>
          <w:sz w:val="20"/>
          <w:szCs w:val="20"/>
          <w:color w:val="auto"/>
        </w:rPr>
      </w:pPr>
      <w:r>
        <w:rPr>
          <w:rFonts w:ascii="Arial" w:cs="Arial" w:eastAsia="Arial" w:hAnsi="Arial"/>
          <w:sz w:val="18"/>
          <w:szCs w:val="18"/>
          <w:i w:val="1"/>
          <w:iCs w:val="1"/>
          <w:color w:val="auto"/>
        </w:rPr>
        <w:t xml:space="preserve">Tax Consequences to the Company. </w:t>
      </w:r>
      <w:r>
        <w:rPr>
          <w:rFonts w:ascii="Arial" w:cs="Arial" w:eastAsia="Arial" w:hAnsi="Arial"/>
          <w:sz w:val="18"/>
          <w:szCs w:val="18"/>
          <w:color w:val="auto"/>
        </w:rPr>
        <w:t>There will be no income tax consequences to us except that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 entitled to a deduction when a participant has ordinary income. Any such deduction may be subject to the limitations of Sections 162(m)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1417320</wp:posOffset>
            </wp:positionH>
            <wp:positionV relativeFrom="paragraph">
              <wp:posOffset>80645</wp:posOffset>
            </wp:positionV>
            <wp:extent cx="4791710" cy="6172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791710" cy="617220"/>
                    </a:xfrm>
                    <a:prstGeom prst="rect">
                      <a:avLst/>
                    </a:prstGeom>
                    <a:noFill/>
                  </pic:spPr>
                </pic:pic>
              </a:graphicData>
            </a:graphic>
          </wp:anchor>
        </w:drawing>
      </w:r>
    </w:p>
    <w:p>
      <w:pPr>
        <w:spacing w:after="0" w:line="107" w:lineRule="exact"/>
        <w:rPr>
          <w:sz w:val="20"/>
          <w:szCs w:val="20"/>
          <w:color w:val="auto"/>
        </w:rPr>
      </w:pPr>
    </w:p>
    <w:tbl>
      <w:tblPr>
        <w:tblLayout w:type="fixed"/>
        <w:tblInd w:w="920" w:type="dxa"/>
        <w:tblCellMar>
          <w:top w:w="0" w:type="dxa"/>
          <w:left w:w="0" w:type="dxa"/>
          <w:bottom w:w="0" w:type="dxa"/>
          <w:right w:w="0" w:type="dxa"/>
        </w:tblCellMar>
      </w:tblPr>
      <w:tr>
        <w:trPr>
          <w:trHeight w:val="235"/>
        </w:trPr>
        <w:tc>
          <w:tcPr>
            <w:tcW w:w="120" w:type="dxa"/>
            <w:vAlign w:val="bottom"/>
            <w:shd w:val="clear" w:color="auto" w:fill="62259D"/>
          </w:tcPr>
          <w:p>
            <w:pPr>
              <w:spacing w:after="0"/>
              <w:rPr>
                <w:sz w:val="20"/>
                <w:szCs w:val="20"/>
                <w:color w:val="auto"/>
              </w:rPr>
            </w:pPr>
          </w:p>
        </w:tc>
        <w:tc>
          <w:tcPr>
            <w:tcW w:w="1200" w:type="dxa"/>
            <w:vAlign w:val="bottom"/>
            <w:shd w:val="clear" w:color="auto" w:fill="62259D"/>
          </w:tcPr>
          <w:p>
            <w:pPr>
              <w:jc w:val="center"/>
              <w:spacing w:after="0"/>
              <w:rPr>
                <w:sz w:val="20"/>
                <w:szCs w:val="20"/>
                <w:color w:val="auto"/>
              </w:rPr>
            </w:pPr>
            <w:r>
              <w:rPr>
                <w:rFonts w:ascii="Arial" w:cs="Arial" w:eastAsia="Arial" w:hAnsi="Arial"/>
                <w:sz w:val="16"/>
                <w:szCs w:val="16"/>
                <w:color w:val="FEFEFE"/>
              </w:rPr>
              <w:t>PROPOSAL</w:t>
            </w:r>
          </w:p>
        </w:tc>
        <w:tc>
          <w:tcPr>
            <w:tcW w:w="6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20" w:type="dxa"/>
            <w:vAlign w:val="bottom"/>
            <w:shd w:val="clear" w:color="auto" w:fill="62259D"/>
          </w:tcPr>
          <w:p>
            <w:pPr>
              <w:spacing w:after="0"/>
              <w:rPr>
                <w:sz w:val="17"/>
                <w:szCs w:val="17"/>
                <w:color w:val="auto"/>
              </w:rPr>
            </w:pPr>
          </w:p>
        </w:tc>
        <w:tc>
          <w:tcPr>
            <w:tcW w:w="1200" w:type="dxa"/>
            <w:vAlign w:val="bottom"/>
            <w:vMerge w:val="restart"/>
            <w:shd w:val="clear" w:color="auto" w:fill="62259D"/>
          </w:tcPr>
          <w:p>
            <w:pPr>
              <w:jc w:val="center"/>
              <w:spacing w:after="0" w:line="399" w:lineRule="exact"/>
              <w:rPr>
                <w:sz w:val="20"/>
                <w:szCs w:val="20"/>
                <w:color w:val="auto"/>
              </w:rPr>
            </w:pPr>
            <w:r>
              <w:rPr>
                <w:rFonts w:ascii="Arial" w:cs="Arial" w:eastAsia="Arial" w:hAnsi="Arial"/>
                <w:sz w:val="46"/>
                <w:szCs w:val="46"/>
                <w:b w:val="1"/>
                <w:bCs w:val="1"/>
                <w:color w:val="FEFEFE"/>
              </w:rPr>
              <w:t>5</w:t>
            </w:r>
            <w:r>
              <w:rPr>
                <w:rFonts w:ascii="Arial" w:cs="Arial" w:eastAsia="Arial" w:hAnsi="Arial"/>
                <w:sz w:val="16"/>
                <w:szCs w:val="16"/>
                <w:color w:val="FEFEFE"/>
              </w:rPr>
              <w:t>​</w:t>
            </w:r>
          </w:p>
        </w:tc>
        <w:tc>
          <w:tcPr>
            <w:tcW w:w="6320" w:type="dxa"/>
            <w:vAlign w:val="bottom"/>
          </w:tcPr>
          <w:p>
            <w:pPr>
              <w:ind w:left="300"/>
              <w:spacing w:after="0" w:line="197" w:lineRule="exact"/>
              <w:rPr>
                <w:sz w:val="20"/>
                <w:szCs w:val="20"/>
                <w:color w:val="auto"/>
              </w:rPr>
            </w:pPr>
            <w:r>
              <w:rPr>
                <w:rFonts w:ascii="Arial" w:cs="Arial" w:eastAsia="Arial" w:hAnsi="Arial"/>
                <w:sz w:val="18"/>
                <w:szCs w:val="18"/>
                <w:color w:val="FEFEFE"/>
              </w:rPr>
              <w:t>The Board of Directors recommends that stockholders vote “</w:t>
            </w:r>
            <w:r>
              <w:rPr>
                <w:rFonts w:ascii="Arial" w:cs="Arial" w:eastAsia="Arial" w:hAnsi="Arial"/>
                <w:sz w:val="18"/>
                <w:szCs w:val="18"/>
                <w:b w:val="1"/>
                <w:bCs w:val="1"/>
                <w:color w:val="FEFEFE"/>
              </w:rPr>
              <w:t>FOR</w:t>
            </w:r>
            <w:r>
              <w:rPr>
                <w:rFonts w:ascii="Arial" w:cs="Arial" w:eastAsia="Arial" w:hAnsi="Arial"/>
                <w:sz w:val="18"/>
                <w:szCs w:val="18"/>
                <w:color w:val="FEFEFE"/>
              </w:rPr>
              <w:t>” the</w:t>
            </w: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vMerge w:val="restart"/>
            <w:shd w:val="clear" w:color="auto" w:fill="62259D"/>
          </w:tcPr>
          <w:p>
            <w:pPr>
              <w:spacing w:after="0"/>
              <w:rPr>
                <w:sz w:val="20"/>
                <w:szCs w:val="20"/>
                <w:color w:val="auto"/>
              </w:rPr>
            </w:pPr>
            <w:r>
              <w:rPr>
                <w:rFonts w:ascii="Arial" w:cs="Arial" w:eastAsia="Arial" w:hAnsi="Arial"/>
                <w:sz w:val="18"/>
                <w:szCs w:val="18"/>
                <w:color w:val="FEFEFE"/>
              </w:rPr>
              <w:t>​</w:t>
            </w:r>
          </w:p>
        </w:tc>
        <w:tc>
          <w:tcPr>
            <w:tcW w:w="1200" w:type="dxa"/>
            <w:vAlign w:val="bottom"/>
            <w:vMerge w:val="continue"/>
            <w:shd w:val="clear" w:color="auto" w:fill="62259D"/>
          </w:tcPr>
          <w:p>
            <w:pPr>
              <w:spacing w:after="0"/>
              <w:rPr>
                <w:sz w:val="17"/>
                <w:szCs w:val="17"/>
                <w:color w:val="auto"/>
              </w:rPr>
            </w:pPr>
          </w:p>
        </w:tc>
        <w:tc>
          <w:tcPr>
            <w:tcW w:w="6320" w:type="dxa"/>
            <w:vAlign w:val="bottom"/>
            <w:vMerge w:val="restart"/>
          </w:tcPr>
          <w:p>
            <w:pPr>
              <w:spacing w:after="0"/>
              <w:rPr>
                <w:sz w:val="20"/>
                <w:szCs w:val="20"/>
                <w:color w:val="auto"/>
              </w:rPr>
            </w:pPr>
            <w:r>
              <w:rPr>
                <w:rFonts w:ascii="Arial" w:cs="Arial" w:eastAsia="Arial" w:hAnsi="Arial"/>
                <w:sz w:val="35"/>
                <w:szCs w:val="35"/>
                <w:color w:val="FEFEFE"/>
                <w:vertAlign w:val="superscript"/>
              </w:rPr>
              <w:t>​​</w:t>
            </w:r>
            <w:r>
              <w:rPr>
                <w:rFonts w:ascii="Arial" w:cs="Arial" w:eastAsia="Arial" w:hAnsi="Arial"/>
                <w:sz w:val="18"/>
                <w:szCs w:val="18"/>
                <w:color w:val="FEFEFE"/>
              </w:rPr>
              <w:t xml:space="preserve">   approval of the Ribbon Communications Inc. 2025 Incentive Award Plan.</w:t>
            </w:r>
          </w:p>
        </w:tc>
        <w:tc>
          <w:tcPr>
            <w:tcW w:w="1220" w:type="dxa"/>
            <w:vAlign w:val="bottom"/>
            <w:vMerge w:val="restart"/>
          </w:tcPr>
          <w:p>
            <w:pPr>
              <w:spacing w:after="0"/>
              <w:rPr>
                <w:sz w:val="20"/>
                <w:szCs w:val="20"/>
                <w:color w:val="auto"/>
              </w:rPr>
            </w:pPr>
            <w:r>
              <w:rPr>
                <w:rFonts w:ascii="Arial" w:cs="Arial" w:eastAsia="Arial" w:hAnsi="Arial"/>
                <w:sz w:val="18"/>
                <w:szCs w:val="18"/>
                <w:color w:val="FEFEFE"/>
              </w:rPr>
              <w:t>​</w:t>
            </w:r>
          </w:p>
        </w:tc>
        <w:tc>
          <w:tcPr>
            <w:tcW w:w="60" w:type="dxa"/>
            <w:vAlign w:val="bottom"/>
            <w:vMerge w:val="restart"/>
          </w:tcPr>
          <w:p>
            <w:pPr>
              <w:spacing w:after="0"/>
              <w:rPr>
                <w:sz w:val="20"/>
                <w:szCs w:val="20"/>
                <w:color w:val="auto"/>
              </w:rPr>
            </w:pPr>
            <w:r>
              <w:rPr>
                <w:rFonts w:ascii="Arial" w:cs="Arial" w:eastAsia="Arial" w:hAnsi="Arial"/>
                <w:sz w:val="18"/>
                <w:szCs w:val="18"/>
                <w:color w:val="FEFEFE"/>
              </w:rPr>
              <w:t>​</w:t>
            </w:r>
          </w:p>
        </w:tc>
        <w:tc>
          <w:tcPr>
            <w:tcW w:w="0" w:type="dxa"/>
            <w:vAlign w:val="bottom"/>
          </w:tcPr>
          <w:p>
            <w:pPr>
              <w:spacing w:after="0"/>
              <w:rPr>
                <w:sz w:val="1"/>
                <w:szCs w:val="1"/>
                <w:color w:val="auto"/>
              </w:rPr>
            </w:pPr>
          </w:p>
        </w:tc>
      </w:tr>
      <w:tr>
        <w:trPr>
          <w:trHeight w:val="281"/>
        </w:trPr>
        <w:tc>
          <w:tcPr>
            <w:tcW w:w="120" w:type="dxa"/>
            <w:vAlign w:val="bottom"/>
            <w:vMerge w:val="continue"/>
            <w:shd w:val="clear" w:color="auto" w:fill="62259D"/>
          </w:tcPr>
          <w:p>
            <w:pPr>
              <w:spacing w:after="0"/>
              <w:rPr>
                <w:sz w:val="24"/>
                <w:szCs w:val="24"/>
                <w:color w:val="auto"/>
              </w:rPr>
            </w:pPr>
          </w:p>
        </w:tc>
        <w:tc>
          <w:tcPr>
            <w:tcW w:w="1200" w:type="dxa"/>
            <w:vAlign w:val="bottom"/>
            <w:shd w:val="clear" w:color="auto" w:fill="62259D"/>
          </w:tcPr>
          <w:p>
            <w:pPr>
              <w:spacing w:after="0"/>
              <w:rPr>
                <w:sz w:val="24"/>
                <w:szCs w:val="24"/>
                <w:color w:val="auto"/>
              </w:rPr>
            </w:pPr>
          </w:p>
        </w:tc>
        <w:tc>
          <w:tcPr>
            <w:tcW w:w="63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20" w:type="dxa"/>
            <w:vAlign w:val="bottom"/>
            <w:shd w:val="clear" w:color="auto" w:fill="62259D"/>
          </w:tcPr>
          <w:p>
            <w:pPr>
              <w:spacing w:after="0"/>
              <w:rPr>
                <w:sz w:val="3"/>
                <w:szCs w:val="3"/>
                <w:color w:val="auto"/>
              </w:rPr>
            </w:pPr>
          </w:p>
        </w:tc>
        <w:tc>
          <w:tcPr>
            <w:tcW w:w="1200" w:type="dxa"/>
            <w:vAlign w:val="bottom"/>
            <w:shd w:val="clear" w:color="auto" w:fill="62259D"/>
          </w:tcPr>
          <w:p>
            <w:pPr>
              <w:spacing w:after="0"/>
              <w:rPr>
                <w:sz w:val="3"/>
                <w:szCs w:val="3"/>
                <w:color w:val="auto"/>
              </w:rPr>
            </w:pPr>
          </w:p>
        </w:tc>
        <w:tc>
          <w:tcPr>
            <w:tcW w:w="6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82</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9166BA"/>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9166BA"/>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16"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62259D"/>
        </w:rPr>
        <w:t>STOCK INFORMATION</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Beneficial Ownership of Our Common Stock</w:t>
      </w:r>
    </w:p>
    <w:p>
      <w:pPr>
        <w:spacing w:after="0" w:line="158" w:lineRule="exact"/>
        <w:rPr>
          <w:sz w:val="20"/>
          <w:szCs w:val="20"/>
          <w:color w:val="auto"/>
        </w:rPr>
      </w:pPr>
    </w:p>
    <w:p>
      <w:pPr>
        <w:ind w:left="920" w:right="119"/>
        <w:spacing w:after="0" w:line="287" w:lineRule="auto"/>
        <w:rPr>
          <w:sz w:val="20"/>
          <w:szCs w:val="20"/>
          <w:color w:val="auto"/>
        </w:rPr>
      </w:pPr>
      <w:r>
        <w:rPr>
          <w:rFonts w:ascii="Arial" w:cs="Arial" w:eastAsia="Arial" w:hAnsi="Arial"/>
          <w:sz w:val="18"/>
          <w:szCs w:val="18"/>
          <w:color w:val="auto"/>
        </w:rPr>
        <w:t>The following table sets forth information regarding beneficial ownership of our common stock as of April 4, 2025 by:</w:t>
      </w:r>
    </w:p>
    <w:p>
      <w:pPr>
        <w:spacing w:after="0" w:line="72" w:lineRule="exact"/>
        <w:rPr>
          <w:sz w:val="20"/>
          <w:szCs w:val="20"/>
          <w:color w:val="auto"/>
        </w:rPr>
      </w:pPr>
    </w:p>
    <w:p>
      <w:pPr>
        <w:ind w:left="1280" w:right="439" w:hanging="356"/>
        <w:spacing w:after="0" w:line="271" w:lineRule="auto"/>
        <w:tabs>
          <w:tab w:leader="none" w:pos="1280" w:val="left"/>
        </w:tabs>
        <w:numPr>
          <w:ilvl w:val="0"/>
          <w:numId w:val="145"/>
        </w:numPr>
        <w:rPr>
          <w:rFonts w:ascii="Arial" w:cs="Arial" w:eastAsia="Arial" w:hAnsi="Arial"/>
          <w:sz w:val="18"/>
          <w:szCs w:val="18"/>
          <w:color w:val="62259D"/>
        </w:rPr>
      </w:pPr>
      <w:r>
        <w:rPr>
          <w:rFonts w:ascii="Arial" w:cs="Arial" w:eastAsia="Arial" w:hAnsi="Arial"/>
          <w:sz w:val="18"/>
          <w:szCs w:val="18"/>
          <w:color w:val="auto"/>
        </w:rPr>
        <w:t>each person who beneficially owns, to the best of our knowledge, more than 5% of the outstanding shares of our common stock;</w:t>
      </w:r>
    </w:p>
    <w:p>
      <w:pPr>
        <w:spacing w:after="0" w:line="18" w:lineRule="exact"/>
        <w:rPr>
          <w:rFonts w:ascii="Arial" w:cs="Arial" w:eastAsia="Arial" w:hAnsi="Arial"/>
          <w:sz w:val="18"/>
          <w:szCs w:val="18"/>
          <w:color w:val="62259D"/>
        </w:rPr>
      </w:pPr>
    </w:p>
    <w:p>
      <w:pPr>
        <w:ind w:left="1280" w:hanging="356"/>
        <w:spacing w:after="0"/>
        <w:tabs>
          <w:tab w:leader="none" w:pos="1280" w:val="left"/>
        </w:tabs>
        <w:numPr>
          <w:ilvl w:val="0"/>
          <w:numId w:val="145"/>
        </w:numPr>
        <w:rPr>
          <w:rFonts w:ascii="Arial" w:cs="Arial" w:eastAsia="Arial" w:hAnsi="Arial"/>
          <w:sz w:val="18"/>
          <w:szCs w:val="18"/>
          <w:color w:val="62259D"/>
        </w:rPr>
      </w:pPr>
      <w:r>
        <w:rPr>
          <w:rFonts w:ascii="Arial" w:cs="Arial" w:eastAsia="Arial" w:hAnsi="Arial"/>
          <w:sz w:val="18"/>
          <w:szCs w:val="18"/>
          <w:color w:val="auto"/>
        </w:rPr>
        <w:t>each of our current named executive officers;</w:t>
      </w:r>
    </w:p>
    <w:p>
      <w:pPr>
        <w:spacing w:after="0" w:line="63" w:lineRule="exact"/>
        <w:rPr>
          <w:rFonts w:ascii="Arial" w:cs="Arial" w:eastAsia="Arial" w:hAnsi="Arial"/>
          <w:sz w:val="18"/>
          <w:szCs w:val="18"/>
          <w:color w:val="62259D"/>
        </w:rPr>
      </w:pPr>
    </w:p>
    <w:p>
      <w:pPr>
        <w:ind w:left="1280" w:hanging="356"/>
        <w:spacing w:after="0"/>
        <w:tabs>
          <w:tab w:leader="none" w:pos="1280" w:val="left"/>
        </w:tabs>
        <w:numPr>
          <w:ilvl w:val="0"/>
          <w:numId w:val="145"/>
        </w:numPr>
        <w:rPr>
          <w:rFonts w:ascii="Arial" w:cs="Arial" w:eastAsia="Arial" w:hAnsi="Arial"/>
          <w:sz w:val="18"/>
          <w:szCs w:val="18"/>
          <w:color w:val="62259D"/>
        </w:rPr>
      </w:pPr>
      <w:r>
        <w:rPr>
          <w:rFonts w:ascii="Arial" w:cs="Arial" w:eastAsia="Arial" w:hAnsi="Arial"/>
          <w:sz w:val="18"/>
          <w:szCs w:val="18"/>
          <w:color w:val="auto"/>
        </w:rPr>
        <w:t>each of our directors; and</w:t>
      </w:r>
    </w:p>
    <w:p>
      <w:pPr>
        <w:spacing w:after="0" w:line="76" w:lineRule="exact"/>
        <w:rPr>
          <w:rFonts w:ascii="Arial" w:cs="Arial" w:eastAsia="Arial" w:hAnsi="Arial"/>
          <w:sz w:val="18"/>
          <w:szCs w:val="18"/>
          <w:color w:val="62259D"/>
        </w:rPr>
      </w:pPr>
    </w:p>
    <w:p>
      <w:pPr>
        <w:ind w:left="1280" w:hanging="356"/>
        <w:spacing w:after="0"/>
        <w:tabs>
          <w:tab w:leader="none" w:pos="1280" w:val="left"/>
        </w:tabs>
        <w:numPr>
          <w:ilvl w:val="0"/>
          <w:numId w:val="145"/>
        </w:numPr>
        <w:rPr>
          <w:rFonts w:ascii="Arial" w:cs="Arial" w:eastAsia="Arial" w:hAnsi="Arial"/>
          <w:sz w:val="18"/>
          <w:szCs w:val="18"/>
          <w:color w:val="62259D"/>
        </w:rPr>
      </w:pPr>
      <w:r>
        <w:rPr>
          <w:rFonts w:ascii="Arial" w:cs="Arial" w:eastAsia="Arial" w:hAnsi="Arial"/>
          <w:sz w:val="18"/>
          <w:szCs w:val="18"/>
          <w:color w:val="auto"/>
        </w:rPr>
        <w:t>all of our current executive officers and directors as a group (together, the “</w:t>
      </w:r>
      <w:r>
        <w:rPr>
          <w:rFonts w:ascii="Arial" w:cs="Arial" w:eastAsia="Arial" w:hAnsi="Arial"/>
          <w:sz w:val="18"/>
          <w:szCs w:val="18"/>
          <w:i w:val="1"/>
          <w:iCs w:val="1"/>
          <w:color w:val="auto"/>
        </w:rPr>
        <w:t>Beneficial Holders</w:t>
      </w:r>
      <w:r>
        <w:rPr>
          <w:rFonts w:ascii="Arial" w:cs="Arial" w:eastAsia="Arial" w:hAnsi="Arial"/>
          <w:sz w:val="18"/>
          <w:szCs w:val="18"/>
          <w:color w:val="auto"/>
        </w:rPr>
        <w:t>”).</w:t>
      </w:r>
    </w:p>
    <w:p>
      <w:pPr>
        <w:spacing w:after="0" w:line="144" w:lineRule="exact"/>
        <w:rPr>
          <w:sz w:val="20"/>
          <w:szCs w:val="20"/>
          <w:color w:val="auto"/>
        </w:rPr>
      </w:pPr>
    </w:p>
    <w:p>
      <w:pPr>
        <w:ind w:left="920" w:right="99"/>
        <w:spacing w:after="0" w:line="248"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shares. In computing the number of shares beneficially owned by each person named in the following table and the percentage ownership of that person, shares of common stock that the person has the right to acquire within 60 days of April 4, 2025 through the exercise of any equity right, are deemed owned by that person and are also deemed outstanding. These shares are not, however, deemed outstanding for purposes of computing the percentage ownership of any other person.</w:t>
      </w:r>
    </w:p>
    <w:p>
      <w:pPr>
        <w:spacing w:after="0" w:line="107" w:lineRule="exact"/>
        <w:rPr>
          <w:sz w:val="20"/>
          <w:szCs w:val="20"/>
          <w:color w:val="auto"/>
        </w:rPr>
      </w:pPr>
    </w:p>
    <w:p>
      <w:pPr>
        <w:ind w:left="920" w:right="159"/>
        <w:spacing w:after="0" w:line="247" w:lineRule="auto"/>
        <w:rPr>
          <w:sz w:val="20"/>
          <w:szCs w:val="20"/>
          <w:color w:val="auto"/>
        </w:rPr>
      </w:pPr>
      <w:r>
        <w:rPr>
          <w:rFonts w:ascii="Arial" w:cs="Arial" w:eastAsia="Arial" w:hAnsi="Arial"/>
          <w:sz w:val="18"/>
          <w:szCs w:val="18"/>
          <w:color w:val="auto"/>
        </w:rPr>
        <w:t>Unless otherwise indicated below, to our knowledge, all persons named in the table have sole voting and investment power with respect to their shares of common stock, except to the extent authority is shared by spouses under applicable law. The percentage of common stock outstanding as of April 4, 2025 is based upon 175,933,338 shares of common stock outstanding on that date. Unless otherwise indicated, the address of all listed stockholders is 6500 Chase Oaks Blvd, Suite 100, Plano, TX 75023.</w:t>
      </w:r>
    </w:p>
    <w:p>
      <w:pPr>
        <w:spacing w:after="0" w:line="155" w:lineRule="exact"/>
        <w:rPr>
          <w:sz w:val="20"/>
          <w:szCs w:val="20"/>
          <w:color w:val="auto"/>
        </w:rPr>
      </w:pPr>
    </w:p>
    <w:tbl>
      <w:tblPr>
        <w:tblLayout w:type="fixed"/>
        <w:tblInd w:w="920" w:type="dxa"/>
        <w:tblCellMar>
          <w:top w:w="0" w:type="dxa"/>
          <w:left w:w="0" w:type="dxa"/>
          <w:bottom w:w="0" w:type="dxa"/>
          <w:right w:w="0" w:type="dxa"/>
        </w:tblCellMar>
      </w:tblPr>
      <w:tr>
        <w:trPr>
          <w:trHeight w:val="197"/>
        </w:trPr>
        <w:tc>
          <w:tcPr>
            <w:tcW w:w="2900" w:type="dxa"/>
            <w:vAlign w:val="bottom"/>
            <w:shd w:val="clear" w:color="auto" w:fill="62259D"/>
          </w:tcPr>
          <w:p>
            <w:pPr>
              <w:spacing w:after="0"/>
              <w:rPr>
                <w:sz w:val="17"/>
                <w:szCs w:val="17"/>
                <w:color w:val="auto"/>
              </w:rPr>
            </w:pPr>
          </w:p>
        </w:tc>
        <w:tc>
          <w:tcPr>
            <w:tcW w:w="360" w:type="dxa"/>
            <w:vAlign w:val="bottom"/>
            <w:shd w:val="clear" w:color="auto" w:fill="62259D"/>
          </w:tcPr>
          <w:p>
            <w:pPr>
              <w:spacing w:after="0"/>
              <w:rPr>
                <w:sz w:val="17"/>
                <w:szCs w:val="17"/>
                <w:color w:val="auto"/>
              </w:rPr>
            </w:pPr>
          </w:p>
        </w:tc>
        <w:tc>
          <w:tcPr>
            <w:tcW w:w="180" w:type="dxa"/>
            <w:vAlign w:val="bottom"/>
            <w:shd w:val="clear" w:color="auto" w:fill="62259D"/>
          </w:tcPr>
          <w:p>
            <w:pPr>
              <w:spacing w:after="0"/>
              <w:rPr>
                <w:sz w:val="17"/>
                <w:szCs w:val="17"/>
                <w:color w:val="auto"/>
              </w:rPr>
            </w:pPr>
          </w:p>
        </w:tc>
        <w:tc>
          <w:tcPr>
            <w:tcW w:w="2580" w:type="dxa"/>
            <w:vAlign w:val="bottom"/>
            <w:gridSpan w:val="3"/>
            <w:shd w:val="clear" w:color="auto" w:fill="62259D"/>
          </w:tcPr>
          <w:p>
            <w:pPr>
              <w:ind w:left="40"/>
              <w:spacing w:after="0"/>
              <w:rPr>
                <w:sz w:val="20"/>
                <w:szCs w:val="20"/>
                <w:color w:val="auto"/>
              </w:rPr>
            </w:pPr>
            <w:r>
              <w:rPr>
                <w:rFonts w:ascii="Arial" w:cs="Arial" w:eastAsia="Arial" w:hAnsi="Arial"/>
                <w:sz w:val="15"/>
                <w:szCs w:val="15"/>
                <w:b w:val="1"/>
                <w:bCs w:val="1"/>
                <w:color w:val="FEFEFE"/>
              </w:rPr>
              <w:t>Number of Shares Beneficially</w:t>
            </w:r>
          </w:p>
        </w:tc>
        <w:tc>
          <w:tcPr>
            <w:tcW w:w="300" w:type="dxa"/>
            <w:vAlign w:val="bottom"/>
            <w:shd w:val="clear" w:color="auto" w:fill="62259D"/>
          </w:tcPr>
          <w:p>
            <w:pPr>
              <w:spacing w:after="0"/>
              <w:rPr>
                <w:sz w:val="17"/>
                <w:szCs w:val="17"/>
                <w:color w:val="auto"/>
              </w:rPr>
            </w:pPr>
          </w:p>
        </w:tc>
        <w:tc>
          <w:tcPr>
            <w:tcW w:w="1160" w:type="dxa"/>
            <w:vAlign w:val="bottom"/>
            <w:shd w:val="clear" w:color="auto" w:fill="62259D"/>
          </w:tcPr>
          <w:p>
            <w:pPr>
              <w:spacing w:after="0"/>
              <w:rPr>
                <w:sz w:val="17"/>
                <w:szCs w:val="17"/>
                <w:color w:val="auto"/>
              </w:rPr>
            </w:pPr>
          </w:p>
        </w:tc>
        <w:tc>
          <w:tcPr>
            <w:tcW w:w="880" w:type="dxa"/>
            <w:vAlign w:val="bottom"/>
            <w:shd w:val="clear" w:color="auto" w:fill="62259D"/>
          </w:tcPr>
          <w:p>
            <w:pPr>
              <w:spacing w:after="0"/>
              <w:rPr>
                <w:sz w:val="17"/>
                <w:szCs w:val="17"/>
                <w:color w:val="auto"/>
              </w:rPr>
            </w:pPr>
          </w:p>
        </w:tc>
        <w:tc>
          <w:tcPr>
            <w:tcW w:w="500" w:type="dxa"/>
            <w:vAlign w:val="bottom"/>
            <w:shd w:val="clear" w:color="auto" w:fill="62259D"/>
          </w:tcPr>
          <w:p>
            <w:pPr>
              <w:spacing w:after="0"/>
              <w:rPr>
                <w:sz w:val="17"/>
                <w:szCs w:val="17"/>
                <w:color w:val="auto"/>
              </w:rPr>
            </w:pPr>
          </w:p>
        </w:tc>
      </w:tr>
      <w:tr>
        <w:trPr>
          <w:trHeight w:val="175"/>
        </w:trPr>
        <w:tc>
          <w:tcPr>
            <w:tcW w:w="2900" w:type="dxa"/>
            <w:vAlign w:val="bottom"/>
            <w:shd w:val="clear" w:color="auto" w:fill="62259D"/>
          </w:tcPr>
          <w:p>
            <w:pPr>
              <w:spacing w:after="0"/>
              <w:rPr>
                <w:sz w:val="15"/>
                <w:szCs w:val="15"/>
                <w:color w:val="auto"/>
              </w:rPr>
            </w:pPr>
          </w:p>
        </w:tc>
        <w:tc>
          <w:tcPr>
            <w:tcW w:w="360" w:type="dxa"/>
            <w:vAlign w:val="bottom"/>
            <w:shd w:val="clear" w:color="auto" w:fill="62259D"/>
          </w:tcPr>
          <w:p>
            <w:pPr>
              <w:spacing w:after="0"/>
              <w:rPr>
                <w:sz w:val="15"/>
                <w:szCs w:val="15"/>
                <w:color w:val="auto"/>
              </w:rPr>
            </w:pPr>
          </w:p>
        </w:tc>
        <w:tc>
          <w:tcPr>
            <w:tcW w:w="180" w:type="dxa"/>
            <w:vAlign w:val="bottom"/>
            <w:shd w:val="clear" w:color="auto" w:fill="62259D"/>
          </w:tcPr>
          <w:p>
            <w:pPr>
              <w:spacing w:after="0"/>
              <w:rPr>
                <w:sz w:val="15"/>
                <w:szCs w:val="15"/>
                <w:color w:val="auto"/>
              </w:rPr>
            </w:pPr>
          </w:p>
        </w:tc>
        <w:tc>
          <w:tcPr>
            <w:tcW w:w="940" w:type="dxa"/>
            <w:vAlign w:val="bottom"/>
            <w:shd w:val="clear" w:color="auto" w:fill="62259D"/>
          </w:tcPr>
          <w:p>
            <w:pPr>
              <w:spacing w:after="0"/>
              <w:rPr>
                <w:sz w:val="15"/>
                <w:szCs w:val="15"/>
                <w:color w:val="auto"/>
              </w:rPr>
            </w:pPr>
          </w:p>
        </w:tc>
        <w:tc>
          <w:tcPr>
            <w:tcW w:w="1120" w:type="dxa"/>
            <w:vAlign w:val="bottom"/>
            <w:shd w:val="clear" w:color="auto" w:fill="62259D"/>
          </w:tcPr>
          <w:p>
            <w:pPr>
              <w:jc w:val="right"/>
              <w:ind w:right="460"/>
              <w:spacing w:after="0"/>
              <w:rPr>
                <w:sz w:val="20"/>
                <w:szCs w:val="20"/>
                <w:color w:val="auto"/>
              </w:rPr>
            </w:pPr>
            <w:r>
              <w:rPr>
                <w:rFonts w:ascii="Arial" w:cs="Arial" w:eastAsia="Arial" w:hAnsi="Arial"/>
                <w:sz w:val="15"/>
                <w:szCs w:val="15"/>
                <w:b w:val="1"/>
                <w:bCs w:val="1"/>
                <w:color w:val="FEFEFE"/>
              </w:rPr>
              <w:t>Owned</w:t>
            </w:r>
          </w:p>
        </w:tc>
        <w:tc>
          <w:tcPr>
            <w:tcW w:w="520" w:type="dxa"/>
            <w:vAlign w:val="bottom"/>
            <w:shd w:val="clear" w:color="auto" w:fill="62259D"/>
          </w:tcPr>
          <w:p>
            <w:pPr>
              <w:spacing w:after="0"/>
              <w:rPr>
                <w:sz w:val="15"/>
                <w:szCs w:val="15"/>
                <w:color w:val="auto"/>
              </w:rPr>
            </w:pPr>
          </w:p>
        </w:tc>
        <w:tc>
          <w:tcPr>
            <w:tcW w:w="300" w:type="dxa"/>
            <w:vAlign w:val="bottom"/>
            <w:shd w:val="clear" w:color="auto" w:fill="62259D"/>
          </w:tcPr>
          <w:p>
            <w:pPr>
              <w:spacing w:after="0"/>
              <w:rPr>
                <w:sz w:val="15"/>
                <w:szCs w:val="15"/>
                <w:color w:val="auto"/>
              </w:rPr>
            </w:pPr>
          </w:p>
        </w:tc>
        <w:tc>
          <w:tcPr>
            <w:tcW w:w="2540" w:type="dxa"/>
            <w:vAlign w:val="bottom"/>
            <w:gridSpan w:val="3"/>
            <w:shd w:val="clear" w:color="auto" w:fill="62259D"/>
          </w:tcPr>
          <w:p>
            <w:pPr>
              <w:ind w:left="20"/>
              <w:spacing w:after="0"/>
              <w:rPr>
                <w:sz w:val="20"/>
                <w:szCs w:val="20"/>
                <w:color w:val="auto"/>
              </w:rPr>
            </w:pPr>
            <w:r>
              <w:rPr>
                <w:rFonts w:ascii="Arial" w:cs="Arial" w:eastAsia="Arial" w:hAnsi="Arial"/>
                <w:sz w:val="15"/>
                <w:szCs w:val="15"/>
                <w:b w:val="1"/>
                <w:bCs w:val="1"/>
                <w:color w:val="FEFEFE"/>
              </w:rPr>
              <w:t>Percentage of Common Stock</w:t>
            </w:r>
          </w:p>
        </w:tc>
      </w:tr>
      <w:tr>
        <w:trPr>
          <w:trHeight w:val="249"/>
        </w:trPr>
        <w:tc>
          <w:tcPr>
            <w:tcW w:w="2900" w:type="dxa"/>
            <w:vAlign w:val="bottom"/>
            <w:shd w:val="clear" w:color="auto" w:fill="62259D"/>
          </w:tcPr>
          <w:p>
            <w:pPr>
              <w:ind w:left="40"/>
              <w:spacing w:after="0" w:line="249" w:lineRule="exact"/>
              <w:rPr>
                <w:sz w:val="20"/>
                <w:szCs w:val="20"/>
                <w:color w:val="auto"/>
              </w:rPr>
            </w:pPr>
            <w:r>
              <w:rPr>
                <w:rFonts w:ascii="Arial" w:cs="Arial" w:eastAsia="Arial" w:hAnsi="Arial"/>
                <w:sz w:val="28"/>
                <w:szCs w:val="28"/>
                <w:b w:val="1"/>
                <w:bCs w:val="1"/>
                <w:color w:val="FEFEFE"/>
                <w:vertAlign w:val="subscript"/>
              </w:rPr>
              <w:t>​</w:t>
            </w:r>
            <w:r>
              <w:rPr>
                <w:rFonts w:ascii="Arial" w:cs="Arial" w:eastAsia="Arial" w:hAnsi="Arial"/>
                <w:sz w:val="15"/>
                <w:szCs w:val="15"/>
                <w:b w:val="1"/>
                <w:bCs w:val="1"/>
                <w:color w:val="FEFEFE"/>
              </w:rPr>
              <w:t>Name of Beneficial Owner</w:t>
            </w:r>
          </w:p>
        </w:tc>
        <w:tc>
          <w:tcPr>
            <w:tcW w:w="360" w:type="dxa"/>
            <w:vAlign w:val="bottom"/>
            <w:shd w:val="clear" w:color="auto" w:fill="62259D"/>
          </w:tcPr>
          <w:p>
            <w:pPr>
              <w:ind w:left="300"/>
              <w:spacing w:after="0"/>
              <w:rPr>
                <w:sz w:val="20"/>
                <w:szCs w:val="20"/>
                <w:color w:val="auto"/>
              </w:rPr>
            </w:pPr>
            <w:r>
              <w:rPr>
                <w:rFonts w:ascii="Arial" w:cs="Arial" w:eastAsia="Arial" w:hAnsi="Arial"/>
                <w:sz w:val="15"/>
                <w:szCs w:val="15"/>
                <w:b w:val="1"/>
                <w:bCs w:val="1"/>
                <w:color w:val="FEFEFE"/>
              </w:rPr>
              <w:t>​</w:t>
            </w:r>
          </w:p>
        </w:tc>
        <w:tc>
          <w:tcPr>
            <w:tcW w:w="180" w:type="dxa"/>
            <w:vAlign w:val="bottom"/>
            <w:shd w:val="clear" w:color="auto" w:fill="62259D"/>
          </w:tcPr>
          <w:p>
            <w:pPr>
              <w:ind w:left="120"/>
              <w:spacing w:after="0"/>
              <w:rPr>
                <w:sz w:val="20"/>
                <w:szCs w:val="20"/>
                <w:color w:val="auto"/>
              </w:rPr>
            </w:pPr>
            <w:r>
              <w:rPr>
                <w:rFonts w:ascii="Arial" w:cs="Arial" w:eastAsia="Arial" w:hAnsi="Arial"/>
                <w:sz w:val="15"/>
                <w:szCs w:val="15"/>
                <w:b w:val="1"/>
                <w:bCs w:val="1"/>
                <w:color w:val="FEFEFE"/>
              </w:rPr>
              <w:t>​</w:t>
            </w:r>
          </w:p>
        </w:tc>
        <w:tc>
          <w:tcPr>
            <w:tcW w:w="940" w:type="dxa"/>
            <w:vAlign w:val="bottom"/>
            <w:shd w:val="clear" w:color="auto" w:fill="62259D"/>
          </w:tcPr>
          <w:p>
            <w:pPr>
              <w:spacing w:after="0"/>
              <w:rPr>
                <w:sz w:val="21"/>
                <w:szCs w:val="21"/>
                <w:color w:val="auto"/>
              </w:rPr>
            </w:pPr>
          </w:p>
        </w:tc>
        <w:tc>
          <w:tcPr>
            <w:tcW w:w="1120" w:type="dxa"/>
            <w:vAlign w:val="bottom"/>
            <w:shd w:val="clear" w:color="auto" w:fill="62259D"/>
          </w:tcPr>
          <w:p>
            <w:pPr>
              <w:jc w:val="right"/>
              <w:ind w:right="600"/>
              <w:spacing w:after="0"/>
              <w:rPr>
                <w:sz w:val="20"/>
                <w:szCs w:val="20"/>
                <w:color w:val="auto"/>
              </w:rPr>
            </w:pPr>
            <w:r>
              <w:rPr>
                <w:rFonts w:ascii="Arial" w:cs="Arial" w:eastAsia="Arial" w:hAnsi="Arial"/>
                <w:sz w:val="15"/>
                <w:szCs w:val="15"/>
                <w:b w:val="1"/>
                <w:bCs w:val="1"/>
                <w:color w:val="FEFEFE"/>
              </w:rPr>
              <w:t>(#)</w:t>
            </w:r>
          </w:p>
        </w:tc>
        <w:tc>
          <w:tcPr>
            <w:tcW w:w="520" w:type="dxa"/>
            <w:vAlign w:val="bottom"/>
            <w:shd w:val="clear" w:color="auto" w:fill="62259D"/>
          </w:tcPr>
          <w:p>
            <w:pPr>
              <w:spacing w:after="0"/>
              <w:rPr>
                <w:sz w:val="21"/>
                <w:szCs w:val="21"/>
                <w:color w:val="auto"/>
              </w:rPr>
            </w:pPr>
          </w:p>
        </w:tc>
        <w:tc>
          <w:tcPr>
            <w:tcW w:w="300" w:type="dxa"/>
            <w:vAlign w:val="bottom"/>
            <w:shd w:val="clear" w:color="auto" w:fill="62259D"/>
          </w:tcPr>
          <w:p>
            <w:pPr>
              <w:jc w:val="center"/>
              <w:spacing w:after="0"/>
              <w:rPr>
                <w:sz w:val="20"/>
                <w:szCs w:val="20"/>
                <w:color w:val="auto"/>
              </w:rPr>
            </w:pPr>
            <w:r>
              <w:rPr>
                <w:rFonts w:ascii="Arial" w:cs="Arial" w:eastAsia="Arial" w:hAnsi="Arial"/>
                <w:sz w:val="15"/>
                <w:szCs w:val="15"/>
                <w:b w:val="1"/>
                <w:bCs w:val="1"/>
                <w:color w:val="FEFEFE"/>
              </w:rPr>
              <w:t>​  ​</w:t>
            </w:r>
          </w:p>
        </w:tc>
        <w:tc>
          <w:tcPr>
            <w:tcW w:w="2040" w:type="dxa"/>
            <w:vAlign w:val="bottom"/>
            <w:gridSpan w:val="2"/>
            <w:shd w:val="clear" w:color="auto" w:fill="62259D"/>
          </w:tcPr>
          <w:p>
            <w:pPr>
              <w:ind w:left="740"/>
              <w:spacing w:after="0"/>
              <w:rPr>
                <w:sz w:val="20"/>
                <w:szCs w:val="20"/>
                <w:color w:val="auto"/>
              </w:rPr>
            </w:pPr>
            <w:r>
              <w:rPr>
                <w:rFonts w:ascii="Arial" w:cs="Arial" w:eastAsia="Arial" w:hAnsi="Arial"/>
                <w:sz w:val="15"/>
                <w:szCs w:val="15"/>
                <w:b w:val="1"/>
                <w:bCs w:val="1"/>
                <w:color w:val="FEFEFE"/>
              </w:rPr>
              <w:t>Outstanding</w:t>
            </w:r>
          </w:p>
        </w:tc>
        <w:tc>
          <w:tcPr>
            <w:tcW w:w="500" w:type="dxa"/>
            <w:vAlign w:val="bottom"/>
            <w:shd w:val="clear" w:color="auto" w:fill="62259D"/>
          </w:tcPr>
          <w:p>
            <w:pPr>
              <w:ind w:left="460"/>
              <w:spacing w:after="0"/>
              <w:rPr>
                <w:sz w:val="20"/>
                <w:szCs w:val="20"/>
                <w:color w:val="auto"/>
              </w:rPr>
            </w:pPr>
            <w:r>
              <w:rPr>
                <w:rFonts w:ascii="Arial" w:cs="Arial" w:eastAsia="Arial" w:hAnsi="Arial"/>
                <w:sz w:val="15"/>
                <w:szCs w:val="15"/>
                <w:b w:val="1"/>
                <w:bCs w:val="1"/>
                <w:color w:val="FEFEFE"/>
              </w:rPr>
              <w:t>​</w:t>
            </w:r>
          </w:p>
        </w:tc>
      </w:tr>
      <w:tr>
        <w:trPr>
          <w:trHeight w:val="257"/>
        </w:trPr>
        <w:tc>
          <w:tcPr>
            <w:tcW w:w="2900" w:type="dxa"/>
            <w:vAlign w:val="bottom"/>
            <w:tcBorders>
              <w:bottom w:val="single" w:sz="8" w:color="E7417A"/>
            </w:tcBorders>
            <w:shd w:val="clear" w:color="auto" w:fill="F2F2F2"/>
          </w:tcPr>
          <w:p>
            <w:pPr>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5"/>
                <w:szCs w:val="15"/>
                <w:b w:val="1"/>
                <w:bCs w:val="1"/>
                <w:color w:val="auto"/>
              </w:rPr>
              <w:t xml:space="preserve"> NEOs</w:t>
            </w:r>
          </w:p>
        </w:tc>
        <w:tc>
          <w:tcPr>
            <w:tcW w:w="360" w:type="dxa"/>
            <w:vAlign w:val="bottom"/>
            <w:tcBorders>
              <w:bottom w:val="single" w:sz="8" w:color="E7417A"/>
            </w:tcBorders>
            <w:shd w:val="clear" w:color="auto" w:fill="F2F2F2"/>
          </w:tcPr>
          <w:p>
            <w:pPr>
              <w:ind w:left="20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7417A"/>
            </w:tcBorders>
            <w:shd w:val="clear" w:color="auto" w:fill="F2F2F2"/>
          </w:tcPr>
          <w:p>
            <w:pPr>
              <w:ind w:left="820"/>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E7417A"/>
            </w:tcBorders>
            <w:shd w:val="clear" w:color="auto" w:fill="F2F2F2"/>
          </w:tcPr>
          <w:p>
            <w:pPr>
              <w:jc w:val="right"/>
              <w:ind w:right="280"/>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E7417A"/>
            </w:tcBorders>
            <w:shd w:val="clear" w:color="auto" w:fill="F2F2F2"/>
          </w:tcPr>
          <w:p>
            <w:pPr>
              <w:ind w:left="380"/>
              <w:spacing w:after="0"/>
              <w:rPr>
                <w:sz w:val="20"/>
                <w:szCs w:val="20"/>
                <w:color w:val="auto"/>
              </w:rPr>
            </w:pPr>
            <w:r>
              <w:rPr>
                <w:rFonts w:ascii="Arial" w:cs="Arial" w:eastAsia="Arial" w:hAnsi="Arial"/>
                <w:sz w:val="16"/>
                <w:szCs w:val="16"/>
                <w:b w:val="1"/>
                <w:bCs w:val="1"/>
                <w:color w:val="auto"/>
              </w:rPr>
              <w:t>​ ​</w:t>
            </w:r>
          </w:p>
        </w:tc>
        <w:tc>
          <w:tcPr>
            <w:tcW w:w="30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E7417A"/>
            </w:tcBorders>
            <w:shd w:val="clear" w:color="auto" w:fill="F2F2F2"/>
          </w:tcPr>
          <w:p>
            <w:pPr>
              <w:ind w:left="100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E7417A"/>
            </w:tcBorders>
            <w:shd w:val="clear" w:color="auto" w:fill="F2F2F2"/>
          </w:tcPr>
          <w:p>
            <w:pPr>
              <w:jc w:val="right"/>
              <w:ind w:right="51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E7417A"/>
            </w:tcBorders>
            <w:shd w:val="clear" w:color="auto" w:fill="F2F2F2"/>
          </w:tcPr>
          <w:p>
            <w:pPr>
              <w:ind w:left="340"/>
              <w:spacing w:after="0"/>
              <w:rPr>
                <w:sz w:val="20"/>
                <w:szCs w:val="20"/>
                <w:color w:val="auto"/>
              </w:rPr>
            </w:pPr>
            <w:r>
              <w:rPr>
                <w:rFonts w:ascii="Arial" w:cs="Arial" w:eastAsia="Arial" w:hAnsi="Arial"/>
                <w:sz w:val="16"/>
                <w:szCs w:val="16"/>
                <w:b w:val="1"/>
                <w:bCs w:val="1"/>
                <w:color w:val="auto"/>
              </w:rPr>
              <w:t>​​</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Bruce McClelland</w:t>
            </w:r>
            <w:r>
              <w:rPr>
                <w:rFonts w:ascii="Arial" w:cs="Arial" w:eastAsia="Arial" w:hAnsi="Arial"/>
                <w:sz w:val="17"/>
                <w:szCs w:val="17"/>
                <w:color w:val="auto"/>
                <w:vertAlign w:val="superscript"/>
              </w:rPr>
              <w:t>(1)</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E7417A"/>
            </w:tcBorders>
            <w:gridSpan w:val="2"/>
          </w:tcPr>
          <w:p>
            <w:pPr>
              <w:ind w:left="8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​1,565,224</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Miguel Lopez</w:t>
            </w:r>
            <w:r>
              <w:rPr>
                <w:rFonts w:ascii="Arial" w:cs="Arial" w:eastAsia="Arial" w:hAnsi="Arial"/>
                <w:sz w:val="17"/>
                <w:szCs w:val="17"/>
                <w:color w:val="auto"/>
                <w:vertAlign w:val="superscript"/>
              </w:rPr>
              <w:t>(2)</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12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406,908</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Sam Bucci</w:t>
            </w:r>
            <w:r>
              <w:rPr>
                <w:rFonts w:ascii="Arial" w:cs="Arial" w:eastAsia="Arial" w:hAnsi="Arial"/>
                <w:sz w:val="17"/>
                <w:szCs w:val="17"/>
                <w:color w:val="auto"/>
                <w:vertAlign w:val="superscript"/>
              </w:rPr>
              <w:t>(3)</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12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493,161</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Patrick Macken</w:t>
            </w:r>
            <w:r>
              <w:rPr>
                <w:rFonts w:ascii="Arial" w:cs="Arial" w:eastAsia="Arial" w:hAnsi="Arial"/>
                <w:sz w:val="17"/>
                <w:szCs w:val="17"/>
                <w:color w:val="auto"/>
                <w:vertAlign w:val="superscript"/>
              </w:rPr>
              <w:t>(4)</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12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371,054</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Dan Redington</w:t>
            </w:r>
            <w:r>
              <w:rPr>
                <w:rFonts w:ascii="Arial" w:cs="Arial" w:eastAsia="Arial" w:hAnsi="Arial"/>
                <w:sz w:val="17"/>
                <w:szCs w:val="17"/>
                <w:color w:val="auto"/>
                <w:vertAlign w:val="superscript"/>
              </w:rPr>
              <w:t>(5)</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12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200,687</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John Townsend</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12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0</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7417A"/>
            </w:tcBorders>
          </w:tcPr>
          <w:p>
            <w:pPr>
              <w:jc w:val="right"/>
              <w:ind w:right="5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shd w:val="clear" w:color="auto" w:fill="F2F2F2"/>
          </w:tcPr>
          <w:p>
            <w:pPr>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 xml:space="preserve"> Directors</w:t>
            </w:r>
          </w:p>
        </w:tc>
        <w:tc>
          <w:tcPr>
            <w:tcW w:w="360" w:type="dxa"/>
            <w:vAlign w:val="bottom"/>
            <w:tcBorders>
              <w:bottom w:val="single" w:sz="8" w:color="E7417A"/>
            </w:tcBorders>
            <w:shd w:val="clear" w:color="auto" w:fill="F2F2F2"/>
          </w:tcPr>
          <w:p>
            <w:pPr>
              <w:ind w:left="20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7417A"/>
            </w:tcBorders>
            <w:shd w:val="clear" w:color="auto" w:fill="F2F2F2"/>
          </w:tcPr>
          <w:p>
            <w:pPr>
              <w:ind w:left="820"/>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E7417A"/>
            </w:tcBorders>
            <w:shd w:val="clear" w:color="auto" w:fill="F2F2F2"/>
          </w:tcPr>
          <w:p>
            <w:pPr>
              <w:jc w:val="right"/>
              <w:ind w:right="280"/>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E7417A"/>
            </w:tcBorders>
            <w:shd w:val="clear" w:color="auto" w:fill="F2F2F2"/>
          </w:tcPr>
          <w:p>
            <w:pPr>
              <w:ind w:left="380"/>
              <w:spacing w:after="0"/>
              <w:rPr>
                <w:sz w:val="20"/>
                <w:szCs w:val="20"/>
                <w:color w:val="auto"/>
              </w:rPr>
            </w:pPr>
            <w:r>
              <w:rPr>
                <w:rFonts w:ascii="Arial" w:cs="Arial" w:eastAsia="Arial" w:hAnsi="Arial"/>
                <w:sz w:val="16"/>
                <w:szCs w:val="16"/>
                <w:b w:val="1"/>
                <w:bCs w:val="1"/>
                <w:color w:val="auto"/>
              </w:rPr>
              <w:t>​ ​</w:t>
            </w:r>
          </w:p>
        </w:tc>
        <w:tc>
          <w:tcPr>
            <w:tcW w:w="30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E7417A"/>
            </w:tcBorders>
            <w:shd w:val="clear" w:color="auto" w:fill="F2F2F2"/>
          </w:tcPr>
          <w:p>
            <w:pPr>
              <w:ind w:left="100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E7417A"/>
            </w:tcBorders>
            <w:shd w:val="clear" w:color="auto" w:fill="F2F2F2"/>
          </w:tcPr>
          <w:p>
            <w:pPr>
              <w:jc w:val="right"/>
              <w:ind w:right="51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E7417A"/>
            </w:tcBorders>
            <w:shd w:val="clear" w:color="auto" w:fill="F2F2F2"/>
          </w:tcPr>
          <w:p>
            <w:pPr>
              <w:ind w:left="340"/>
              <w:spacing w:after="0"/>
              <w:rPr>
                <w:sz w:val="20"/>
                <w:szCs w:val="20"/>
                <w:color w:val="auto"/>
              </w:rPr>
            </w:pPr>
            <w:r>
              <w:rPr>
                <w:rFonts w:ascii="Arial" w:cs="Arial" w:eastAsia="Arial" w:hAnsi="Arial"/>
                <w:sz w:val="16"/>
                <w:szCs w:val="16"/>
                <w:b w:val="1"/>
                <w:bCs w:val="1"/>
                <w:color w:val="auto"/>
              </w:rPr>
              <w:t>​​</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R. Stewart Ewing, Jr.</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12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149,206</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Bruns H. Grayson</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12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681,439</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Beatriz V. Infante</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12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303,549</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Scott Mair</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12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92,273</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Shaul Shani</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12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105,346</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Richard W. Smith</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12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0</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Tanya Tamone</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12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132,435</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193"/>
        </w:trPr>
        <w:tc>
          <w:tcPr>
            <w:tcW w:w="2900" w:type="dxa"/>
            <w:vAlign w:val="bottom"/>
            <w:shd w:val="clear" w:color="auto" w:fill="F2F2F2"/>
          </w:tcPr>
          <w:p>
            <w:pPr>
              <w:ind w:left="80"/>
              <w:spacing w:after="0"/>
              <w:rPr>
                <w:sz w:val="20"/>
                <w:szCs w:val="20"/>
                <w:color w:val="auto"/>
              </w:rPr>
            </w:pPr>
            <w:r>
              <w:rPr>
                <w:rFonts w:ascii="Arial" w:cs="Arial" w:eastAsia="Arial" w:hAnsi="Arial"/>
                <w:sz w:val="16"/>
                <w:szCs w:val="16"/>
                <w:color w:val="auto"/>
              </w:rPr>
              <w:t>All current executive officers and</w:t>
            </w:r>
          </w:p>
        </w:tc>
        <w:tc>
          <w:tcPr>
            <w:tcW w:w="360" w:type="dxa"/>
            <w:vAlign w:val="bottom"/>
            <w:shd w:val="clear" w:color="auto" w:fill="F2F2F2"/>
          </w:tcPr>
          <w:p>
            <w:pPr>
              <w:spacing w:after="0"/>
              <w:rPr>
                <w:sz w:val="16"/>
                <w:szCs w:val="16"/>
                <w:color w:val="auto"/>
              </w:rPr>
            </w:pPr>
          </w:p>
        </w:tc>
        <w:tc>
          <w:tcPr>
            <w:tcW w:w="180" w:type="dxa"/>
            <w:vAlign w:val="bottom"/>
            <w:shd w:val="clear" w:color="auto" w:fill="F2F2F2"/>
          </w:tcPr>
          <w:p>
            <w:pPr>
              <w:spacing w:after="0"/>
              <w:rPr>
                <w:sz w:val="16"/>
                <w:szCs w:val="16"/>
                <w:color w:val="auto"/>
              </w:rPr>
            </w:pPr>
          </w:p>
        </w:tc>
        <w:tc>
          <w:tcPr>
            <w:tcW w:w="940" w:type="dxa"/>
            <w:vAlign w:val="bottom"/>
            <w:shd w:val="clear" w:color="auto" w:fill="F2F2F2"/>
          </w:tcPr>
          <w:p>
            <w:pPr>
              <w:spacing w:after="0"/>
              <w:rPr>
                <w:sz w:val="16"/>
                <w:szCs w:val="16"/>
                <w:color w:val="auto"/>
              </w:rPr>
            </w:pPr>
          </w:p>
        </w:tc>
        <w:tc>
          <w:tcPr>
            <w:tcW w:w="1120" w:type="dxa"/>
            <w:vAlign w:val="bottom"/>
            <w:shd w:val="clear" w:color="auto" w:fill="F2F2F2"/>
          </w:tcPr>
          <w:p>
            <w:pPr>
              <w:spacing w:after="0"/>
              <w:rPr>
                <w:sz w:val="16"/>
                <w:szCs w:val="16"/>
                <w:color w:val="auto"/>
              </w:rPr>
            </w:pPr>
          </w:p>
        </w:tc>
        <w:tc>
          <w:tcPr>
            <w:tcW w:w="520" w:type="dxa"/>
            <w:vAlign w:val="bottom"/>
            <w:shd w:val="clear" w:color="auto" w:fill="F2F2F2"/>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160" w:type="dxa"/>
            <w:vAlign w:val="bottom"/>
            <w:shd w:val="clear" w:color="auto" w:fill="F2F2F2"/>
          </w:tcPr>
          <w:p>
            <w:pPr>
              <w:spacing w:after="0"/>
              <w:rPr>
                <w:sz w:val="16"/>
                <w:szCs w:val="16"/>
                <w:color w:val="auto"/>
              </w:rPr>
            </w:pPr>
          </w:p>
        </w:tc>
        <w:tc>
          <w:tcPr>
            <w:tcW w:w="880" w:type="dxa"/>
            <w:vAlign w:val="bottom"/>
            <w:shd w:val="clear" w:color="auto" w:fill="F2F2F2"/>
          </w:tcPr>
          <w:p>
            <w:pPr>
              <w:spacing w:after="0"/>
              <w:rPr>
                <w:sz w:val="16"/>
                <w:szCs w:val="16"/>
                <w:color w:val="auto"/>
              </w:rPr>
            </w:pPr>
          </w:p>
        </w:tc>
        <w:tc>
          <w:tcPr>
            <w:tcW w:w="500" w:type="dxa"/>
            <w:vAlign w:val="bottom"/>
            <w:shd w:val="clear" w:color="auto" w:fill="F2F2F2"/>
          </w:tcPr>
          <w:p>
            <w:pPr>
              <w:spacing w:after="0"/>
              <w:rPr>
                <w:sz w:val="16"/>
                <w:szCs w:val="16"/>
                <w:color w:val="auto"/>
              </w:rPr>
            </w:pPr>
          </w:p>
        </w:tc>
      </w:tr>
      <w:tr>
        <w:trPr>
          <w:trHeight w:val="273"/>
        </w:trPr>
        <w:tc>
          <w:tcPr>
            <w:tcW w:w="2900" w:type="dxa"/>
            <w:vAlign w:val="bottom"/>
            <w:tcBorders>
              <w:bottom w:val="single" w:sz="8" w:color="62259D"/>
            </w:tcBorders>
            <w:shd w:val="clear" w:color="auto" w:fill="F2F2F2"/>
          </w:tcPr>
          <w:p>
            <w:pPr>
              <w:spacing w:after="0" w:line="272"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 xml:space="preserve"> directors as a group (12 persons)</w:t>
            </w:r>
            <w:r>
              <w:rPr>
                <w:rFonts w:ascii="Arial" w:cs="Arial" w:eastAsia="Arial" w:hAnsi="Arial"/>
                <w:sz w:val="19"/>
                <w:szCs w:val="19"/>
                <w:color w:val="auto"/>
                <w:vertAlign w:val="superscript"/>
              </w:rPr>
              <w:t>(6)</w:t>
            </w:r>
          </w:p>
        </w:tc>
        <w:tc>
          <w:tcPr>
            <w:tcW w:w="360" w:type="dxa"/>
            <w:vAlign w:val="bottom"/>
            <w:tcBorders>
              <w:bottom w:val="single" w:sz="8" w:color="62259D"/>
            </w:tcBorders>
            <w:shd w:val="clear" w:color="auto" w:fill="F2F2F2"/>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62259D"/>
            </w:tcBorders>
            <w:shd w:val="clear" w:color="auto" w:fill="F2F2F2"/>
          </w:tcPr>
          <w:p>
            <w:pPr>
              <w:ind w:left="2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62259D"/>
            </w:tcBorders>
            <w:gridSpan w:val="2"/>
            <w:shd w:val="clear" w:color="auto" w:fill="F2F2F2"/>
          </w:tcPr>
          <w:p>
            <w:pPr>
              <w:ind w:left="820"/>
              <w:spacing w:after="0" w:line="272"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​4,094,374</w:t>
            </w:r>
          </w:p>
        </w:tc>
        <w:tc>
          <w:tcPr>
            <w:tcW w:w="520" w:type="dxa"/>
            <w:vAlign w:val="bottom"/>
            <w:tcBorders>
              <w:bottom w:val="single" w:sz="8" w:color="62259D"/>
            </w:tcBorders>
            <w:shd w:val="clear" w:color="auto" w:fill="F2F2F2"/>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62259D"/>
            </w:tcBorders>
            <w:shd w:val="clear" w:color="auto" w:fill="F2F2F2"/>
          </w:tcPr>
          <w:p>
            <w:pPr>
              <w:jc w:val="center"/>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62259D"/>
            </w:tcBorders>
            <w:gridSpan w:val="2"/>
            <w:shd w:val="clear" w:color="auto" w:fill="F2F2F2"/>
          </w:tcPr>
          <w:p>
            <w:pPr>
              <w:ind w:left="1000"/>
              <w:spacing w:after="0" w:line="272"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​1.72%</w:t>
            </w:r>
          </w:p>
        </w:tc>
        <w:tc>
          <w:tcPr>
            <w:tcW w:w="500" w:type="dxa"/>
            <w:vAlign w:val="bottom"/>
            <w:tcBorders>
              <w:bottom w:val="single" w:sz="8" w:color="62259D"/>
            </w:tcBorders>
            <w:shd w:val="clear" w:color="auto" w:fill="F2F2F2"/>
          </w:tcPr>
          <w:p>
            <w:pPr>
              <w:ind w:left="340"/>
              <w:spacing w:after="0"/>
              <w:rPr>
                <w:sz w:val="20"/>
                <w:szCs w:val="20"/>
                <w:color w:val="auto"/>
              </w:rPr>
            </w:pPr>
            <w:r>
              <w:rPr>
                <w:rFonts w:ascii="Arial" w:cs="Arial" w:eastAsia="Arial" w:hAnsi="Arial"/>
                <w:sz w:val="16"/>
                <w:szCs w:val="16"/>
                <w:color w:val="auto"/>
              </w:rPr>
              <w:t>​ ​</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9166BA"/>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9166BA"/>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73" w:lineRule="exact"/>
        <w:rPr>
          <w:sz w:val="20"/>
          <w:szCs w:val="20"/>
          <w:color w:val="auto"/>
        </w:rPr>
      </w:pPr>
    </w:p>
    <w:tbl>
      <w:tblPr>
        <w:tblLayout w:type="fixed"/>
        <w:tblInd w:w="920" w:type="dxa"/>
        <w:tblCellMar>
          <w:top w:w="0" w:type="dxa"/>
          <w:left w:w="0" w:type="dxa"/>
          <w:bottom w:w="0" w:type="dxa"/>
          <w:right w:w="0" w:type="dxa"/>
        </w:tblCellMar>
      </w:tblPr>
      <w:tr>
        <w:trPr>
          <w:trHeight w:val="197"/>
        </w:trPr>
        <w:tc>
          <w:tcPr>
            <w:tcW w:w="3000" w:type="dxa"/>
            <w:vAlign w:val="bottom"/>
            <w:shd w:val="clear" w:color="auto" w:fill="62259D"/>
          </w:tcPr>
          <w:p>
            <w:pPr>
              <w:spacing w:after="0"/>
              <w:rPr>
                <w:sz w:val="17"/>
                <w:szCs w:val="17"/>
                <w:color w:val="auto"/>
              </w:rPr>
            </w:pPr>
          </w:p>
        </w:tc>
        <w:tc>
          <w:tcPr>
            <w:tcW w:w="260" w:type="dxa"/>
            <w:vAlign w:val="bottom"/>
            <w:shd w:val="clear" w:color="auto" w:fill="62259D"/>
          </w:tcPr>
          <w:p>
            <w:pPr>
              <w:spacing w:after="0"/>
              <w:rPr>
                <w:sz w:val="17"/>
                <w:szCs w:val="17"/>
                <w:color w:val="auto"/>
              </w:rPr>
            </w:pPr>
          </w:p>
        </w:tc>
        <w:tc>
          <w:tcPr>
            <w:tcW w:w="180" w:type="dxa"/>
            <w:vAlign w:val="bottom"/>
            <w:shd w:val="clear" w:color="auto" w:fill="62259D"/>
          </w:tcPr>
          <w:p>
            <w:pPr>
              <w:spacing w:after="0"/>
              <w:rPr>
                <w:sz w:val="17"/>
                <w:szCs w:val="17"/>
                <w:color w:val="auto"/>
              </w:rPr>
            </w:pPr>
          </w:p>
        </w:tc>
        <w:tc>
          <w:tcPr>
            <w:tcW w:w="2580" w:type="dxa"/>
            <w:vAlign w:val="bottom"/>
            <w:gridSpan w:val="3"/>
            <w:shd w:val="clear" w:color="auto" w:fill="62259D"/>
          </w:tcPr>
          <w:p>
            <w:pPr>
              <w:jc w:val="center"/>
              <w:spacing w:after="0"/>
              <w:rPr>
                <w:sz w:val="20"/>
                <w:szCs w:val="20"/>
                <w:color w:val="auto"/>
              </w:rPr>
            </w:pPr>
            <w:r>
              <w:rPr>
                <w:rFonts w:ascii="Arial" w:cs="Arial" w:eastAsia="Arial" w:hAnsi="Arial"/>
                <w:sz w:val="15"/>
                <w:szCs w:val="15"/>
                <w:b w:val="1"/>
                <w:bCs w:val="1"/>
                <w:color w:val="FEFEFE"/>
              </w:rPr>
              <w:t>Number of Shares Beneficially</w:t>
            </w:r>
          </w:p>
        </w:tc>
        <w:tc>
          <w:tcPr>
            <w:tcW w:w="300" w:type="dxa"/>
            <w:vAlign w:val="bottom"/>
            <w:shd w:val="clear" w:color="auto" w:fill="62259D"/>
          </w:tcPr>
          <w:p>
            <w:pPr>
              <w:spacing w:after="0"/>
              <w:rPr>
                <w:sz w:val="17"/>
                <w:szCs w:val="17"/>
                <w:color w:val="auto"/>
              </w:rPr>
            </w:pPr>
          </w:p>
        </w:tc>
        <w:tc>
          <w:tcPr>
            <w:tcW w:w="1240" w:type="dxa"/>
            <w:vAlign w:val="bottom"/>
            <w:shd w:val="clear" w:color="auto" w:fill="62259D"/>
          </w:tcPr>
          <w:p>
            <w:pPr>
              <w:spacing w:after="0"/>
              <w:rPr>
                <w:sz w:val="17"/>
                <w:szCs w:val="17"/>
                <w:color w:val="auto"/>
              </w:rPr>
            </w:pPr>
          </w:p>
        </w:tc>
        <w:tc>
          <w:tcPr>
            <w:tcW w:w="800" w:type="dxa"/>
            <w:vAlign w:val="bottom"/>
            <w:shd w:val="clear" w:color="auto" w:fill="62259D"/>
          </w:tcPr>
          <w:p>
            <w:pPr>
              <w:spacing w:after="0"/>
              <w:rPr>
                <w:sz w:val="17"/>
                <w:szCs w:val="17"/>
                <w:color w:val="auto"/>
              </w:rPr>
            </w:pPr>
          </w:p>
        </w:tc>
        <w:tc>
          <w:tcPr>
            <w:tcW w:w="500" w:type="dxa"/>
            <w:vAlign w:val="bottom"/>
            <w:shd w:val="clear" w:color="auto" w:fill="62259D"/>
          </w:tcPr>
          <w:p>
            <w:pPr>
              <w:spacing w:after="0"/>
              <w:rPr>
                <w:sz w:val="17"/>
                <w:szCs w:val="17"/>
                <w:color w:val="auto"/>
              </w:rPr>
            </w:pPr>
          </w:p>
        </w:tc>
      </w:tr>
      <w:tr>
        <w:trPr>
          <w:trHeight w:val="175"/>
        </w:trPr>
        <w:tc>
          <w:tcPr>
            <w:tcW w:w="3000" w:type="dxa"/>
            <w:vAlign w:val="bottom"/>
            <w:shd w:val="clear" w:color="auto" w:fill="62259D"/>
          </w:tcPr>
          <w:p>
            <w:pPr>
              <w:spacing w:after="0"/>
              <w:rPr>
                <w:sz w:val="15"/>
                <w:szCs w:val="15"/>
                <w:color w:val="auto"/>
              </w:rPr>
            </w:pPr>
          </w:p>
        </w:tc>
        <w:tc>
          <w:tcPr>
            <w:tcW w:w="260" w:type="dxa"/>
            <w:vAlign w:val="bottom"/>
            <w:shd w:val="clear" w:color="auto" w:fill="62259D"/>
          </w:tcPr>
          <w:p>
            <w:pPr>
              <w:spacing w:after="0"/>
              <w:rPr>
                <w:sz w:val="15"/>
                <w:szCs w:val="15"/>
                <w:color w:val="auto"/>
              </w:rPr>
            </w:pPr>
          </w:p>
        </w:tc>
        <w:tc>
          <w:tcPr>
            <w:tcW w:w="180" w:type="dxa"/>
            <w:vAlign w:val="bottom"/>
            <w:shd w:val="clear" w:color="auto" w:fill="62259D"/>
          </w:tcPr>
          <w:p>
            <w:pPr>
              <w:spacing w:after="0"/>
              <w:rPr>
                <w:sz w:val="15"/>
                <w:szCs w:val="15"/>
                <w:color w:val="auto"/>
              </w:rPr>
            </w:pPr>
          </w:p>
        </w:tc>
        <w:tc>
          <w:tcPr>
            <w:tcW w:w="920" w:type="dxa"/>
            <w:vAlign w:val="bottom"/>
            <w:shd w:val="clear" w:color="auto" w:fill="62259D"/>
          </w:tcPr>
          <w:p>
            <w:pPr>
              <w:spacing w:after="0"/>
              <w:rPr>
                <w:sz w:val="15"/>
                <w:szCs w:val="15"/>
                <w:color w:val="auto"/>
              </w:rPr>
            </w:pPr>
          </w:p>
        </w:tc>
        <w:tc>
          <w:tcPr>
            <w:tcW w:w="1180" w:type="dxa"/>
            <w:vAlign w:val="bottom"/>
            <w:shd w:val="clear" w:color="auto" w:fill="62259D"/>
          </w:tcPr>
          <w:p>
            <w:pPr>
              <w:jc w:val="center"/>
              <w:ind w:right="441"/>
              <w:spacing w:after="0"/>
              <w:rPr>
                <w:sz w:val="20"/>
                <w:szCs w:val="20"/>
                <w:color w:val="auto"/>
              </w:rPr>
            </w:pPr>
            <w:r>
              <w:rPr>
                <w:rFonts w:ascii="Arial" w:cs="Arial" w:eastAsia="Arial" w:hAnsi="Arial"/>
                <w:sz w:val="15"/>
                <w:szCs w:val="15"/>
                <w:b w:val="1"/>
                <w:bCs w:val="1"/>
                <w:color w:val="FEFEFE"/>
              </w:rPr>
              <w:t>Owned</w:t>
            </w:r>
          </w:p>
        </w:tc>
        <w:tc>
          <w:tcPr>
            <w:tcW w:w="480" w:type="dxa"/>
            <w:vAlign w:val="bottom"/>
            <w:shd w:val="clear" w:color="auto" w:fill="62259D"/>
          </w:tcPr>
          <w:p>
            <w:pPr>
              <w:spacing w:after="0"/>
              <w:rPr>
                <w:sz w:val="15"/>
                <w:szCs w:val="15"/>
                <w:color w:val="auto"/>
              </w:rPr>
            </w:pPr>
          </w:p>
        </w:tc>
        <w:tc>
          <w:tcPr>
            <w:tcW w:w="300" w:type="dxa"/>
            <w:vAlign w:val="bottom"/>
            <w:shd w:val="clear" w:color="auto" w:fill="62259D"/>
          </w:tcPr>
          <w:p>
            <w:pPr>
              <w:spacing w:after="0"/>
              <w:rPr>
                <w:sz w:val="15"/>
                <w:szCs w:val="15"/>
                <w:color w:val="auto"/>
              </w:rPr>
            </w:pPr>
          </w:p>
        </w:tc>
        <w:tc>
          <w:tcPr>
            <w:tcW w:w="2540" w:type="dxa"/>
            <w:vAlign w:val="bottom"/>
            <w:gridSpan w:val="3"/>
            <w:shd w:val="clear" w:color="auto" w:fill="62259D"/>
          </w:tcPr>
          <w:p>
            <w:pPr>
              <w:ind w:left="20"/>
              <w:spacing w:after="0"/>
              <w:rPr>
                <w:sz w:val="20"/>
                <w:szCs w:val="20"/>
                <w:color w:val="auto"/>
              </w:rPr>
            </w:pPr>
            <w:r>
              <w:rPr>
                <w:rFonts w:ascii="Arial" w:cs="Arial" w:eastAsia="Arial" w:hAnsi="Arial"/>
                <w:sz w:val="15"/>
                <w:szCs w:val="15"/>
                <w:b w:val="1"/>
                <w:bCs w:val="1"/>
                <w:color w:val="FEFEFE"/>
              </w:rPr>
              <w:t>Percentage of Common Stock</w:t>
            </w:r>
          </w:p>
        </w:tc>
      </w:tr>
      <w:tr>
        <w:trPr>
          <w:trHeight w:val="208"/>
        </w:trPr>
        <w:tc>
          <w:tcPr>
            <w:tcW w:w="3000" w:type="dxa"/>
            <w:vAlign w:val="bottom"/>
            <w:shd w:val="clear" w:color="auto" w:fill="62259D"/>
          </w:tcPr>
          <w:p>
            <w:pPr>
              <w:ind w:left="40"/>
              <w:spacing w:after="0"/>
              <w:rPr>
                <w:sz w:val="20"/>
                <w:szCs w:val="20"/>
                <w:color w:val="auto"/>
              </w:rPr>
            </w:pPr>
            <w:r>
              <w:rPr>
                <w:rFonts w:ascii="Arial" w:cs="Arial" w:eastAsia="Arial" w:hAnsi="Arial"/>
                <w:sz w:val="15"/>
                <w:szCs w:val="15"/>
                <w:b w:val="1"/>
                <w:bCs w:val="1"/>
                <w:color w:val="FEFEFE"/>
              </w:rPr>
              <w:t>​Name of Beneficial Owner</w:t>
            </w:r>
          </w:p>
        </w:tc>
        <w:tc>
          <w:tcPr>
            <w:tcW w:w="260" w:type="dxa"/>
            <w:vAlign w:val="bottom"/>
            <w:shd w:val="clear" w:color="auto" w:fill="62259D"/>
          </w:tcPr>
          <w:p>
            <w:pPr>
              <w:ind w:left="200"/>
              <w:spacing w:after="0"/>
              <w:rPr>
                <w:sz w:val="20"/>
                <w:szCs w:val="20"/>
                <w:color w:val="auto"/>
              </w:rPr>
            </w:pPr>
            <w:r>
              <w:rPr>
                <w:rFonts w:ascii="Arial" w:cs="Arial" w:eastAsia="Arial" w:hAnsi="Arial"/>
                <w:sz w:val="15"/>
                <w:szCs w:val="15"/>
                <w:b w:val="1"/>
                <w:bCs w:val="1"/>
                <w:color w:val="FEFEFE"/>
              </w:rPr>
              <w:t>​</w:t>
            </w:r>
          </w:p>
        </w:tc>
        <w:tc>
          <w:tcPr>
            <w:tcW w:w="180" w:type="dxa"/>
            <w:vAlign w:val="bottom"/>
            <w:shd w:val="clear" w:color="auto" w:fill="62259D"/>
          </w:tcPr>
          <w:p>
            <w:pPr>
              <w:ind w:left="120"/>
              <w:spacing w:after="0"/>
              <w:rPr>
                <w:sz w:val="20"/>
                <w:szCs w:val="20"/>
                <w:color w:val="auto"/>
              </w:rPr>
            </w:pPr>
            <w:r>
              <w:rPr>
                <w:rFonts w:ascii="Arial" w:cs="Arial" w:eastAsia="Arial" w:hAnsi="Arial"/>
                <w:sz w:val="15"/>
                <w:szCs w:val="15"/>
                <w:b w:val="1"/>
                <w:bCs w:val="1"/>
                <w:color w:val="FEFEFE"/>
              </w:rPr>
              <w:t>​</w:t>
            </w:r>
          </w:p>
        </w:tc>
        <w:tc>
          <w:tcPr>
            <w:tcW w:w="920" w:type="dxa"/>
            <w:vAlign w:val="bottom"/>
            <w:shd w:val="clear" w:color="auto" w:fill="62259D"/>
          </w:tcPr>
          <w:p>
            <w:pPr>
              <w:spacing w:after="0"/>
              <w:rPr>
                <w:sz w:val="18"/>
                <w:szCs w:val="18"/>
                <w:color w:val="auto"/>
              </w:rPr>
            </w:pPr>
          </w:p>
        </w:tc>
        <w:tc>
          <w:tcPr>
            <w:tcW w:w="1180" w:type="dxa"/>
            <w:vAlign w:val="bottom"/>
            <w:shd w:val="clear" w:color="auto" w:fill="62259D"/>
          </w:tcPr>
          <w:p>
            <w:pPr>
              <w:jc w:val="center"/>
              <w:ind w:right="381"/>
              <w:spacing w:after="0"/>
              <w:rPr>
                <w:sz w:val="20"/>
                <w:szCs w:val="20"/>
                <w:color w:val="auto"/>
              </w:rPr>
            </w:pPr>
            <w:r>
              <w:rPr>
                <w:rFonts w:ascii="Arial" w:cs="Arial" w:eastAsia="Arial" w:hAnsi="Arial"/>
                <w:sz w:val="15"/>
                <w:szCs w:val="15"/>
                <w:b w:val="1"/>
                <w:bCs w:val="1"/>
                <w:color w:val="FEFEFE"/>
              </w:rPr>
              <w:t>(#)</w:t>
            </w:r>
          </w:p>
        </w:tc>
        <w:tc>
          <w:tcPr>
            <w:tcW w:w="480" w:type="dxa"/>
            <w:vAlign w:val="bottom"/>
            <w:shd w:val="clear" w:color="auto" w:fill="62259D"/>
          </w:tcPr>
          <w:p>
            <w:pPr>
              <w:spacing w:after="0"/>
              <w:rPr>
                <w:sz w:val="18"/>
                <w:szCs w:val="18"/>
                <w:color w:val="auto"/>
              </w:rPr>
            </w:pPr>
          </w:p>
        </w:tc>
        <w:tc>
          <w:tcPr>
            <w:tcW w:w="300" w:type="dxa"/>
            <w:vAlign w:val="bottom"/>
            <w:shd w:val="clear" w:color="auto" w:fill="62259D"/>
          </w:tcPr>
          <w:p>
            <w:pPr>
              <w:jc w:val="center"/>
              <w:spacing w:after="0"/>
              <w:rPr>
                <w:sz w:val="20"/>
                <w:szCs w:val="20"/>
                <w:color w:val="auto"/>
              </w:rPr>
            </w:pPr>
            <w:r>
              <w:rPr>
                <w:rFonts w:ascii="Arial" w:cs="Arial" w:eastAsia="Arial" w:hAnsi="Arial"/>
                <w:sz w:val="15"/>
                <w:szCs w:val="15"/>
                <w:b w:val="1"/>
                <w:bCs w:val="1"/>
                <w:color w:val="FEFEFE"/>
              </w:rPr>
              <w:t>​  ​</w:t>
            </w:r>
          </w:p>
        </w:tc>
        <w:tc>
          <w:tcPr>
            <w:tcW w:w="2040" w:type="dxa"/>
            <w:vAlign w:val="bottom"/>
            <w:gridSpan w:val="2"/>
            <w:shd w:val="clear" w:color="auto" w:fill="62259D"/>
          </w:tcPr>
          <w:p>
            <w:pPr>
              <w:ind w:left="740"/>
              <w:spacing w:after="0"/>
              <w:rPr>
                <w:sz w:val="20"/>
                <w:szCs w:val="20"/>
                <w:color w:val="auto"/>
              </w:rPr>
            </w:pPr>
            <w:r>
              <w:rPr>
                <w:rFonts w:ascii="Arial" w:cs="Arial" w:eastAsia="Arial" w:hAnsi="Arial"/>
                <w:sz w:val="15"/>
                <w:szCs w:val="15"/>
                <w:b w:val="1"/>
                <w:bCs w:val="1"/>
                <w:color w:val="FEFEFE"/>
              </w:rPr>
              <w:t>Outstanding</w:t>
            </w:r>
          </w:p>
        </w:tc>
        <w:tc>
          <w:tcPr>
            <w:tcW w:w="500" w:type="dxa"/>
            <w:vAlign w:val="bottom"/>
            <w:shd w:val="clear" w:color="auto" w:fill="62259D"/>
          </w:tcPr>
          <w:p>
            <w:pPr>
              <w:ind w:left="460"/>
              <w:spacing w:after="0"/>
              <w:rPr>
                <w:sz w:val="20"/>
                <w:szCs w:val="20"/>
                <w:color w:val="auto"/>
              </w:rPr>
            </w:pPr>
            <w:r>
              <w:rPr>
                <w:rFonts w:ascii="Arial" w:cs="Arial" w:eastAsia="Arial" w:hAnsi="Arial"/>
                <w:sz w:val="15"/>
                <w:szCs w:val="15"/>
                <w:b w:val="1"/>
                <w:bCs w:val="1"/>
                <w:color w:val="FEFEFE"/>
              </w:rPr>
              <w:t>​</w:t>
            </w:r>
          </w:p>
        </w:tc>
      </w:tr>
      <w:tr>
        <w:trPr>
          <w:trHeight w:val="176"/>
        </w:trPr>
        <w:tc>
          <w:tcPr>
            <w:tcW w:w="3000" w:type="dxa"/>
            <w:vAlign w:val="bottom"/>
            <w:tcBorders>
              <w:bottom w:val="single" w:sz="8" w:color="E7417A"/>
            </w:tcBorders>
            <w:shd w:val="clear" w:color="auto" w:fill="F2F2F2"/>
          </w:tcPr>
          <w:p>
            <w:pPr>
              <w:spacing w:after="0" w:line="175" w:lineRule="exact"/>
              <w:rPr>
                <w:sz w:val="20"/>
                <w:szCs w:val="20"/>
                <w:color w:val="auto"/>
              </w:rPr>
            </w:pPr>
            <w:r>
              <w:rPr>
                <w:rFonts w:ascii="Arial" w:cs="Arial" w:eastAsia="Arial" w:hAnsi="Arial"/>
                <w:sz w:val="16"/>
                <w:szCs w:val="16"/>
                <w:b w:val="1"/>
                <w:bCs w:val="1"/>
                <w:color w:val="auto"/>
              </w:rPr>
              <w:t>​ 5% Owners</w:t>
            </w:r>
          </w:p>
        </w:tc>
        <w:tc>
          <w:tcPr>
            <w:tcW w:w="260" w:type="dxa"/>
            <w:vAlign w:val="bottom"/>
            <w:tcBorders>
              <w:bottom w:val="single" w:sz="8" w:color="E7417A"/>
            </w:tcBorders>
            <w:shd w:val="clear" w:color="auto" w:fill="F2F2F2"/>
          </w:tcPr>
          <w:p>
            <w:pPr>
              <w:ind w:left="100"/>
              <w:spacing w:after="0" w:line="175" w:lineRule="exact"/>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E7417A"/>
            </w:tcBorders>
            <w:shd w:val="clear" w:color="auto" w:fill="F2F2F2"/>
          </w:tcPr>
          <w:p>
            <w:pPr>
              <w:ind w:left="20"/>
              <w:spacing w:after="0" w:line="175" w:lineRule="exact"/>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7417A"/>
            </w:tcBorders>
            <w:shd w:val="clear" w:color="auto" w:fill="F2F2F2"/>
          </w:tcPr>
          <w:p>
            <w:pPr>
              <w:ind w:left="760"/>
              <w:spacing w:after="0" w:line="175" w:lineRule="exact"/>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7417A"/>
            </w:tcBorders>
            <w:shd w:val="clear" w:color="auto" w:fill="F2F2F2"/>
          </w:tcPr>
          <w:p>
            <w:pPr>
              <w:ind w:left="780"/>
              <w:spacing w:after="0" w:line="175" w:lineRule="exact"/>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E7417A"/>
            </w:tcBorders>
            <w:shd w:val="clear" w:color="auto" w:fill="F2F2F2"/>
          </w:tcPr>
          <w:p>
            <w:pPr>
              <w:ind w:left="340"/>
              <w:spacing w:after="0" w:line="175" w:lineRule="exact"/>
              <w:rPr>
                <w:sz w:val="20"/>
                <w:szCs w:val="20"/>
                <w:color w:val="auto"/>
              </w:rPr>
            </w:pPr>
            <w:r>
              <w:rPr>
                <w:rFonts w:ascii="Arial" w:cs="Arial" w:eastAsia="Arial" w:hAnsi="Arial"/>
                <w:sz w:val="16"/>
                <w:szCs w:val="16"/>
                <w:b w:val="1"/>
                <w:bCs w:val="1"/>
                <w:color w:val="auto"/>
              </w:rPr>
              <w:t>​ ​</w:t>
            </w:r>
          </w:p>
        </w:tc>
        <w:tc>
          <w:tcPr>
            <w:tcW w:w="300" w:type="dxa"/>
            <w:vAlign w:val="bottom"/>
            <w:tcBorders>
              <w:bottom w:val="single" w:sz="8" w:color="E7417A"/>
            </w:tcBorders>
            <w:shd w:val="clear" w:color="auto" w:fill="F2F2F2"/>
          </w:tcPr>
          <w:p>
            <w:pPr>
              <w:jc w:val="center"/>
              <w:spacing w:after="0" w:line="175" w:lineRule="exact"/>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7417A"/>
            </w:tcBorders>
            <w:shd w:val="clear" w:color="auto" w:fill="F2F2F2"/>
          </w:tcPr>
          <w:p>
            <w:pPr>
              <w:ind w:left="1000"/>
              <w:spacing w:after="0" w:line="175"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7417A"/>
            </w:tcBorders>
            <w:shd w:val="clear" w:color="auto" w:fill="F2F2F2"/>
          </w:tcPr>
          <w:p>
            <w:pPr>
              <w:ind w:left="160"/>
              <w:spacing w:after="0" w:line="175" w:lineRule="exact"/>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E7417A"/>
            </w:tcBorders>
            <w:shd w:val="clear" w:color="auto" w:fill="F2F2F2"/>
          </w:tcPr>
          <w:p>
            <w:pPr>
              <w:ind w:left="340"/>
              <w:spacing w:after="0" w:line="175" w:lineRule="exact"/>
              <w:rPr>
                <w:sz w:val="20"/>
                <w:szCs w:val="20"/>
                <w:color w:val="auto"/>
              </w:rPr>
            </w:pPr>
            <w:r>
              <w:rPr>
                <w:rFonts w:ascii="Arial" w:cs="Arial" w:eastAsia="Arial" w:hAnsi="Arial"/>
                <w:sz w:val="16"/>
                <w:szCs w:val="16"/>
                <w:b w:val="1"/>
                <w:bCs w:val="1"/>
                <w:color w:val="auto"/>
              </w:rPr>
              <w:t>​​</w:t>
            </w:r>
          </w:p>
        </w:tc>
      </w:tr>
      <w:tr>
        <w:trPr>
          <w:trHeight w:val="357"/>
        </w:trPr>
        <w:tc>
          <w:tcPr>
            <w:tcW w:w="3000" w:type="dxa"/>
            <w:vAlign w:val="bottom"/>
          </w:tcPr>
          <w:p>
            <w:pPr>
              <w:spacing w:after="0" w:line="35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JPMorgan Chase &amp; Co.</w:t>
            </w:r>
            <w:r>
              <w:rPr>
                <w:rFonts w:ascii="Arial" w:cs="Arial" w:eastAsia="Arial" w:hAnsi="Arial"/>
                <w:sz w:val="19"/>
                <w:szCs w:val="19"/>
                <w:color w:val="auto"/>
                <w:vertAlign w:val="superscript"/>
              </w:rPr>
              <w:t>(6)</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2100" w:type="dxa"/>
            <w:vAlign w:val="bottom"/>
            <w:gridSpan w:val="2"/>
          </w:tcPr>
          <w:p>
            <w:pPr>
              <w:ind w:left="760"/>
              <w:spacing w:after="0" w:line="35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​52,036,572</w:t>
            </w:r>
          </w:p>
        </w:tc>
        <w:tc>
          <w:tcPr>
            <w:tcW w:w="480" w:type="dxa"/>
            <w:vAlign w:val="bottom"/>
          </w:tcPr>
          <w:p>
            <w:pPr>
              <w:ind w:left="340"/>
              <w:spacing w:after="0"/>
              <w:rPr>
                <w:sz w:val="20"/>
                <w:szCs w:val="20"/>
                <w:color w:val="auto"/>
              </w:rPr>
            </w:pPr>
            <w:r>
              <w:rPr>
                <w:rFonts w:ascii="Arial" w:cs="Arial" w:eastAsia="Arial" w:hAnsi="Arial"/>
                <w:sz w:val="16"/>
                <w:szCs w:val="16"/>
                <w:color w:val="auto"/>
              </w:rPr>
              <w:t>​ ​</w:t>
            </w:r>
          </w:p>
        </w:tc>
        <w:tc>
          <w:tcPr>
            <w:tcW w:w="300" w:type="dxa"/>
            <w:vAlign w:val="bottom"/>
          </w:tcPr>
          <w:p>
            <w:pPr>
              <w:jc w:val="center"/>
              <w:spacing w:after="0"/>
              <w:rPr>
                <w:sz w:val="20"/>
                <w:szCs w:val="20"/>
                <w:color w:val="auto"/>
              </w:rPr>
            </w:pPr>
            <w:r>
              <w:rPr>
                <w:rFonts w:ascii="Arial" w:cs="Arial" w:eastAsia="Arial" w:hAnsi="Arial"/>
                <w:sz w:val="16"/>
                <w:szCs w:val="16"/>
                <w:color w:val="auto"/>
              </w:rPr>
              <w:t>​</w:t>
            </w:r>
          </w:p>
        </w:tc>
        <w:tc>
          <w:tcPr>
            <w:tcW w:w="2040" w:type="dxa"/>
            <w:vAlign w:val="bottom"/>
            <w:gridSpan w:val="2"/>
          </w:tcPr>
          <w:p>
            <w:pPr>
              <w:ind w:left="1000"/>
              <w:spacing w:after="0" w:line="35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​29.5%</w:t>
            </w:r>
          </w:p>
        </w:tc>
        <w:tc>
          <w:tcPr>
            <w:tcW w:w="500" w:type="dxa"/>
            <w:vAlign w:val="bottom"/>
          </w:tcPr>
          <w:p>
            <w:pPr>
              <w:ind w:left="340"/>
              <w:spacing w:after="0"/>
              <w:rPr>
                <w:sz w:val="20"/>
                <w:szCs w:val="20"/>
                <w:color w:val="auto"/>
              </w:rPr>
            </w:pPr>
            <w:r>
              <w:rPr>
                <w:rFonts w:ascii="Arial" w:cs="Arial" w:eastAsia="Arial" w:hAnsi="Arial"/>
                <w:sz w:val="16"/>
                <w:szCs w:val="16"/>
                <w:color w:val="auto"/>
              </w:rPr>
              <w:t>​ ​</w:t>
            </w:r>
          </w:p>
        </w:tc>
      </w:tr>
      <w:tr>
        <w:trPr>
          <w:trHeight w:val="187"/>
        </w:trPr>
        <w:tc>
          <w:tcPr>
            <w:tcW w:w="3000" w:type="dxa"/>
            <w:vAlign w:val="bottom"/>
          </w:tcPr>
          <w:p>
            <w:pPr>
              <w:ind w:left="24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OEP II Partners Co-Invest</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8"/>
        </w:trPr>
        <w:tc>
          <w:tcPr>
            <w:tcW w:w="3000" w:type="dxa"/>
            <w:vAlign w:val="bottom"/>
          </w:tcPr>
          <w:p>
            <w:pPr>
              <w:ind w:left="400"/>
              <w:spacing w:after="0"/>
              <w:rPr>
                <w:sz w:val="20"/>
                <w:szCs w:val="20"/>
                <w:color w:val="auto"/>
              </w:rPr>
            </w:pPr>
            <w:r>
              <w:rPr>
                <w:rFonts w:ascii="Arial" w:cs="Arial" w:eastAsia="Arial" w:hAnsi="Arial"/>
                <w:sz w:val="16"/>
                <w:szCs w:val="16"/>
                <w:color w:val="auto"/>
              </w:rPr>
              <w:t>510 Madison Avenue, 19</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Floor</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5"/>
        </w:trPr>
        <w:tc>
          <w:tcPr>
            <w:tcW w:w="3000" w:type="dxa"/>
            <w:vAlign w:val="bottom"/>
          </w:tcPr>
          <w:p>
            <w:pPr>
              <w:ind w:left="400"/>
              <w:spacing w:after="0"/>
              <w:rPr>
                <w:sz w:val="20"/>
                <w:szCs w:val="20"/>
                <w:color w:val="auto"/>
              </w:rPr>
            </w:pPr>
            <w:r>
              <w:rPr>
                <w:rFonts w:ascii="Arial" w:cs="Arial" w:eastAsia="Arial" w:hAnsi="Arial"/>
                <w:sz w:val="16"/>
                <w:szCs w:val="16"/>
                <w:color w:val="auto"/>
              </w:rPr>
              <w:t>New York, NY 10022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71"/>
        </w:trPr>
        <w:tc>
          <w:tcPr>
            <w:tcW w:w="3000" w:type="dxa"/>
            <w:vAlign w:val="bottom"/>
          </w:tcPr>
          <w:p>
            <w:pPr>
              <w:ind w:left="24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JPMorgan Chase</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189"/>
        </w:trPr>
        <w:tc>
          <w:tcPr>
            <w:tcW w:w="3000" w:type="dxa"/>
            <w:vAlign w:val="bottom"/>
          </w:tcPr>
          <w:p>
            <w:pPr>
              <w:ind w:left="400"/>
              <w:spacing w:after="0"/>
              <w:rPr>
                <w:sz w:val="20"/>
                <w:szCs w:val="20"/>
                <w:color w:val="auto"/>
              </w:rPr>
            </w:pPr>
            <w:r>
              <w:rPr>
                <w:rFonts w:ascii="Arial" w:cs="Arial" w:eastAsia="Arial" w:hAnsi="Arial"/>
                <w:sz w:val="16"/>
                <w:szCs w:val="16"/>
                <w:color w:val="auto"/>
              </w:rPr>
              <w:t>383 Madison Avenue</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5"/>
        </w:trPr>
        <w:tc>
          <w:tcPr>
            <w:tcW w:w="3000" w:type="dxa"/>
            <w:vAlign w:val="bottom"/>
          </w:tcPr>
          <w:p>
            <w:pPr>
              <w:ind w:left="400"/>
              <w:spacing w:after="0"/>
              <w:rPr>
                <w:sz w:val="20"/>
                <w:szCs w:val="20"/>
                <w:color w:val="auto"/>
              </w:rPr>
            </w:pPr>
            <w:r>
              <w:rPr>
                <w:rFonts w:ascii="Arial" w:cs="Arial" w:eastAsia="Arial" w:hAnsi="Arial"/>
                <w:sz w:val="16"/>
                <w:szCs w:val="16"/>
                <w:color w:val="auto"/>
              </w:rPr>
              <w:t>New York, NY 10179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58"/>
        </w:trPr>
        <w:tc>
          <w:tcPr>
            <w:tcW w:w="3000" w:type="dxa"/>
            <w:vAlign w:val="bottom"/>
          </w:tcPr>
          <w:p>
            <w:pPr>
              <w:ind w:left="24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Each of JPMC Heritage and</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189"/>
        </w:trPr>
        <w:tc>
          <w:tcPr>
            <w:tcW w:w="3000" w:type="dxa"/>
            <w:vAlign w:val="bottom"/>
          </w:tcPr>
          <w:p>
            <w:pPr>
              <w:ind w:left="400"/>
              <w:spacing w:after="0"/>
              <w:rPr>
                <w:sz w:val="20"/>
                <w:szCs w:val="20"/>
                <w:color w:val="auto"/>
              </w:rPr>
            </w:pPr>
            <w:r>
              <w:rPr>
                <w:rFonts w:ascii="Arial" w:cs="Arial" w:eastAsia="Arial" w:hAnsi="Arial"/>
                <w:sz w:val="16"/>
                <w:szCs w:val="16"/>
                <w:color w:val="auto"/>
              </w:rPr>
              <w:t>Heritage III</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89"/>
        </w:trPr>
        <w:tc>
          <w:tcPr>
            <w:tcW w:w="3000" w:type="dxa"/>
            <w:vAlign w:val="bottom"/>
          </w:tcPr>
          <w:p>
            <w:pPr>
              <w:ind w:left="400"/>
              <w:spacing w:after="0"/>
              <w:rPr>
                <w:sz w:val="20"/>
                <w:szCs w:val="20"/>
                <w:color w:val="auto"/>
              </w:rPr>
            </w:pPr>
            <w:r>
              <w:rPr>
                <w:rFonts w:ascii="Arial" w:cs="Arial" w:eastAsia="Arial" w:hAnsi="Arial"/>
                <w:sz w:val="16"/>
                <w:szCs w:val="16"/>
                <w:color w:val="auto"/>
              </w:rPr>
              <w:t>277 Park Avenue</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03"/>
        </w:trPr>
        <w:tc>
          <w:tcPr>
            <w:tcW w:w="3000" w:type="dxa"/>
            <w:vAlign w:val="bottom"/>
            <w:tcBorders>
              <w:bottom w:val="single" w:sz="8" w:color="E7417A"/>
            </w:tcBorders>
          </w:tcPr>
          <w:p>
            <w:pPr>
              <w:ind w:left="400"/>
              <w:spacing w:after="0"/>
              <w:rPr>
                <w:sz w:val="20"/>
                <w:szCs w:val="20"/>
                <w:color w:val="auto"/>
              </w:rPr>
            </w:pPr>
            <w:r>
              <w:rPr>
                <w:rFonts w:ascii="Arial" w:cs="Arial" w:eastAsia="Arial" w:hAnsi="Arial"/>
                <w:sz w:val="16"/>
                <w:szCs w:val="16"/>
                <w:color w:val="auto"/>
              </w:rPr>
              <w:t>New York, NY 10172</w:t>
            </w:r>
          </w:p>
        </w:tc>
        <w:tc>
          <w:tcPr>
            <w:tcW w:w="260" w:type="dxa"/>
            <w:vAlign w:val="bottom"/>
            <w:tcBorders>
              <w:bottom w:val="single" w:sz="8" w:color="E7417A"/>
            </w:tcBorders>
          </w:tcPr>
          <w:p>
            <w:pPr>
              <w:spacing w:after="0"/>
              <w:rPr>
                <w:sz w:val="17"/>
                <w:szCs w:val="17"/>
                <w:color w:val="auto"/>
              </w:rPr>
            </w:pPr>
          </w:p>
        </w:tc>
        <w:tc>
          <w:tcPr>
            <w:tcW w:w="180" w:type="dxa"/>
            <w:vAlign w:val="bottom"/>
            <w:tcBorders>
              <w:bottom w:val="single" w:sz="8" w:color="E7417A"/>
            </w:tcBorders>
          </w:tcPr>
          <w:p>
            <w:pPr>
              <w:spacing w:after="0"/>
              <w:rPr>
                <w:sz w:val="17"/>
                <w:szCs w:val="17"/>
                <w:color w:val="auto"/>
              </w:rPr>
            </w:pPr>
          </w:p>
        </w:tc>
        <w:tc>
          <w:tcPr>
            <w:tcW w:w="920" w:type="dxa"/>
            <w:vAlign w:val="bottom"/>
            <w:tcBorders>
              <w:bottom w:val="single" w:sz="8" w:color="E7417A"/>
            </w:tcBorders>
          </w:tcPr>
          <w:p>
            <w:pPr>
              <w:spacing w:after="0"/>
              <w:rPr>
                <w:sz w:val="17"/>
                <w:szCs w:val="17"/>
                <w:color w:val="auto"/>
              </w:rPr>
            </w:pPr>
          </w:p>
        </w:tc>
        <w:tc>
          <w:tcPr>
            <w:tcW w:w="1180" w:type="dxa"/>
            <w:vAlign w:val="bottom"/>
            <w:tcBorders>
              <w:bottom w:val="single" w:sz="8" w:color="E7417A"/>
            </w:tcBorders>
          </w:tcPr>
          <w:p>
            <w:pPr>
              <w:spacing w:after="0"/>
              <w:rPr>
                <w:sz w:val="17"/>
                <w:szCs w:val="17"/>
                <w:color w:val="auto"/>
              </w:rPr>
            </w:pPr>
          </w:p>
        </w:tc>
        <w:tc>
          <w:tcPr>
            <w:tcW w:w="480" w:type="dxa"/>
            <w:vAlign w:val="bottom"/>
            <w:tcBorders>
              <w:bottom w:val="single" w:sz="8" w:color="E7417A"/>
            </w:tcBorders>
          </w:tcPr>
          <w:p>
            <w:pPr>
              <w:spacing w:after="0"/>
              <w:rPr>
                <w:sz w:val="17"/>
                <w:szCs w:val="17"/>
                <w:color w:val="auto"/>
              </w:rPr>
            </w:pPr>
          </w:p>
        </w:tc>
        <w:tc>
          <w:tcPr>
            <w:tcW w:w="300" w:type="dxa"/>
            <w:vAlign w:val="bottom"/>
            <w:tcBorders>
              <w:bottom w:val="single" w:sz="8" w:color="E7417A"/>
            </w:tcBorders>
          </w:tcPr>
          <w:p>
            <w:pPr>
              <w:spacing w:after="0"/>
              <w:rPr>
                <w:sz w:val="17"/>
                <w:szCs w:val="17"/>
                <w:color w:val="auto"/>
              </w:rPr>
            </w:pPr>
          </w:p>
        </w:tc>
        <w:tc>
          <w:tcPr>
            <w:tcW w:w="1240" w:type="dxa"/>
            <w:vAlign w:val="bottom"/>
            <w:tcBorders>
              <w:bottom w:val="single" w:sz="8" w:color="E7417A"/>
            </w:tcBorders>
          </w:tcPr>
          <w:p>
            <w:pPr>
              <w:spacing w:after="0"/>
              <w:rPr>
                <w:sz w:val="17"/>
                <w:szCs w:val="17"/>
                <w:color w:val="auto"/>
              </w:rPr>
            </w:pPr>
          </w:p>
        </w:tc>
        <w:tc>
          <w:tcPr>
            <w:tcW w:w="800" w:type="dxa"/>
            <w:vAlign w:val="bottom"/>
            <w:tcBorders>
              <w:bottom w:val="single" w:sz="8" w:color="E7417A"/>
            </w:tcBorders>
          </w:tcPr>
          <w:p>
            <w:pPr>
              <w:spacing w:after="0"/>
              <w:rPr>
                <w:sz w:val="17"/>
                <w:szCs w:val="17"/>
                <w:color w:val="auto"/>
              </w:rPr>
            </w:pPr>
          </w:p>
        </w:tc>
        <w:tc>
          <w:tcPr>
            <w:tcW w:w="500" w:type="dxa"/>
            <w:vAlign w:val="bottom"/>
            <w:tcBorders>
              <w:bottom w:val="single" w:sz="8" w:color="E7417A"/>
            </w:tcBorders>
          </w:tcPr>
          <w:p>
            <w:pPr>
              <w:spacing w:after="0"/>
              <w:rPr>
                <w:sz w:val="17"/>
                <w:szCs w:val="17"/>
                <w:color w:val="auto"/>
              </w:rPr>
            </w:pPr>
          </w:p>
        </w:tc>
      </w:tr>
      <w:tr>
        <w:trPr>
          <w:trHeight w:val="357"/>
        </w:trPr>
        <w:tc>
          <w:tcPr>
            <w:tcW w:w="3000" w:type="dxa"/>
            <w:vAlign w:val="bottom"/>
          </w:tcPr>
          <w:p>
            <w:pPr>
              <w:spacing w:after="0" w:line="35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Swarth Investments Ltd.</w:t>
            </w:r>
            <w:r>
              <w:rPr>
                <w:rFonts w:ascii="Arial" w:cs="Arial" w:eastAsia="Arial" w:hAnsi="Arial"/>
                <w:sz w:val="19"/>
                <w:szCs w:val="19"/>
                <w:color w:val="auto"/>
                <w:vertAlign w:val="superscript"/>
              </w:rPr>
              <w:t>(7)</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2100" w:type="dxa"/>
            <w:vAlign w:val="bottom"/>
            <w:gridSpan w:val="2"/>
          </w:tcPr>
          <w:p>
            <w:pPr>
              <w:ind w:left="760"/>
              <w:spacing w:after="0" w:line="35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​27,877,384</w:t>
            </w:r>
          </w:p>
        </w:tc>
        <w:tc>
          <w:tcPr>
            <w:tcW w:w="480" w:type="dxa"/>
            <w:vAlign w:val="bottom"/>
          </w:tcPr>
          <w:p>
            <w:pPr>
              <w:ind w:left="340"/>
              <w:spacing w:after="0"/>
              <w:rPr>
                <w:sz w:val="20"/>
                <w:szCs w:val="20"/>
                <w:color w:val="auto"/>
              </w:rPr>
            </w:pPr>
            <w:r>
              <w:rPr>
                <w:rFonts w:ascii="Arial" w:cs="Arial" w:eastAsia="Arial" w:hAnsi="Arial"/>
                <w:sz w:val="16"/>
                <w:szCs w:val="16"/>
                <w:color w:val="auto"/>
              </w:rPr>
              <w:t>​ ​</w:t>
            </w:r>
          </w:p>
        </w:tc>
        <w:tc>
          <w:tcPr>
            <w:tcW w:w="300" w:type="dxa"/>
            <w:vAlign w:val="bottom"/>
          </w:tcPr>
          <w:p>
            <w:pPr>
              <w:jc w:val="center"/>
              <w:spacing w:after="0"/>
              <w:rPr>
                <w:sz w:val="20"/>
                <w:szCs w:val="20"/>
                <w:color w:val="auto"/>
              </w:rPr>
            </w:pPr>
            <w:r>
              <w:rPr>
                <w:rFonts w:ascii="Arial" w:cs="Arial" w:eastAsia="Arial" w:hAnsi="Arial"/>
                <w:sz w:val="16"/>
                <w:szCs w:val="16"/>
                <w:color w:val="auto"/>
              </w:rPr>
              <w:t>​</w:t>
            </w:r>
          </w:p>
        </w:tc>
        <w:tc>
          <w:tcPr>
            <w:tcW w:w="2040" w:type="dxa"/>
            <w:vAlign w:val="bottom"/>
            <w:gridSpan w:val="2"/>
          </w:tcPr>
          <w:p>
            <w:pPr>
              <w:ind w:left="1000"/>
              <w:spacing w:after="0" w:line="35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​15.8%</w:t>
            </w:r>
          </w:p>
        </w:tc>
        <w:tc>
          <w:tcPr>
            <w:tcW w:w="500" w:type="dxa"/>
            <w:vAlign w:val="bottom"/>
          </w:tcPr>
          <w:p>
            <w:pPr>
              <w:ind w:left="340"/>
              <w:spacing w:after="0"/>
              <w:rPr>
                <w:sz w:val="20"/>
                <w:szCs w:val="20"/>
                <w:color w:val="auto"/>
              </w:rPr>
            </w:pPr>
            <w:r>
              <w:rPr>
                <w:rFonts w:ascii="Arial" w:cs="Arial" w:eastAsia="Arial" w:hAnsi="Arial"/>
                <w:sz w:val="16"/>
                <w:szCs w:val="16"/>
                <w:color w:val="auto"/>
              </w:rPr>
              <w:t>​ ​</w:t>
            </w:r>
          </w:p>
        </w:tc>
      </w:tr>
      <w:tr>
        <w:trPr>
          <w:trHeight w:val="189"/>
        </w:trPr>
        <w:tc>
          <w:tcPr>
            <w:tcW w:w="3000" w:type="dxa"/>
            <w:vAlign w:val="bottom"/>
          </w:tcPr>
          <w:p>
            <w:pPr>
              <w:ind w:left="24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Newport House</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89"/>
        </w:trPr>
        <w:tc>
          <w:tcPr>
            <w:tcW w:w="3000" w:type="dxa"/>
            <w:vAlign w:val="bottom"/>
          </w:tcPr>
          <w:p>
            <w:pPr>
              <w:ind w:left="400"/>
              <w:spacing w:after="0"/>
              <w:rPr>
                <w:sz w:val="20"/>
                <w:szCs w:val="20"/>
                <w:color w:val="auto"/>
              </w:rPr>
            </w:pPr>
            <w:r>
              <w:rPr>
                <w:rFonts w:ascii="Arial" w:cs="Arial" w:eastAsia="Arial" w:hAnsi="Arial"/>
                <w:sz w:val="16"/>
                <w:szCs w:val="16"/>
                <w:color w:val="auto"/>
              </w:rPr>
              <w:t>15 The Grange</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89"/>
        </w:trPr>
        <w:tc>
          <w:tcPr>
            <w:tcW w:w="3000" w:type="dxa"/>
            <w:vAlign w:val="bottom"/>
          </w:tcPr>
          <w:p>
            <w:pPr>
              <w:ind w:left="400"/>
              <w:spacing w:after="0"/>
              <w:rPr>
                <w:sz w:val="20"/>
                <w:szCs w:val="20"/>
                <w:color w:val="auto"/>
              </w:rPr>
            </w:pPr>
            <w:r>
              <w:rPr>
                <w:rFonts w:ascii="Arial" w:cs="Arial" w:eastAsia="Arial" w:hAnsi="Arial"/>
                <w:sz w:val="16"/>
                <w:szCs w:val="16"/>
                <w:color w:val="auto"/>
              </w:rPr>
              <w:t>St. Peter Port, Guernsey</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03"/>
        </w:trPr>
        <w:tc>
          <w:tcPr>
            <w:tcW w:w="3000" w:type="dxa"/>
            <w:vAlign w:val="bottom"/>
            <w:tcBorders>
              <w:bottom w:val="single" w:sz="8" w:color="E7417A"/>
            </w:tcBorders>
          </w:tcPr>
          <w:p>
            <w:pPr>
              <w:ind w:left="400"/>
              <w:spacing w:after="0"/>
              <w:rPr>
                <w:sz w:val="20"/>
                <w:szCs w:val="20"/>
                <w:color w:val="auto"/>
              </w:rPr>
            </w:pPr>
            <w:r>
              <w:rPr>
                <w:rFonts w:ascii="Arial" w:cs="Arial" w:eastAsia="Arial" w:hAnsi="Arial"/>
                <w:sz w:val="16"/>
                <w:szCs w:val="16"/>
                <w:color w:val="auto"/>
              </w:rPr>
              <w:t>GY1 4LA</w:t>
            </w:r>
          </w:p>
        </w:tc>
        <w:tc>
          <w:tcPr>
            <w:tcW w:w="260" w:type="dxa"/>
            <w:vAlign w:val="bottom"/>
            <w:tcBorders>
              <w:bottom w:val="single" w:sz="8" w:color="E7417A"/>
            </w:tcBorders>
          </w:tcPr>
          <w:p>
            <w:pPr>
              <w:spacing w:after="0"/>
              <w:rPr>
                <w:sz w:val="17"/>
                <w:szCs w:val="17"/>
                <w:color w:val="auto"/>
              </w:rPr>
            </w:pPr>
          </w:p>
        </w:tc>
        <w:tc>
          <w:tcPr>
            <w:tcW w:w="180" w:type="dxa"/>
            <w:vAlign w:val="bottom"/>
            <w:tcBorders>
              <w:bottom w:val="single" w:sz="8" w:color="E7417A"/>
            </w:tcBorders>
          </w:tcPr>
          <w:p>
            <w:pPr>
              <w:spacing w:after="0"/>
              <w:rPr>
                <w:sz w:val="17"/>
                <w:szCs w:val="17"/>
                <w:color w:val="auto"/>
              </w:rPr>
            </w:pPr>
          </w:p>
        </w:tc>
        <w:tc>
          <w:tcPr>
            <w:tcW w:w="920" w:type="dxa"/>
            <w:vAlign w:val="bottom"/>
            <w:tcBorders>
              <w:bottom w:val="single" w:sz="8" w:color="E7417A"/>
            </w:tcBorders>
          </w:tcPr>
          <w:p>
            <w:pPr>
              <w:spacing w:after="0"/>
              <w:rPr>
                <w:sz w:val="17"/>
                <w:szCs w:val="17"/>
                <w:color w:val="auto"/>
              </w:rPr>
            </w:pPr>
          </w:p>
        </w:tc>
        <w:tc>
          <w:tcPr>
            <w:tcW w:w="1180" w:type="dxa"/>
            <w:vAlign w:val="bottom"/>
            <w:tcBorders>
              <w:bottom w:val="single" w:sz="8" w:color="E7417A"/>
            </w:tcBorders>
          </w:tcPr>
          <w:p>
            <w:pPr>
              <w:spacing w:after="0"/>
              <w:rPr>
                <w:sz w:val="17"/>
                <w:szCs w:val="17"/>
                <w:color w:val="auto"/>
              </w:rPr>
            </w:pPr>
          </w:p>
        </w:tc>
        <w:tc>
          <w:tcPr>
            <w:tcW w:w="480" w:type="dxa"/>
            <w:vAlign w:val="bottom"/>
            <w:tcBorders>
              <w:bottom w:val="single" w:sz="8" w:color="E7417A"/>
            </w:tcBorders>
          </w:tcPr>
          <w:p>
            <w:pPr>
              <w:spacing w:after="0"/>
              <w:rPr>
                <w:sz w:val="17"/>
                <w:szCs w:val="17"/>
                <w:color w:val="auto"/>
              </w:rPr>
            </w:pPr>
          </w:p>
        </w:tc>
        <w:tc>
          <w:tcPr>
            <w:tcW w:w="300" w:type="dxa"/>
            <w:vAlign w:val="bottom"/>
            <w:tcBorders>
              <w:bottom w:val="single" w:sz="8" w:color="E7417A"/>
            </w:tcBorders>
          </w:tcPr>
          <w:p>
            <w:pPr>
              <w:spacing w:after="0"/>
              <w:rPr>
                <w:sz w:val="17"/>
                <w:szCs w:val="17"/>
                <w:color w:val="auto"/>
              </w:rPr>
            </w:pPr>
          </w:p>
        </w:tc>
        <w:tc>
          <w:tcPr>
            <w:tcW w:w="1240" w:type="dxa"/>
            <w:vAlign w:val="bottom"/>
            <w:tcBorders>
              <w:bottom w:val="single" w:sz="8" w:color="E7417A"/>
            </w:tcBorders>
          </w:tcPr>
          <w:p>
            <w:pPr>
              <w:spacing w:after="0"/>
              <w:rPr>
                <w:sz w:val="17"/>
                <w:szCs w:val="17"/>
                <w:color w:val="auto"/>
              </w:rPr>
            </w:pPr>
          </w:p>
        </w:tc>
        <w:tc>
          <w:tcPr>
            <w:tcW w:w="800" w:type="dxa"/>
            <w:vAlign w:val="bottom"/>
            <w:tcBorders>
              <w:bottom w:val="single" w:sz="8" w:color="E7417A"/>
            </w:tcBorders>
          </w:tcPr>
          <w:p>
            <w:pPr>
              <w:spacing w:after="0"/>
              <w:rPr>
                <w:sz w:val="17"/>
                <w:szCs w:val="17"/>
                <w:color w:val="auto"/>
              </w:rPr>
            </w:pPr>
          </w:p>
        </w:tc>
        <w:tc>
          <w:tcPr>
            <w:tcW w:w="500" w:type="dxa"/>
            <w:vAlign w:val="bottom"/>
            <w:tcBorders>
              <w:bottom w:val="single" w:sz="8" w:color="E7417A"/>
            </w:tcBorders>
          </w:tcPr>
          <w:p>
            <w:pPr>
              <w:spacing w:after="0"/>
              <w:rPr>
                <w:sz w:val="17"/>
                <w:szCs w:val="17"/>
                <w:color w:val="auto"/>
              </w:rPr>
            </w:pPr>
          </w:p>
        </w:tc>
      </w:tr>
      <w:tr>
        <w:trPr>
          <w:trHeight w:val="249"/>
        </w:trPr>
        <w:tc>
          <w:tcPr>
            <w:tcW w:w="3000" w:type="dxa"/>
            <w:vAlign w:val="bottom"/>
          </w:tcPr>
          <w:p>
            <w:pPr>
              <w:spacing w:after="0" w:line="249"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Neuberger Berman Group, LLC</w:t>
            </w:r>
            <w:r>
              <w:rPr>
                <w:rFonts w:ascii="Arial" w:cs="Arial" w:eastAsia="Arial" w:hAnsi="Arial"/>
                <w:sz w:val="17"/>
                <w:szCs w:val="17"/>
                <w:color w:val="auto"/>
                <w:vertAlign w:val="superscript"/>
              </w:rPr>
              <w:t>(8)</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2100" w:type="dxa"/>
            <w:vAlign w:val="bottom"/>
            <w:gridSpan w:val="2"/>
          </w:tcPr>
          <w:p>
            <w:pPr>
              <w:ind w:left="760"/>
              <w:spacing w:after="0" w:line="249"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​17,502,066</w:t>
            </w:r>
          </w:p>
        </w:tc>
        <w:tc>
          <w:tcPr>
            <w:tcW w:w="480" w:type="dxa"/>
            <w:vAlign w:val="bottom"/>
          </w:tcPr>
          <w:p>
            <w:pPr>
              <w:ind w:left="340"/>
              <w:spacing w:after="0"/>
              <w:rPr>
                <w:sz w:val="20"/>
                <w:szCs w:val="20"/>
                <w:color w:val="auto"/>
              </w:rPr>
            </w:pPr>
            <w:r>
              <w:rPr>
                <w:rFonts w:ascii="Arial" w:cs="Arial" w:eastAsia="Arial" w:hAnsi="Arial"/>
                <w:sz w:val="16"/>
                <w:szCs w:val="16"/>
                <w:color w:val="auto"/>
              </w:rPr>
              <w:t>​ ​</w:t>
            </w:r>
          </w:p>
        </w:tc>
        <w:tc>
          <w:tcPr>
            <w:tcW w:w="300" w:type="dxa"/>
            <w:vAlign w:val="bottom"/>
          </w:tcPr>
          <w:p>
            <w:pPr>
              <w:jc w:val="center"/>
              <w:spacing w:after="0"/>
              <w:rPr>
                <w:sz w:val="20"/>
                <w:szCs w:val="20"/>
                <w:color w:val="auto"/>
              </w:rPr>
            </w:pPr>
            <w:r>
              <w:rPr>
                <w:rFonts w:ascii="Arial" w:cs="Arial" w:eastAsia="Arial" w:hAnsi="Arial"/>
                <w:sz w:val="16"/>
                <w:szCs w:val="16"/>
                <w:color w:val="auto"/>
              </w:rPr>
              <w:t>​</w:t>
            </w:r>
          </w:p>
        </w:tc>
        <w:tc>
          <w:tcPr>
            <w:tcW w:w="2040" w:type="dxa"/>
            <w:vAlign w:val="bottom"/>
            <w:gridSpan w:val="2"/>
          </w:tcPr>
          <w:p>
            <w:pPr>
              <w:ind w:left="1000"/>
              <w:spacing w:after="0" w:line="249"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​9.95%</w:t>
            </w:r>
          </w:p>
        </w:tc>
        <w:tc>
          <w:tcPr>
            <w:tcW w:w="500" w:type="dxa"/>
            <w:vAlign w:val="bottom"/>
          </w:tcPr>
          <w:p>
            <w:pPr>
              <w:ind w:left="340"/>
              <w:spacing w:after="0"/>
              <w:rPr>
                <w:sz w:val="20"/>
                <w:szCs w:val="20"/>
                <w:color w:val="auto"/>
              </w:rPr>
            </w:pPr>
            <w:r>
              <w:rPr>
                <w:rFonts w:ascii="Arial" w:cs="Arial" w:eastAsia="Arial" w:hAnsi="Arial"/>
                <w:sz w:val="16"/>
                <w:szCs w:val="16"/>
                <w:color w:val="auto"/>
              </w:rPr>
              <w:t>​ ​</w:t>
            </w:r>
          </w:p>
        </w:tc>
      </w:tr>
      <w:tr>
        <w:trPr>
          <w:trHeight w:val="351"/>
        </w:trPr>
        <w:tc>
          <w:tcPr>
            <w:tcW w:w="3000" w:type="dxa"/>
            <w:vAlign w:val="bottom"/>
          </w:tcPr>
          <w:p>
            <w:pPr>
              <w:spacing w:after="0" w:line="350"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Neuberger Investment Advisers LLC</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ind w:left="760"/>
              <w:spacing w:after="0"/>
              <w:rPr>
                <w:sz w:val="20"/>
                <w:szCs w:val="20"/>
                <w:color w:val="auto"/>
              </w:rPr>
            </w:pPr>
            <w:r>
              <w:rPr>
                <w:rFonts w:ascii="Arial" w:cs="Arial" w:eastAsia="Arial" w:hAnsi="Arial"/>
                <w:sz w:val="16"/>
                <w:szCs w:val="16"/>
                <w:color w:val="auto"/>
              </w:rPr>
              <w:t>​​</w:t>
            </w:r>
          </w:p>
        </w:tc>
        <w:tc>
          <w:tcPr>
            <w:tcW w:w="1180" w:type="dxa"/>
            <w:vAlign w:val="bottom"/>
          </w:tcPr>
          <w:p>
            <w:pPr>
              <w:ind w:left="780"/>
              <w:spacing w:after="0"/>
              <w:rPr>
                <w:sz w:val="20"/>
                <w:szCs w:val="20"/>
                <w:color w:val="auto"/>
              </w:rPr>
            </w:pPr>
            <w:r>
              <w:rPr>
                <w:rFonts w:ascii="Arial" w:cs="Arial" w:eastAsia="Arial" w:hAnsi="Arial"/>
                <w:sz w:val="16"/>
                <w:szCs w:val="16"/>
                <w:color w:val="auto"/>
              </w:rPr>
              <w:t>​</w:t>
            </w:r>
          </w:p>
        </w:tc>
        <w:tc>
          <w:tcPr>
            <w:tcW w:w="480" w:type="dxa"/>
            <w:vAlign w:val="bottom"/>
          </w:tcPr>
          <w:p>
            <w:pPr>
              <w:ind w:left="340"/>
              <w:spacing w:after="0"/>
              <w:rPr>
                <w:sz w:val="20"/>
                <w:szCs w:val="20"/>
                <w:color w:val="auto"/>
              </w:rPr>
            </w:pPr>
            <w:r>
              <w:rPr>
                <w:rFonts w:ascii="Arial" w:cs="Arial" w:eastAsia="Arial" w:hAnsi="Arial"/>
                <w:sz w:val="16"/>
                <w:szCs w:val="16"/>
                <w:color w:val="auto"/>
              </w:rPr>
              <w:t>​ ​</w:t>
            </w:r>
          </w:p>
        </w:tc>
        <w:tc>
          <w:tcPr>
            <w:tcW w:w="30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800" w:type="dxa"/>
            <w:vAlign w:val="bottom"/>
          </w:tcPr>
          <w:p>
            <w:pPr>
              <w:ind w:left="160"/>
              <w:spacing w:after="0"/>
              <w:rPr>
                <w:sz w:val="20"/>
                <w:szCs w:val="20"/>
                <w:color w:val="auto"/>
              </w:rPr>
            </w:pPr>
            <w:r>
              <w:rPr>
                <w:rFonts w:ascii="Arial" w:cs="Arial" w:eastAsia="Arial" w:hAnsi="Arial"/>
                <w:sz w:val="16"/>
                <w:szCs w:val="16"/>
                <w:color w:val="auto"/>
              </w:rPr>
              <w:t>​</w:t>
            </w:r>
          </w:p>
        </w:tc>
        <w:tc>
          <w:tcPr>
            <w:tcW w:w="500" w:type="dxa"/>
            <w:vAlign w:val="bottom"/>
          </w:tcPr>
          <w:p>
            <w:pPr>
              <w:ind w:left="340"/>
              <w:spacing w:after="0"/>
              <w:rPr>
                <w:sz w:val="20"/>
                <w:szCs w:val="20"/>
                <w:color w:val="auto"/>
              </w:rPr>
            </w:pPr>
            <w:r>
              <w:rPr>
                <w:rFonts w:ascii="Arial" w:cs="Arial" w:eastAsia="Arial" w:hAnsi="Arial"/>
                <w:sz w:val="16"/>
                <w:szCs w:val="16"/>
                <w:color w:val="auto"/>
              </w:rPr>
              <w:t>​ ​</w:t>
            </w:r>
          </w:p>
        </w:tc>
      </w:tr>
      <w:tr>
        <w:trPr>
          <w:trHeight w:val="189"/>
        </w:trPr>
        <w:tc>
          <w:tcPr>
            <w:tcW w:w="3000" w:type="dxa"/>
            <w:vAlign w:val="bottom"/>
          </w:tcPr>
          <w:p>
            <w:pPr>
              <w:ind w:left="24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1290 Avenue of the Americas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03"/>
        </w:trPr>
        <w:tc>
          <w:tcPr>
            <w:tcW w:w="3000" w:type="dxa"/>
            <w:vAlign w:val="bottom"/>
            <w:tcBorders>
              <w:bottom w:val="single" w:sz="8" w:color="E7417A"/>
            </w:tcBorders>
          </w:tcPr>
          <w:p>
            <w:pPr>
              <w:ind w:left="400"/>
              <w:spacing w:after="0"/>
              <w:rPr>
                <w:sz w:val="20"/>
                <w:szCs w:val="20"/>
                <w:color w:val="auto"/>
              </w:rPr>
            </w:pPr>
            <w:r>
              <w:rPr>
                <w:rFonts w:ascii="Arial" w:cs="Arial" w:eastAsia="Arial" w:hAnsi="Arial"/>
                <w:sz w:val="16"/>
                <w:szCs w:val="16"/>
                <w:color w:val="auto"/>
              </w:rPr>
              <w:t>New York, NY 10104</w:t>
            </w:r>
          </w:p>
        </w:tc>
        <w:tc>
          <w:tcPr>
            <w:tcW w:w="260" w:type="dxa"/>
            <w:vAlign w:val="bottom"/>
            <w:tcBorders>
              <w:bottom w:val="single" w:sz="8" w:color="E7417A"/>
            </w:tcBorders>
          </w:tcPr>
          <w:p>
            <w:pPr>
              <w:spacing w:after="0"/>
              <w:rPr>
                <w:sz w:val="17"/>
                <w:szCs w:val="17"/>
                <w:color w:val="auto"/>
              </w:rPr>
            </w:pPr>
          </w:p>
        </w:tc>
        <w:tc>
          <w:tcPr>
            <w:tcW w:w="180" w:type="dxa"/>
            <w:vAlign w:val="bottom"/>
            <w:tcBorders>
              <w:bottom w:val="single" w:sz="8" w:color="E7417A"/>
            </w:tcBorders>
          </w:tcPr>
          <w:p>
            <w:pPr>
              <w:spacing w:after="0"/>
              <w:rPr>
                <w:sz w:val="17"/>
                <w:szCs w:val="17"/>
                <w:color w:val="auto"/>
              </w:rPr>
            </w:pPr>
          </w:p>
        </w:tc>
        <w:tc>
          <w:tcPr>
            <w:tcW w:w="920" w:type="dxa"/>
            <w:vAlign w:val="bottom"/>
            <w:tcBorders>
              <w:bottom w:val="single" w:sz="8" w:color="E7417A"/>
            </w:tcBorders>
          </w:tcPr>
          <w:p>
            <w:pPr>
              <w:spacing w:after="0"/>
              <w:rPr>
                <w:sz w:val="17"/>
                <w:szCs w:val="17"/>
                <w:color w:val="auto"/>
              </w:rPr>
            </w:pPr>
          </w:p>
        </w:tc>
        <w:tc>
          <w:tcPr>
            <w:tcW w:w="1180" w:type="dxa"/>
            <w:vAlign w:val="bottom"/>
            <w:tcBorders>
              <w:bottom w:val="single" w:sz="8" w:color="E7417A"/>
            </w:tcBorders>
          </w:tcPr>
          <w:p>
            <w:pPr>
              <w:spacing w:after="0"/>
              <w:rPr>
                <w:sz w:val="17"/>
                <w:szCs w:val="17"/>
                <w:color w:val="auto"/>
              </w:rPr>
            </w:pPr>
          </w:p>
        </w:tc>
        <w:tc>
          <w:tcPr>
            <w:tcW w:w="480" w:type="dxa"/>
            <w:vAlign w:val="bottom"/>
            <w:tcBorders>
              <w:bottom w:val="single" w:sz="8" w:color="E7417A"/>
            </w:tcBorders>
          </w:tcPr>
          <w:p>
            <w:pPr>
              <w:spacing w:after="0"/>
              <w:rPr>
                <w:sz w:val="17"/>
                <w:szCs w:val="17"/>
                <w:color w:val="auto"/>
              </w:rPr>
            </w:pPr>
          </w:p>
        </w:tc>
        <w:tc>
          <w:tcPr>
            <w:tcW w:w="300" w:type="dxa"/>
            <w:vAlign w:val="bottom"/>
            <w:tcBorders>
              <w:bottom w:val="single" w:sz="8" w:color="E7417A"/>
            </w:tcBorders>
          </w:tcPr>
          <w:p>
            <w:pPr>
              <w:spacing w:after="0"/>
              <w:rPr>
                <w:sz w:val="17"/>
                <w:szCs w:val="17"/>
                <w:color w:val="auto"/>
              </w:rPr>
            </w:pPr>
          </w:p>
        </w:tc>
        <w:tc>
          <w:tcPr>
            <w:tcW w:w="1240" w:type="dxa"/>
            <w:vAlign w:val="bottom"/>
            <w:tcBorders>
              <w:bottom w:val="single" w:sz="8" w:color="E7417A"/>
            </w:tcBorders>
          </w:tcPr>
          <w:p>
            <w:pPr>
              <w:spacing w:after="0"/>
              <w:rPr>
                <w:sz w:val="17"/>
                <w:szCs w:val="17"/>
                <w:color w:val="auto"/>
              </w:rPr>
            </w:pPr>
          </w:p>
        </w:tc>
        <w:tc>
          <w:tcPr>
            <w:tcW w:w="800" w:type="dxa"/>
            <w:vAlign w:val="bottom"/>
            <w:tcBorders>
              <w:bottom w:val="single" w:sz="8" w:color="E7417A"/>
            </w:tcBorders>
          </w:tcPr>
          <w:p>
            <w:pPr>
              <w:spacing w:after="0"/>
              <w:rPr>
                <w:sz w:val="17"/>
                <w:szCs w:val="17"/>
                <w:color w:val="auto"/>
              </w:rPr>
            </w:pPr>
          </w:p>
        </w:tc>
        <w:tc>
          <w:tcPr>
            <w:tcW w:w="500" w:type="dxa"/>
            <w:vAlign w:val="bottom"/>
            <w:tcBorders>
              <w:bottom w:val="single" w:sz="8" w:color="E7417A"/>
            </w:tcBorders>
          </w:tcPr>
          <w:p>
            <w:pPr>
              <w:spacing w:after="0"/>
              <w:rPr>
                <w:sz w:val="17"/>
                <w:szCs w:val="17"/>
                <w:color w:val="auto"/>
              </w:rPr>
            </w:pPr>
          </w:p>
        </w:tc>
      </w:tr>
      <w:tr>
        <w:trPr>
          <w:trHeight w:val="373"/>
        </w:trPr>
        <w:tc>
          <w:tcPr>
            <w:tcW w:w="3000" w:type="dxa"/>
            <w:vAlign w:val="bottom"/>
          </w:tcPr>
          <w:p>
            <w:pPr>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Paradigm Capital Management, Inc.</w:t>
            </w:r>
            <w:r>
              <w:rPr>
                <w:rFonts w:ascii="Arial" w:cs="Arial" w:eastAsia="Arial" w:hAnsi="Arial"/>
                <w:sz w:val="19"/>
                <w:szCs w:val="19"/>
                <w:color w:val="auto"/>
                <w:vertAlign w:val="superscript"/>
              </w:rPr>
              <w:t>(9)</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ind w:left="7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bscript"/>
              </w:rPr>
              <w:t>​</w:t>
            </w:r>
          </w:p>
        </w:tc>
        <w:tc>
          <w:tcPr>
            <w:tcW w:w="1180" w:type="dxa"/>
            <w:vAlign w:val="bottom"/>
          </w:tcPr>
          <w:p>
            <w:pPr>
              <w:jc w:val="right"/>
              <w:ind w:right="321"/>
              <w:spacing w:after="0"/>
              <w:rPr>
                <w:sz w:val="20"/>
                <w:szCs w:val="20"/>
                <w:color w:val="auto"/>
              </w:rPr>
            </w:pPr>
            <w:r>
              <w:rPr>
                <w:rFonts w:ascii="Arial" w:cs="Arial" w:eastAsia="Arial" w:hAnsi="Arial"/>
                <w:sz w:val="16"/>
                <w:szCs w:val="16"/>
                <w:color w:val="auto"/>
              </w:rPr>
              <w:t>9,052,600</w:t>
            </w:r>
          </w:p>
        </w:tc>
        <w:tc>
          <w:tcPr>
            <w:tcW w:w="480" w:type="dxa"/>
            <w:vAlign w:val="bottom"/>
          </w:tcPr>
          <w:p>
            <w:pPr>
              <w:ind w:left="340"/>
              <w:spacing w:after="0"/>
              <w:rPr>
                <w:sz w:val="20"/>
                <w:szCs w:val="20"/>
                <w:color w:val="auto"/>
              </w:rPr>
            </w:pPr>
            <w:r>
              <w:rPr>
                <w:rFonts w:ascii="Arial" w:cs="Arial" w:eastAsia="Arial" w:hAnsi="Arial"/>
                <w:sz w:val="16"/>
                <w:szCs w:val="16"/>
                <w:color w:val="auto"/>
              </w:rPr>
              <w:t>​ ​</w:t>
            </w:r>
          </w:p>
        </w:tc>
        <w:tc>
          <w:tcPr>
            <w:tcW w:w="300" w:type="dxa"/>
            <w:vAlign w:val="bottom"/>
          </w:tcPr>
          <w:p>
            <w:pPr>
              <w:jc w:val="center"/>
              <w:spacing w:after="0"/>
              <w:rPr>
                <w:sz w:val="20"/>
                <w:szCs w:val="20"/>
                <w:color w:val="auto"/>
              </w:rPr>
            </w:pPr>
            <w:r>
              <w:rPr>
                <w:rFonts w:ascii="Arial" w:cs="Arial" w:eastAsia="Arial" w:hAnsi="Arial"/>
                <w:sz w:val="16"/>
                <w:szCs w:val="16"/>
                <w:color w:val="auto"/>
              </w:rPr>
              <w:t>​</w:t>
            </w:r>
          </w:p>
        </w:tc>
        <w:tc>
          <w:tcPr>
            <w:tcW w:w="2040" w:type="dxa"/>
            <w:vAlign w:val="bottom"/>
            <w:gridSpan w:val="2"/>
          </w:tcPr>
          <w:p>
            <w:pPr>
              <w:ind w:left="100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5.1%</w:t>
            </w:r>
          </w:p>
        </w:tc>
        <w:tc>
          <w:tcPr>
            <w:tcW w:w="500" w:type="dxa"/>
            <w:vAlign w:val="bottom"/>
          </w:tcPr>
          <w:p>
            <w:pPr>
              <w:ind w:left="340"/>
              <w:spacing w:after="0"/>
              <w:rPr>
                <w:sz w:val="20"/>
                <w:szCs w:val="20"/>
                <w:color w:val="auto"/>
              </w:rPr>
            </w:pPr>
            <w:r>
              <w:rPr>
                <w:rFonts w:ascii="Arial" w:cs="Arial" w:eastAsia="Arial" w:hAnsi="Arial"/>
                <w:sz w:val="16"/>
                <w:szCs w:val="16"/>
                <w:color w:val="auto"/>
              </w:rPr>
              <w:t>​ ​</w:t>
            </w:r>
          </w:p>
        </w:tc>
      </w:tr>
    </w:tbl>
    <w:p>
      <w:pPr>
        <w:ind w:left="1320" w:right="7219" w:hanging="153"/>
        <w:spacing w:after="0" w:line="265" w:lineRule="auto"/>
        <w:tabs>
          <w:tab w:leader="none" w:pos="1320" w:val="left"/>
        </w:tabs>
        <w:numPr>
          <w:ilvl w:val="1"/>
          <w:numId w:val="146"/>
        </w:numPr>
        <w:rPr>
          <w:rFonts w:ascii="Arial" w:cs="Arial" w:eastAsia="Arial" w:hAnsi="Arial"/>
          <w:sz w:val="16"/>
          <w:szCs w:val="16"/>
          <w:color w:val="62259D"/>
        </w:rPr>
      </w:pPr>
      <w:r>
        <w:rPr>
          <w:rFonts w:ascii="Arial" w:cs="Arial" w:eastAsia="Arial" w:hAnsi="Arial"/>
          <w:sz w:val="16"/>
          <w:szCs w:val="16"/>
          <w:color w:val="auto"/>
        </w:rPr>
        <w:t>Nine Elk Street Albany, NY 12207</w:t>
      </w:r>
    </w:p>
    <w:p>
      <w:pPr>
        <w:spacing w:after="0" w:line="50" w:lineRule="exact"/>
        <w:rPr>
          <w:rFonts w:ascii="Arial" w:cs="Arial" w:eastAsia="Arial" w:hAnsi="Arial"/>
          <w:sz w:val="16"/>
          <w:szCs w:val="16"/>
          <w:color w:val="62259D"/>
        </w:rPr>
      </w:pPr>
    </w:p>
    <w:p>
      <w:pPr>
        <w:ind w:left="1040"/>
        <w:spacing w:after="0"/>
        <w:rPr>
          <w:rFonts w:ascii="Arial" w:cs="Arial" w:eastAsia="Arial" w:hAnsi="Arial"/>
          <w:sz w:val="16"/>
          <w:szCs w:val="16"/>
          <w:color w:val="62259D"/>
        </w:rPr>
      </w:pPr>
      <w:r>
        <w:rPr>
          <w:rFonts w:ascii="Arial" w:cs="Arial" w:eastAsia="Arial" w:hAnsi="Arial"/>
          <w:sz w:val="16"/>
          <w:szCs w:val="16"/>
          <w:color w:val="auto"/>
        </w:rPr>
        <w:t>*    Less than 1% of the outstanding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-167005</wp:posOffset>
            </wp:positionV>
            <wp:extent cx="562356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66" w:lineRule="exact"/>
        <w:rPr>
          <w:sz w:val="20"/>
          <w:szCs w:val="20"/>
          <w:color w:val="auto"/>
        </w:rPr>
      </w:pPr>
    </w:p>
    <w:p>
      <w:pPr>
        <w:ind w:left="1400" w:hanging="368"/>
        <w:spacing w:after="0"/>
        <w:tabs>
          <w:tab w:leader="none" w:pos="14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Beneficial ownership includes 271,761 shares issuable upon the vesting of RSUs within 60 days of April 4, 2025.</w:t>
      </w:r>
    </w:p>
    <w:p>
      <w:pPr>
        <w:spacing w:after="0" w:line="99" w:lineRule="exact"/>
        <w:rPr>
          <w:rFonts w:ascii="Arial" w:cs="Arial" w:eastAsia="Arial" w:hAnsi="Arial"/>
          <w:sz w:val="16"/>
          <w:szCs w:val="16"/>
          <w:color w:val="auto"/>
        </w:rPr>
      </w:pPr>
    </w:p>
    <w:p>
      <w:pPr>
        <w:ind w:left="1400" w:hanging="368"/>
        <w:spacing w:after="0"/>
        <w:tabs>
          <w:tab w:leader="none" w:pos="14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Mr. Lopez retired from the Company effective as of November 1, 2024.</w:t>
      </w:r>
    </w:p>
    <w:p>
      <w:pPr>
        <w:spacing w:after="0" w:line="86" w:lineRule="exact"/>
        <w:rPr>
          <w:rFonts w:ascii="Arial" w:cs="Arial" w:eastAsia="Arial" w:hAnsi="Arial"/>
          <w:sz w:val="16"/>
          <w:szCs w:val="16"/>
          <w:color w:val="auto"/>
        </w:rPr>
      </w:pPr>
    </w:p>
    <w:p>
      <w:pPr>
        <w:ind w:left="1400" w:hanging="368"/>
        <w:spacing w:after="0"/>
        <w:tabs>
          <w:tab w:leader="none" w:pos="14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Beneficial ownership includes 105,266 shares issuable upon the vesting of RSUs within 60 days of April 4, 2025.</w:t>
      </w:r>
    </w:p>
    <w:p>
      <w:pPr>
        <w:spacing w:after="0" w:line="99" w:lineRule="exact"/>
        <w:rPr>
          <w:rFonts w:ascii="Arial" w:cs="Arial" w:eastAsia="Arial" w:hAnsi="Arial"/>
          <w:sz w:val="16"/>
          <w:szCs w:val="16"/>
          <w:color w:val="auto"/>
        </w:rPr>
      </w:pPr>
    </w:p>
    <w:p>
      <w:pPr>
        <w:ind w:left="1400" w:hanging="368"/>
        <w:spacing w:after="0"/>
        <w:tabs>
          <w:tab w:leader="none" w:pos="14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Beneficial ownership includes 86,851 shares issuable upon the vesting of RSUs within 60 days of April 4, 2025.</w:t>
      </w:r>
    </w:p>
    <w:p>
      <w:pPr>
        <w:spacing w:after="0" w:line="86" w:lineRule="exact"/>
        <w:rPr>
          <w:rFonts w:ascii="Arial" w:cs="Arial" w:eastAsia="Arial" w:hAnsi="Arial"/>
          <w:sz w:val="16"/>
          <w:szCs w:val="16"/>
          <w:color w:val="auto"/>
        </w:rPr>
      </w:pPr>
    </w:p>
    <w:p>
      <w:pPr>
        <w:ind w:left="1400" w:hanging="368"/>
        <w:spacing w:after="0"/>
        <w:tabs>
          <w:tab w:leader="none" w:pos="14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Beneficial ownership includes 60,265 shares issuable upon the vesting of RSUs within 60 days of April 4, 2025.</w:t>
      </w:r>
    </w:p>
    <w:p>
      <w:pPr>
        <w:spacing w:after="0" w:line="99" w:lineRule="exact"/>
        <w:rPr>
          <w:rFonts w:ascii="Arial" w:cs="Arial" w:eastAsia="Arial" w:hAnsi="Arial"/>
          <w:sz w:val="16"/>
          <w:szCs w:val="16"/>
          <w:color w:val="auto"/>
        </w:rPr>
      </w:pPr>
    </w:p>
    <w:p>
      <w:pPr>
        <w:ind w:left="1400" w:right="119" w:hanging="368"/>
        <w:spacing w:after="0" w:line="250" w:lineRule="auto"/>
        <w:tabs>
          <w:tab w:leader="none" w:pos="14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Beneficial ownership includes warrants to purchase 441,645 shares of common stock which are exercisable within 60 days of April 4, 2025. JPMorgan Chase &amp; Co. is the sole member of JPMorgan Chase Holdings LLC, which is the sole member of OEP Holdings LLC, which is the sole member of JPMC Heritage Parent LLC, which is the general partner of OEP General Partner III L.P., which is the general partner of Heritage PE (OEP) III, L.P. OEP II Partners Co-Invest, L.P. is subject to certain contractual agreements and statutory obligations to acquire and vote shares side-by-side with Heritage PE (OEP) III, L.P. By virtue of these agreements and obligations, JPMorgan Chase &amp; Co. may be deemed to have or share beneficial ownership over the shares held directly by OEP II Partners Co-Invest, L.P. Notwithstanding the above, JPMorgan Chase does not directly or indirectly own any interest in OEP II Partners Co-Invest, L.P. J.P. Morgan Securities LLC, an affiliate of JPMorgan Chase &amp; Co., is a registered broker-dealer. Rick W. Smith, an officer of JPMorgan Chase &amp; Co., is a member of the Board of Directors of the Company.</w:t>
      </w:r>
    </w:p>
    <w:p>
      <w:pPr>
        <w:spacing w:after="0" w:line="229" w:lineRule="exact"/>
        <w:rPr>
          <w:rFonts w:ascii="Arial" w:cs="Arial" w:eastAsia="Arial" w:hAnsi="Arial"/>
          <w:sz w:val="16"/>
          <w:szCs w:val="16"/>
          <w:color w:val="auto"/>
        </w:rPr>
      </w:pPr>
    </w:p>
    <w:p>
      <w:pPr>
        <w:ind w:left="1400" w:right="159" w:hanging="368"/>
        <w:spacing w:after="0" w:line="255" w:lineRule="auto"/>
        <w:tabs>
          <w:tab w:leader="none" w:pos="14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Beneficial ownership includes warrants to purchase 441,645 shares of common stock which are exercisable within 60 days of April 4, 2025. Each of Nicholas Moss, Suzanne Hart and Georgios Antoniades, each a director of Swarth Investments Ltd., may be deemed to have investment discretion over the shares of common stock held by Swarth Investments Ltd, which investment discretion requires the approval of at least two of such directors. Shaul Shani, Founder and Chairman of the Swarth Group, is a member of the Board of Directors of the Company.</w:t>
      </w:r>
    </w:p>
    <w:p>
      <w:pPr>
        <w:spacing w:after="0" w:line="224" w:lineRule="exact"/>
        <w:rPr>
          <w:rFonts w:ascii="Arial" w:cs="Arial" w:eastAsia="Arial" w:hAnsi="Arial"/>
          <w:sz w:val="16"/>
          <w:szCs w:val="16"/>
          <w:color w:val="auto"/>
        </w:rPr>
      </w:pPr>
    </w:p>
    <w:p>
      <w:pPr>
        <w:ind w:left="1400" w:hanging="368"/>
        <w:spacing w:after="0"/>
        <w:tabs>
          <w:tab w:leader="none" w:pos="14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Based solely on the Schedule 13G/A filed with the SEC on February 12, 2024 by Neuberger Berman</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84</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9166BA"/>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9166BA"/>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8" w:lineRule="exact"/>
        <w:rPr>
          <w:sz w:val="20"/>
          <w:szCs w:val="20"/>
          <w:color w:val="auto"/>
        </w:rPr>
      </w:pPr>
    </w:p>
    <w:p>
      <w:pPr>
        <w:ind w:left="1400" w:right="359"/>
        <w:spacing w:after="0" w:line="259" w:lineRule="auto"/>
        <w:rPr>
          <w:sz w:val="20"/>
          <w:szCs w:val="20"/>
          <w:color w:val="auto"/>
        </w:rPr>
      </w:pPr>
      <w:r>
        <w:rPr>
          <w:rFonts w:ascii="Arial" w:cs="Arial" w:eastAsia="Arial" w:hAnsi="Arial"/>
          <w:sz w:val="16"/>
          <w:szCs w:val="16"/>
          <w:color w:val="auto"/>
        </w:rPr>
        <w:t>Group LLC (“NBG”) and Neuberger Berman Investment Advisers LLC (“NBIA”). Beneficial ownership includes shares held by NBG and client funds and accounts managed or advised by NBIA. NBG and certain of its affiliates, including NBIA, have voting power and investment power over the shares. NBG and its affiliates do not, however, have any economic interest in the shares.</w:t>
      </w:r>
    </w:p>
    <w:p>
      <w:pPr>
        <w:spacing w:after="0" w:line="29" w:lineRule="exact"/>
        <w:rPr>
          <w:sz w:val="20"/>
          <w:szCs w:val="20"/>
          <w:color w:val="auto"/>
        </w:rPr>
      </w:pPr>
    </w:p>
    <w:p>
      <w:pPr>
        <w:ind w:left="1400" w:right="279" w:hanging="368"/>
        <w:spacing w:after="0" w:line="266" w:lineRule="auto"/>
        <w:tabs>
          <w:tab w:leader="none" w:pos="14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Based solely on the Schedule 13G, or the Paradigm 13G, filed with the SEC on February 9, 2024 by Paradigm Capital Management, Inc. The Paradigm 13G reports that the 9,052,600 shares of common stock of Ribbon reported in the Paradigm 13G are owned by advisory clients of Paradigm Capital Management, Inc.</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9166BA"/>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16"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62259D"/>
        </w:rPr>
        <w:t>ADDITIONAL INFORMATION</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Information about the Annual Meeting</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648"/>
        </w:trPr>
        <w:tc>
          <w:tcPr>
            <w:tcW w:w="2740" w:type="dxa"/>
            <w:vAlign w:val="bottom"/>
          </w:tcPr>
          <w:p>
            <w:pPr>
              <w:spacing w:after="0"/>
              <w:rPr>
                <w:sz w:val="24"/>
                <w:szCs w:val="24"/>
                <w:color w:val="auto"/>
              </w:rPr>
            </w:pPr>
          </w:p>
        </w:tc>
        <w:tc>
          <w:tcPr>
            <w:tcW w:w="220" w:type="dxa"/>
            <w:vAlign w:val="bottom"/>
            <w:shd w:val="clear" w:color="auto" w:fill="FEFEFE"/>
          </w:tcPr>
          <w:p>
            <w:pPr>
              <w:spacing w:after="0"/>
              <w:rPr>
                <w:sz w:val="20"/>
                <w:szCs w:val="20"/>
                <w:color w:val="auto"/>
              </w:rPr>
            </w:pPr>
            <w:r>
              <w:rPr>
                <w:rFonts w:ascii="Arial" w:cs="Arial" w:eastAsia="Arial" w:hAnsi="Arial"/>
                <w:sz w:val="16"/>
                <w:szCs w:val="16"/>
                <w:b w:val="1"/>
                <w:bCs w:val="1"/>
                <w:color w:val="FEFEFE"/>
              </w:rPr>
              <w:t>​</w:t>
            </w:r>
          </w:p>
        </w:tc>
        <w:tc>
          <w:tcPr>
            <w:tcW w:w="2920" w:type="dxa"/>
            <w:vAlign w:val="bottom"/>
          </w:tcPr>
          <w:p>
            <w:pPr>
              <w:spacing w:after="0"/>
              <w:rPr>
                <w:sz w:val="20"/>
                <w:szCs w:val="20"/>
                <w:color w:val="auto"/>
              </w:rPr>
            </w:pPr>
            <w:r>
              <w:rPr>
                <w:rFonts w:ascii="Arial" w:cs="Arial" w:eastAsia="Arial" w:hAnsi="Arial"/>
                <w:sz w:val="16"/>
                <w:szCs w:val="16"/>
                <w:b w:val="1"/>
                <w:bCs w:val="1"/>
                <w:color w:val="FEFEFE"/>
              </w:rPr>
              <w:t>​</w:t>
            </w:r>
          </w:p>
        </w:tc>
        <w:tc>
          <w:tcPr>
            <w:tcW w:w="220" w:type="dxa"/>
            <w:vAlign w:val="bottom"/>
            <w:shd w:val="clear" w:color="auto" w:fill="FEFEFE"/>
          </w:tcPr>
          <w:p>
            <w:pPr>
              <w:ind w:left="20"/>
              <w:spacing w:after="0"/>
              <w:rPr>
                <w:sz w:val="20"/>
                <w:szCs w:val="20"/>
                <w:color w:val="auto"/>
              </w:rPr>
            </w:pPr>
            <w:r>
              <w:rPr>
                <w:rFonts w:ascii="Arial" w:cs="Arial" w:eastAsia="Arial" w:hAnsi="Arial"/>
                <w:sz w:val="16"/>
                <w:szCs w:val="16"/>
                <w:b w:val="1"/>
                <w:bCs w:val="1"/>
                <w:color w:val="FEFEFE"/>
              </w:rPr>
              <w:t>​</w:t>
            </w:r>
          </w:p>
        </w:tc>
        <w:tc>
          <w:tcPr>
            <w:tcW w:w="2760" w:type="dxa"/>
            <w:vAlign w:val="bottom"/>
          </w:tcPr>
          <w:p>
            <w:pPr>
              <w:spacing w:after="0"/>
              <w:rPr>
                <w:sz w:val="20"/>
                <w:szCs w:val="20"/>
                <w:color w:val="auto"/>
              </w:rPr>
            </w:pPr>
            <w:r>
              <w:rPr>
                <w:rFonts w:ascii="Arial" w:cs="Arial" w:eastAsia="Arial" w:hAnsi="Arial"/>
                <w:sz w:val="16"/>
                <w:szCs w:val="16"/>
                <w:b w:val="1"/>
                <w:bCs w:val="1"/>
                <w:color w:val="FEFEFE"/>
              </w:rPr>
              <w:t>​</w:t>
            </w:r>
          </w:p>
        </w:tc>
        <w:tc>
          <w:tcPr>
            <w:tcW w:w="40" w:type="dxa"/>
            <w:vAlign w:val="bottom"/>
          </w:tcPr>
          <w:p>
            <w:pPr>
              <w:spacing w:after="0"/>
              <w:rPr>
                <w:sz w:val="20"/>
                <w:szCs w:val="20"/>
                <w:color w:val="auto"/>
              </w:rPr>
            </w:pPr>
            <w:r>
              <w:rPr>
                <w:rFonts w:ascii="Arial" w:cs="Arial" w:eastAsia="Arial" w:hAnsi="Arial"/>
                <w:sz w:val="16"/>
                <w:szCs w:val="16"/>
                <w:b w:val="1"/>
                <w:bCs w:val="1"/>
                <w:color w:val="FEFEFE"/>
              </w:rPr>
              <w:t>​</w:t>
            </w:r>
          </w:p>
        </w:tc>
      </w:tr>
      <w:tr>
        <w:trPr>
          <w:trHeight w:val="277"/>
        </w:trPr>
        <w:tc>
          <w:tcPr>
            <w:tcW w:w="2740" w:type="dxa"/>
            <w:vAlign w:val="bottom"/>
            <w:tcBorders>
              <w:bottom w:val="single" w:sz="8" w:color="E7417A"/>
            </w:tcBorders>
            <w:shd w:val="clear" w:color="auto" w:fill="E7417A"/>
          </w:tcPr>
          <w:p>
            <w:pPr>
              <w:ind w:left="120"/>
              <w:spacing w:after="0"/>
              <w:rPr>
                <w:sz w:val="20"/>
                <w:szCs w:val="20"/>
                <w:color w:val="auto"/>
              </w:rPr>
            </w:pPr>
            <w:r>
              <w:rPr>
                <w:rFonts w:ascii="Arial" w:cs="Arial" w:eastAsia="Arial" w:hAnsi="Arial"/>
                <w:sz w:val="16"/>
                <w:szCs w:val="16"/>
                <w:b w:val="1"/>
                <w:bCs w:val="1"/>
                <w:color w:val="FEFEFE"/>
              </w:rPr>
              <w:t>Date and Time</w:t>
            </w:r>
          </w:p>
        </w:tc>
        <w:tc>
          <w:tcPr>
            <w:tcW w:w="220" w:type="dxa"/>
            <w:vAlign w:val="bottom"/>
            <w:tcBorders>
              <w:bottom w:val="single" w:sz="8" w:color="FEFEFE"/>
            </w:tcBorders>
            <w:shd w:val="clear" w:color="auto" w:fill="FEFEFE"/>
          </w:tcPr>
          <w:p>
            <w:pPr>
              <w:spacing w:after="0"/>
              <w:rPr>
                <w:sz w:val="20"/>
                <w:szCs w:val="20"/>
                <w:color w:val="auto"/>
              </w:rPr>
            </w:pPr>
            <w:r>
              <w:rPr>
                <w:rFonts w:ascii="Arial" w:cs="Arial" w:eastAsia="Arial" w:hAnsi="Arial"/>
                <w:sz w:val="16"/>
                <w:szCs w:val="16"/>
                <w:b w:val="1"/>
                <w:bCs w:val="1"/>
                <w:color w:val="FEFEFE"/>
              </w:rPr>
              <w:t>​</w:t>
            </w:r>
          </w:p>
        </w:tc>
        <w:tc>
          <w:tcPr>
            <w:tcW w:w="2920" w:type="dxa"/>
            <w:vAlign w:val="bottom"/>
            <w:tcBorders>
              <w:bottom w:val="single" w:sz="8" w:color="E7417A"/>
            </w:tcBorders>
            <w:shd w:val="clear" w:color="auto" w:fill="E7417A"/>
          </w:tcPr>
          <w:p>
            <w:pPr>
              <w:spacing w:after="0" w:line="269" w:lineRule="exact"/>
              <w:rPr>
                <w:sz w:val="20"/>
                <w:szCs w:val="20"/>
                <w:color w:val="auto"/>
              </w:rPr>
            </w:pPr>
            <w:r>
              <w:rPr>
                <w:rFonts w:ascii="Arial" w:cs="Arial" w:eastAsia="Arial" w:hAnsi="Arial"/>
                <w:sz w:val="31"/>
                <w:szCs w:val="31"/>
                <w:b w:val="1"/>
                <w:bCs w:val="1"/>
                <w:color w:val="FEFEFE"/>
                <w:vertAlign w:val="subscript"/>
              </w:rPr>
              <w:t>​</w:t>
            </w:r>
            <w:r>
              <w:rPr>
                <w:rFonts w:ascii="Arial" w:cs="Arial" w:eastAsia="Arial" w:hAnsi="Arial"/>
                <w:sz w:val="16"/>
                <w:szCs w:val="16"/>
                <w:b w:val="1"/>
                <w:bCs w:val="1"/>
                <w:color w:val="FEFEFE"/>
              </w:rPr>
              <w:t xml:space="preserve"> Meeting URL</w:t>
            </w:r>
          </w:p>
        </w:tc>
        <w:tc>
          <w:tcPr>
            <w:tcW w:w="2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6"/>
                <w:szCs w:val="16"/>
                <w:b w:val="1"/>
                <w:bCs w:val="1"/>
                <w:color w:val="FEFEFE"/>
              </w:rPr>
              <w:t>​</w:t>
            </w:r>
          </w:p>
        </w:tc>
        <w:tc>
          <w:tcPr>
            <w:tcW w:w="2760" w:type="dxa"/>
            <w:vAlign w:val="bottom"/>
            <w:tcBorders>
              <w:bottom w:val="single" w:sz="8" w:color="E7417A"/>
            </w:tcBorders>
            <w:shd w:val="clear" w:color="auto" w:fill="E7417A"/>
          </w:tcPr>
          <w:p>
            <w:pPr>
              <w:spacing w:after="0" w:line="269" w:lineRule="exact"/>
              <w:rPr>
                <w:sz w:val="20"/>
                <w:szCs w:val="20"/>
                <w:color w:val="auto"/>
              </w:rPr>
            </w:pPr>
            <w:r>
              <w:rPr>
                <w:rFonts w:ascii="Arial" w:cs="Arial" w:eastAsia="Arial" w:hAnsi="Arial"/>
                <w:sz w:val="31"/>
                <w:szCs w:val="31"/>
                <w:b w:val="1"/>
                <w:bCs w:val="1"/>
                <w:color w:val="FEFEFE"/>
                <w:vertAlign w:val="subscript"/>
              </w:rPr>
              <w:t>​</w:t>
            </w:r>
            <w:r>
              <w:rPr>
                <w:rFonts w:ascii="Arial" w:cs="Arial" w:eastAsia="Arial" w:hAnsi="Arial"/>
                <w:sz w:val="16"/>
                <w:szCs w:val="16"/>
                <w:b w:val="1"/>
                <w:bCs w:val="1"/>
                <w:color w:val="FEFEFE"/>
              </w:rPr>
              <w:t xml:space="preserve"> Record Date</w:t>
            </w:r>
          </w:p>
        </w:tc>
        <w:tc>
          <w:tcPr>
            <w:tcW w:w="40" w:type="dxa"/>
            <w:vAlign w:val="bottom"/>
          </w:tcPr>
          <w:p>
            <w:pPr>
              <w:spacing w:after="0"/>
              <w:rPr>
                <w:sz w:val="20"/>
                <w:szCs w:val="20"/>
                <w:color w:val="auto"/>
              </w:rPr>
            </w:pPr>
            <w:r>
              <w:rPr>
                <w:rFonts w:ascii="Arial" w:cs="Arial" w:eastAsia="Arial" w:hAnsi="Arial"/>
                <w:sz w:val="16"/>
                <w:szCs w:val="16"/>
                <w:b w:val="1"/>
                <w:bCs w:val="1"/>
                <w:color w:val="FEFEFE"/>
              </w:rPr>
              <w:t>​</w:t>
            </w:r>
          </w:p>
        </w:tc>
      </w:tr>
      <w:tr>
        <w:trPr>
          <w:trHeight w:val="202"/>
        </w:trPr>
        <w:tc>
          <w:tcPr>
            <w:tcW w:w="2740" w:type="dxa"/>
            <w:vAlign w:val="bottom"/>
          </w:tcPr>
          <w:p>
            <w:pPr>
              <w:ind w:left="120"/>
              <w:spacing w:after="0"/>
              <w:rPr>
                <w:sz w:val="20"/>
                <w:szCs w:val="20"/>
                <w:color w:val="auto"/>
              </w:rPr>
            </w:pPr>
            <w:r>
              <w:rPr>
                <w:rFonts w:ascii="Arial" w:cs="Arial" w:eastAsia="Arial" w:hAnsi="Arial"/>
                <w:sz w:val="16"/>
                <w:szCs w:val="16"/>
                <w:color w:val="auto"/>
              </w:rPr>
              <w:t>Wednesday, May 28, 2025</w:t>
            </w:r>
          </w:p>
        </w:tc>
        <w:tc>
          <w:tcPr>
            <w:tcW w:w="220" w:type="dxa"/>
            <w:vAlign w:val="bottom"/>
            <w:shd w:val="clear" w:color="auto" w:fill="FEFEFE"/>
          </w:tcPr>
          <w:p>
            <w:pPr>
              <w:spacing w:after="0"/>
              <w:rPr>
                <w:sz w:val="20"/>
                <w:szCs w:val="20"/>
                <w:color w:val="auto"/>
              </w:rPr>
            </w:pPr>
            <w:r>
              <w:rPr>
                <w:rFonts w:ascii="Arial" w:cs="Arial" w:eastAsia="Arial" w:hAnsi="Arial"/>
                <w:sz w:val="16"/>
                <w:szCs w:val="16"/>
                <w:color w:val="auto"/>
              </w:rPr>
              <w:t>​</w:t>
            </w:r>
          </w:p>
        </w:tc>
        <w:tc>
          <w:tcPr>
            <w:tcW w:w="2920" w:type="dxa"/>
            <w:vAlign w:val="bottom"/>
          </w:tcPr>
          <w:p>
            <w:pPr>
              <w:spacing w:after="0" w:line="202" w:lineRule="exact"/>
              <w:rPr>
                <w:sz w:val="20"/>
                <w:szCs w:val="20"/>
                <w:color w:val="auto"/>
              </w:rPr>
            </w:pPr>
            <w:r>
              <w:rPr>
                <w:rFonts w:ascii="Arial" w:cs="Arial" w:eastAsia="Arial" w:hAnsi="Arial"/>
                <w:sz w:val="23"/>
                <w:szCs w:val="23"/>
                <w:color w:val="000000"/>
                <w:vertAlign w:val="superscript"/>
              </w:rPr>
              <w:t>​</w:t>
            </w:r>
            <w:r>
              <w:rPr>
                <w:rFonts w:ascii="Arial" w:cs="Arial" w:eastAsia="Arial" w:hAnsi="Arial"/>
                <w:sz w:val="13"/>
                <w:szCs w:val="13"/>
                <w:color w:val="E7417A"/>
              </w:rPr>
              <w:t xml:space="preserve"> www.virtualshareholder</w:t>
            </w:r>
          </w:p>
        </w:tc>
        <w:tc>
          <w:tcPr>
            <w:tcW w:w="220" w:type="dxa"/>
            <w:vAlign w:val="bottom"/>
            <w:shd w:val="clear" w:color="auto" w:fill="FEFEFE"/>
          </w:tcPr>
          <w:p>
            <w:pPr>
              <w:ind w:left="20"/>
              <w:spacing w:after="0"/>
              <w:rPr>
                <w:sz w:val="20"/>
                <w:szCs w:val="20"/>
                <w:color w:val="auto"/>
              </w:rPr>
            </w:pPr>
            <w:r>
              <w:rPr>
                <w:rFonts w:ascii="Arial" w:cs="Arial" w:eastAsia="Arial" w:hAnsi="Arial"/>
                <w:sz w:val="16"/>
                <w:szCs w:val="16"/>
                <w:color w:val="auto"/>
              </w:rPr>
              <w:t>​</w:t>
            </w:r>
          </w:p>
        </w:tc>
        <w:tc>
          <w:tcPr>
            <w:tcW w:w="2760" w:type="dxa"/>
            <w:vAlign w:val="bottom"/>
          </w:tcPr>
          <w:p>
            <w:pPr>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April 4, 2025</w:t>
            </w:r>
          </w:p>
        </w:tc>
        <w:tc>
          <w:tcPr>
            <w:tcW w:w="40" w:type="dxa"/>
            <w:vAlign w:val="bottom"/>
          </w:tcPr>
          <w:p>
            <w:pPr>
              <w:spacing w:after="0"/>
              <w:rPr>
                <w:sz w:val="20"/>
                <w:szCs w:val="20"/>
                <w:color w:val="auto"/>
              </w:rPr>
            </w:pPr>
            <w:r>
              <w:rPr>
                <w:rFonts w:ascii="Arial" w:cs="Arial" w:eastAsia="Arial" w:hAnsi="Arial"/>
                <w:sz w:val="16"/>
                <w:szCs w:val="16"/>
                <w:color w:val="auto"/>
              </w:rPr>
              <w:t>​</w:t>
            </w:r>
          </w:p>
        </w:tc>
      </w:tr>
      <w:tr>
        <w:trPr>
          <w:trHeight w:val="215"/>
        </w:trPr>
        <w:tc>
          <w:tcPr>
            <w:tcW w:w="2740" w:type="dxa"/>
            <w:vAlign w:val="bottom"/>
          </w:tcPr>
          <w:p>
            <w:pPr>
              <w:ind w:left="120"/>
              <w:spacing w:after="0"/>
              <w:rPr>
                <w:sz w:val="20"/>
                <w:szCs w:val="20"/>
                <w:color w:val="auto"/>
              </w:rPr>
            </w:pPr>
            <w:r>
              <w:rPr>
                <w:rFonts w:ascii="Arial" w:cs="Arial" w:eastAsia="Arial" w:hAnsi="Arial"/>
                <w:sz w:val="16"/>
                <w:szCs w:val="16"/>
                <w:color w:val="auto"/>
              </w:rPr>
              <w:t>10:00 a.m. Eastern Time</w:t>
            </w:r>
          </w:p>
        </w:tc>
        <w:tc>
          <w:tcPr>
            <w:tcW w:w="220" w:type="dxa"/>
            <w:vAlign w:val="bottom"/>
            <w:shd w:val="clear" w:color="auto" w:fill="FEFEFE"/>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6"/>
                <w:szCs w:val="16"/>
                <w:color w:val="E7417A"/>
              </w:rPr>
              <w:t>meeting.com/RBBN2025</w:t>
            </w:r>
          </w:p>
        </w:tc>
        <w:tc>
          <w:tcPr>
            <w:tcW w:w="220" w:type="dxa"/>
            <w:vAlign w:val="bottom"/>
            <w:shd w:val="clear" w:color="auto" w:fill="FEFEFE"/>
          </w:tcPr>
          <w:p>
            <w:pPr>
              <w:spacing w:after="0"/>
              <w:rPr>
                <w:sz w:val="18"/>
                <w:szCs w:val="18"/>
                <w:color w:val="auto"/>
              </w:rPr>
            </w:pP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69"/>
        </w:trPr>
        <w:tc>
          <w:tcPr>
            <w:tcW w:w="2740" w:type="dxa"/>
            <w:vAlign w:val="bottom"/>
          </w:tcPr>
          <w:p>
            <w:pPr>
              <w:spacing w:after="0"/>
              <w:rPr>
                <w:sz w:val="6"/>
                <w:szCs w:val="6"/>
                <w:color w:val="auto"/>
              </w:rPr>
            </w:pPr>
          </w:p>
        </w:tc>
        <w:tc>
          <w:tcPr>
            <w:tcW w:w="220" w:type="dxa"/>
            <w:vAlign w:val="bottom"/>
            <w:shd w:val="clear" w:color="auto" w:fill="FEFEFE"/>
          </w:tcPr>
          <w:p>
            <w:pPr>
              <w:spacing w:after="0"/>
              <w:rPr>
                <w:sz w:val="6"/>
                <w:szCs w:val="6"/>
                <w:color w:val="auto"/>
              </w:rPr>
            </w:pPr>
          </w:p>
        </w:tc>
        <w:tc>
          <w:tcPr>
            <w:tcW w:w="2920" w:type="dxa"/>
            <w:vAlign w:val="bottom"/>
          </w:tcPr>
          <w:p>
            <w:pPr>
              <w:spacing w:after="0"/>
              <w:rPr>
                <w:sz w:val="6"/>
                <w:szCs w:val="6"/>
                <w:color w:val="auto"/>
              </w:rPr>
            </w:pPr>
          </w:p>
        </w:tc>
        <w:tc>
          <w:tcPr>
            <w:tcW w:w="220" w:type="dxa"/>
            <w:vAlign w:val="bottom"/>
            <w:shd w:val="clear" w:color="auto" w:fill="FEFEFE"/>
          </w:tcPr>
          <w:p>
            <w:pPr>
              <w:spacing w:after="0"/>
              <w:rPr>
                <w:sz w:val="6"/>
                <w:szCs w:val="6"/>
                <w:color w:val="auto"/>
              </w:rPr>
            </w:pPr>
          </w:p>
        </w:tc>
        <w:tc>
          <w:tcPr>
            <w:tcW w:w="2760" w:type="dxa"/>
            <w:vAlign w:val="bottom"/>
          </w:tcPr>
          <w:p>
            <w:pPr>
              <w:spacing w:after="0"/>
              <w:rPr>
                <w:sz w:val="6"/>
                <w:szCs w:val="6"/>
                <w:color w:val="auto"/>
              </w:rPr>
            </w:pPr>
          </w:p>
        </w:tc>
        <w:tc>
          <w:tcPr>
            <w:tcW w:w="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-822325</wp:posOffset>
            </wp:positionV>
            <wp:extent cx="265430" cy="26543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65430" cy="265430"/>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-856615</wp:posOffset>
            </wp:positionV>
            <wp:extent cx="179705" cy="3003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79705" cy="300355"/>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-822325</wp:posOffset>
            </wp:positionV>
            <wp:extent cx="308610" cy="26543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08610" cy="265430"/>
                    </a:xfrm>
                    <a:prstGeom prst="rect">
                      <a:avLst/>
                    </a:prstGeom>
                    <a:noFill/>
                  </pic:spPr>
                </pic:pic>
              </a:graphicData>
            </a:graphic>
          </wp:anchor>
        </w:drawing>
      </w:r>
    </w:p>
    <w:p>
      <w:pPr>
        <w:spacing w:after="0" w:line="218" w:lineRule="exact"/>
        <w:rPr>
          <w:sz w:val="20"/>
          <w:szCs w:val="20"/>
          <w:color w:val="auto"/>
        </w:rPr>
      </w:pPr>
    </w:p>
    <w:p>
      <w:pPr>
        <w:ind w:left="920" w:right="279"/>
        <w:spacing w:after="0" w:line="252" w:lineRule="auto"/>
        <w:rPr>
          <w:sz w:val="20"/>
          <w:szCs w:val="20"/>
          <w:color w:val="auto"/>
        </w:rPr>
      </w:pPr>
      <w:r>
        <w:rPr>
          <w:rFonts w:ascii="Arial" w:cs="Arial" w:eastAsia="Arial" w:hAnsi="Arial"/>
          <w:sz w:val="18"/>
          <w:szCs w:val="18"/>
          <w:color w:val="auto"/>
        </w:rPr>
        <w:t>Our Board is soliciting proxies for the 2025 Annual Meeting to be held on Wednesday, May 28, 2025, and at any adjournments, continuations or postponements thereof. This Proxy Statement contains important information for you to consider when deciding how to vote on the matters brought before the meeting.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94615</wp:posOffset>
            </wp:positionV>
            <wp:extent cx="5160645" cy="3511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160645" cy="3511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70" w:lineRule="exact"/>
        <w:rPr>
          <w:sz w:val="20"/>
          <w:szCs w:val="20"/>
          <w:color w:val="auto"/>
        </w:rPr>
      </w:pPr>
    </w:p>
    <w:p>
      <w:pPr>
        <w:ind w:left="1880" w:hanging="373"/>
        <w:spacing w:after="0"/>
        <w:tabs>
          <w:tab w:leader="none" w:pos="1880" w:val="left"/>
        </w:tabs>
        <w:numPr>
          <w:ilvl w:val="0"/>
          <w:numId w:val="149"/>
        </w:numPr>
        <w:rPr>
          <w:rFonts w:ascii="Arial" w:cs="Arial" w:eastAsia="Arial" w:hAnsi="Arial"/>
          <w:sz w:val="32"/>
          <w:szCs w:val="32"/>
          <w:b w:val="1"/>
          <w:bCs w:val="1"/>
          <w:color w:val="FEFEFE"/>
          <w:vertAlign w:val="superscript"/>
        </w:rPr>
      </w:pPr>
      <w:r>
        <w:rPr>
          <w:rFonts w:ascii="Arial" w:cs="Arial" w:eastAsia="Arial" w:hAnsi="Arial"/>
          <w:sz w:val="16"/>
          <w:szCs w:val="16"/>
          <w:b w:val="1"/>
          <w:bCs w:val="1"/>
          <w:color w:val="FEFEFE"/>
        </w:rPr>
        <w:t>IMPORTANT NOTICE REGARDING AVAILABILITY OF PROXY MATERIALS FOR THE</w:t>
      </w:r>
    </w:p>
    <w:p>
      <w:pPr>
        <w:spacing w:after="0" w:line="9" w:lineRule="exact"/>
        <w:rPr>
          <w:rFonts w:ascii="Arial" w:cs="Arial" w:eastAsia="Arial" w:hAnsi="Arial"/>
          <w:sz w:val="32"/>
          <w:szCs w:val="32"/>
          <w:b w:val="1"/>
          <w:bCs w:val="1"/>
          <w:color w:val="FEFEFE"/>
          <w:vertAlign w:val="superscript"/>
        </w:rPr>
      </w:pPr>
    </w:p>
    <w:p>
      <w:pPr>
        <w:ind w:left="2960"/>
        <w:spacing w:after="0"/>
        <w:rPr>
          <w:rFonts w:ascii="Arial" w:cs="Arial" w:eastAsia="Arial" w:hAnsi="Arial"/>
          <w:sz w:val="32"/>
          <w:szCs w:val="32"/>
          <w:b w:val="1"/>
          <w:bCs w:val="1"/>
          <w:color w:val="FEFEFE"/>
          <w:vertAlign w:val="superscript"/>
        </w:rPr>
      </w:pPr>
      <w:r>
        <w:rPr>
          <w:rFonts w:ascii="Arial" w:cs="Arial" w:eastAsia="Arial" w:hAnsi="Arial"/>
          <w:sz w:val="16"/>
          <w:szCs w:val="16"/>
          <w:b w:val="1"/>
          <w:bCs w:val="1"/>
          <w:color w:val="FEFEFE"/>
        </w:rPr>
        <w:t>STOCKHOLDER MEETING TO BE HELD ON MAY 28, 2025</w:t>
      </w:r>
    </w:p>
    <w:p>
      <w:pPr>
        <w:spacing w:after="0" w:line="22" w:lineRule="exact"/>
        <w:rPr>
          <w:rFonts w:ascii="Arial" w:cs="Arial" w:eastAsia="Arial" w:hAnsi="Arial"/>
          <w:sz w:val="32"/>
          <w:szCs w:val="32"/>
          <w:b w:val="1"/>
          <w:bCs w:val="1"/>
          <w:color w:val="FEFEFE"/>
          <w:vertAlign w:val="superscript"/>
        </w:rPr>
      </w:pPr>
    </w:p>
    <w:p>
      <w:pPr>
        <w:ind w:left="1900" w:hanging="393"/>
        <w:spacing w:after="0" w:line="197" w:lineRule="auto"/>
        <w:tabs>
          <w:tab w:leader="none" w:pos="1900" w:val="left"/>
        </w:tabs>
        <w:numPr>
          <w:ilvl w:val="0"/>
          <w:numId w:val="149"/>
        </w:numPr>
        <w:rPr>
          <w:rFonts w:ascii="Arial" w:cs="Arial" w:eastAsia="Arial" w:hAnsi="Arial"/>
          <w:sz w:val="32"/>
          <w:szCs w:val="32"/>
          <w:color w:val="auto"/>
          <w:vertAlign w:val="superscript"/>
        </w:rPr>
      </w:pPr>
      <w:r>
        <w:rPr>
          <w:rFonts w:ascii="Arial" w:cs="Arial" w:eastAsia="Arial" w:hAnsi="Arial"/>
          <w:sz w:val="16"/>
          <w:szCs w:val="16"/>
          <w:color w:val="auto"/>
        </w:rPr>
        <w:t>This Proxy Statement and the 2024 Annual Report to Stockholders are available for viewing,</w:t>
      </w:r>
    </w:p>
    <w:p>
      <w:pPr>
        <w:spacing w:after="0" w:line="17" w:lineRule="exact"/>
        <w:rPr>
          <w:rFonts w:ascii="Arial" w:cs="Arial" w:eastAsia="Arial" w:hAnsi="Arial"/>
          <w:sz w:val="32"/>
          <w:szCs w:val="32"/>
          <w:color w:val="auto"/>
          <w:vertAlign w:val="superscript"/>
        </w:rPr>
      </w:pPr>
    </w:p>
    <w:p>
      <w:pPr>
        <w:ind w:left="3520"/>
        <w:spacing w:after="0"/>
        <w:rPr>
          <w:rFonts w:ascii="Arial" w:cs="Arial" w:eastAsia="Arial" w:hAnsi="Arial"/>
          <w:sz w:val="32"/>
          <w:szCs w:val="32"/>
          <w:color w:val="auto"/>
          <w:vertAlign w:val="superscript"/>
        </w:rPr>
      </w:pPr>
      <w:r>
        <w:rPr>
          <w:rFonts w:ascii="Arial" w:cs="Arial" w:eastAsia="Arial" w:hAnsi="Arial"/>
          <w:sz w:val="16"/>
          <w:szCs w:val="16"/>
          <w:color w:val="auto"/>
        </w:rPr>
        <w:t xml:space="preserve">printing and downloading at </w:t>
      </w:r>
      <w:r>
        <w:rPr>
          <w:rFonts w:ascii="Arial" w:cs="Arial" w:eastAsia="Arial" w:hAnsi="Arial"/>
          <w:sz w:val="16"/>
          <w:szCs w:val="16"/>
          <w:color w:val="E7417A"/>
        </w:rPr>
        <w:t>www.proxyvote.com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-288925</wp:posOffset>
            </wp:positionV>
            <wp:extent cx="5160645" cy="3511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160645" cy="351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FEFEFE"/>
        </w:rPr>
        <w:t>​</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472" w:lineRule="exact"/>
        <w:rPr>
          <w:sz w:val="20"/>
          <w:szCs w:val="20"/>
          <w:color w:val="auto"/>
        </w:rPr>
      </w:pPr>
    </w:p>
    <w:p>
      <w:pPr>
        <w:sectPr>
          <w:pgSz w:w="11900" w:h="16838" w:orient="portrait"/>
          <w:cols w:equalWidth="0" w:num="2">
            <w:col w:w="8800" w:space="380"/>
            <w:col w:w="699"/>
          </w:cols>
          <w:pgMar w:left="580" w:top="97" w:right="1440" w:bottom="1440" w:gutter="0" w:footer="0" w:header="0"/>
          <w:type w:val="continuous"/>
        </w:sectPr>
      </w:pPr>
    </w:p>
    <w:p>
      <w:pPr>
        <w:spacing w:after="0" w:line="108" w:lineRule="exact"/>
        <w:rPr>
          <w:sz w:val="20"/>
          <w:szCs w:val="20"/>
          <w:color w:val="auto"/>
        </w:rPr>
      </w:pPr>
    </w:p>
    <w:p>
      <w:pPr>
        <w:ind w:left="920" w:right="879"/>
        <w:spacing w:after="0" w:line="271" w:lineRule="auto"/>
        <w:rPr>
          <w:sz w:val="20"/>
          <w:szCs w:val="20"/>
          <w:color w:val="auto"/>
        </w:rPr>
      </w:pPr>
      <w:r>
        <w:rPr>
          <w:rFonts w:ascii="Arial" w:cs="Arial" w:eastAsia="Arial" w:hAnsi="Arial"/>
          <w:sz w:val="18"/>
          <w:szCs w:val="18"/>
          <w:color w:val="auto"/>
        </w:rPr>
        <w:t>This Proxy Statement, form of proxy and the 2024 Annual Report are first being made available to stockholders on or about April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118110</wp:posOffset>
            </wp:positionV>
            <wp:extent cx="5597525" cy="47180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597525" cy="471805"/>
                    </a:xfrm>
                    <a:prstGeom prst="rect">
                      <a:avLst/>
                    </a:prstGeom>
                    <a:noFill/>
                  </pic:spPr>
                </pic:pic>
              </a:graphicData>
            </a:graphic>
          </wp:anchor>
        </w:drawing>
      </w:r>
    </w:p>
    <w:p>
      <w:pPr>
        <w:spacing w:after="0" w:line="124" w:lineRule="exact"/>
        <w:rPr>
          <w:sz w:val="20"/>
          <w:szCs w:val="20"/>
          <w:color w:val="auto"/>
        </w:rPr>
      </w:pPr>
    </w:p>
    <w:p>
      <w:pPr>
        <w:ind w:left="920"/>
        <w:spacing w:after="0"/>
        <w:tabs>
          <w:tab w:leader="none" w:pos="1720" w:val="left"/>
          <w:tab w:leader="none" w:pos="9760" w:val="left"/>
        </w:tabs>
        <w:rPr>
          <w:sz w:val="20"/>
          <w:szCs w:val="20"/>
          <w:color w:val="auto"/>
        </w:rPr>
      </w:pPr>
      <w:r>
        <w:rPr>
          <w:rFonts w:ascii="Arial" w:cs="Arial" w:eastAsia="Arial" w:hAnsi="Arial"/>
          <w:sz w:val="43"/>
          <w:szCs w:val="43"/>
          <w:color w:val="auto"/>
          <w:vertAlign w:val="subscript"/>
        </w:rPr>
        <w:t>​</w:t>
      </w:r>
      <w:r>
        <w:rPr>
          <w:sz w:val="20"/>
          <w:szCs w:val="20"/>
          <w:color w:val="auto"/>
        </w:rPr>
        <w:tab/>
      </w:r>
      <w:r>
        <w:rPr>
          <w:rFonts w:ascii="Arial" w:cs="Arial" w:eastAsia="Arial" w:hAnsi="Arial"/>
          <w:sz w:val="20"/>
          <w:szCs w:val="20"/>
          <w:b w:val="1"/>
          <w:bCs w:val="1"/>
          <w:color w:val="auto"/>
        </w:rPr>
        <w:t>Why am I receiving these materials?</w:t>
      </w:r>
      <w:r>
        <w:rPr>
          <w:sz w:val="20"/>
          <w:szCs w:val="20"/>
          <w:color w:val="auto"/>
        </w:rPr>
        <w:tab/>
      </w:r>
      <w:r>
        <w:rPr>
          <w:rFonts w:ascii="Arial" w:cs="Arial" w:eastAsia="Arial" w:hAnsi="Arial"/>
          <w:sz w:val="43"/>
          <w:szCs w:val="43"/>
          <w:color w:val="auto"/>
          <w:vertAlign w:val="subscript"/>
        </w:rPr>
        <w:t>​</w:t>
      </w:r>
    </w:p>
    <w:p>
      <w:pPr>
        <w:spacing w:after="0" w:line="252" w:lineRule="exact"/>
        <w:rPr>
          <w:sz w:val="20"/>
          <w:szCs w:val="20"/>
          <w:color w:val="auto"/>
        </w:rPr>
      </w:pPr>
    </w:p>
    <w:p>
      <w:pPr>
        <w:ind w:left="920" w:right="219"/>
        <w:spacing w:after="0" w:line="248" w:lineRule="auto"/>
        <w:rPr>
          <w:sz w:val="20"/>
          <w:szCs w:val="20"/>
          <w:color w:val="auto"/>
        </w:rPr>
      </w:pPr>
      <w:r>
        <w:rPr>
          <w:rFonts w:ascii="Arial" w:cs="Arial" w:eastAsia="Arial" w:hAnsi="Arial"/>
          <w:sz w:val="18"/>
          <w:szCs w:val="18"/>
          <w:color w:val="auto"/>
        </w:rPr>
        <w:t>You have received these proxy materials because our Board is soliciting your vote at the 2025 Annual Meeting. This Proxy Statement includes information that we are required to provide to you under the rules of the SEC and that is designed to assist you in voting your shares. Our Board has made these proxy materials available to you over the Internet, or, at your request, has delivered printed versions of these materials to you by mail, in connection with the Board’s solicitation of proxies for use at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258445</wp:posOffset>
            </wp:positionV>
            <wp:extent cx="5597525" cy="47180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597525" cy="471805"/>
                    </a:xfrm>
                    <a:prstGeom prst="rect">
                      <a:avLst/>
                    </a:prstGeom>
                    <a:noFill/>
                  </pic:spPr>
                </pic:pic>
              </a:graphicData>
            </a:graphic>
          </wp:anchor>
        </w:drawing>
      </w:r>
    </w:p>
    <w:p>
      <w:pPr>
        <w:spacing w:after="0" w:line="346" w:lineRule="exact"/>
        <w:rPr>
          <w:sz w:val="20"/>
          <w:szCs w:val="20"/>
          <w:color w:val="auto"/>
        </w:rPr>
      </w:pPr>
    </w:p>
    <w:p>
      <w:pPr>
        <w:ind w:left="920"/>
        <w:spacing w:after="0"/>
        <w:tabs>
          <w:tab w:leader="none" w:pos="1720" w:val="left"/>
          <w:tab w:leader="none" w:pos="9760" w:val="left"/>
        </w:tabs>
        <w:rPr>
          <w:sz w:val="20"/>
          <w:szCs w:val="20"/>
          <w:color w:val="auto"/>
        </w:rPr>
      </w:pPr>
      <w:r>
        <w:rPr>
          <w:rFonts w:ascii="Arial" w:cs="Arial" w:eastAsia="Arial" w:hAnsi="Arial"/>
          <w:sz w:val="43"/>
          <w:szCs w:val="43"/>
          <w:color w:val="auto"/>
          <w:vertAlign w:val="subscript"/>
        </w:rPr>
        <w:t>​</w:t>
      </w:r>
      <w:r>
        <w:rPr>
          <w:sz w:val="20"/>
          <w:szCs w:val="20"/>
          <w:color w:val="auto"/>
        </w:rPr>
        <w:tab/>
      </w:r>
      <w:r>
        <w:rPr>
          <w:rFonts w:ascii="Arial" w:cs="Arial" w:eastAsia="Arial" w:hAnsi="Arial"/>
          <w:sz w:val="20"/>
          <w:szCs w:val="20"/>
          <w:b w:val="1"/>
          <w:bCs w:val="1"/>
          <w:color w:val="auto"/>
        </w:rPr>
        <w:t>When and where is the meeting?</w:t>
      </w:r>
      <w:r>
        <w:rPr>
          <w:sz w:val="20"/>
          <w:szCs w:val="20"/>
          <w:color w:val="auto"/>
        </w:rPr>
        <w:tab/>
      </w:r>
      <w:r>
        <w:rPr>
          <w:rFonts w:ascii="Arial" w:cs="Arial" w:eastAsia="Arial" w:hAnsi="Arial"/>
          <w:sz w:val="43"/>
          <w:szCs w:val="43"/>
          <w:color w:val="auto"/>
          <w:vertAlign w:val="subscript"/>
        </w:rPr>
        <w:t>​</w:t>
      </w:r>
    </w:p>
    <w:p>
      <w:pPr>
        <w:spacing w:after="0" w:line="265" w:lineRule="exact"/>
        <w:rPr>
          <w:sz w:val="20"/>
          <w:szCs w:val="20"/>
          <w:color w:val="auto"/>
        </w:rPr>
      </w:pPr>
    </w:p>
    <w:p>
      <w:pPr>
        <w:ind w:left="920" w:right="239"/>
        <w:spacing w:after="0" w:line="246" w:lineRule="auto"/>
        <w:rPr>
          <w:sz w:val="20"/>
          <w:szCs w:val="20"/>
          <w:color w:val="auto"/>
        </w:rPr>
      </w:pPr>
      <w:r>
        <w:rPr>
          <w:rFonts w:ascii="Arial" w:cs="Arial" w:eastAsia="Arial" w:hAnsi="Arial"/>
          <w:sz w:val="18"/>
          <w:szCs w:val="18"/>
          <w:color w:val="auto"/>
        </w:rPr>
        <w:t xml:space="preserve">The 2025 Annual Meeting will be held on Wednesday, May 28, 2025 at 10:00 a.m., Eastern Time. The 2025 Annual Meeting will be a completely virtual meeting, which will be conducted via live webcast. You will be able to attend the 2025 Annual Meeting online and submit your questions during the meeting by visiting </w:t>
      </w:r>
      <w:r>
        <w:rPr>
          <w:rFonts w:ascii="Arial" w:cs="Arial" w:eastAsia="Arial" w:hAnsi="Arial"/>
          <w:sz w:val="18"/>
          <w:szCs w:val="18"/>
          <w:color w:val="E7417A"/>
        </w:rPr>
        <w:t>www.virtualshareholdermeeting.com/RBBN2025</w:t>
      </w:r>
      <w:r>
        <w:rPr>
          <w:rFonts w:ascii="Arial" w:cs="Arial" w:eastAsia="Arial" w:hAnsi="Arial"/>
          <w:sz w:val="18"/>
          <w:szCs w:val="18"/>
          <w:color w:val="auto"/>
        </w:rPr>
        <w:t xml:space="preserve"> and entering your 16-digit control number, as described under </w:t>
      </w:r>
      <w:r>
        <w:rPr>
          <w:rFonts w:ascii="Arial" w:cs="Arial" w:eastAsia="Arial" w:hAnsi="Arial"/>
          <w:sz w:val="18"/>
          <w:szCs w:val="18"/>
          <w:i w:val="1"/>
          <w:iCs w:val="1"/>
          <w:color w:val="auto"/>
        </w:rPr>
        <w:t>“How can I attend the 2025 Annual Meeting</w:t>
      </w:r>
      <w:r>
        <w:rPr>
          <w:rFonts w:ascii="Arial" w:cs="Arial" w:eastAsia="Arial" w:hAnsi="Arial"/>
          <w:sz w:val="18"/>
          <w:szCs w:val="18"/>
          <w:color w:val="auto"/>
        </w:rPr>
        <w:t>” below. This solicitation is for proxies for use at the 2025 Annual Meeting or at any reconvened meeting after an adjournment or postponement of the 2025 Annual Meeting.</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86</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9166BA"/>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236220</wp:posOffset>
            </wp:positionV>
            <wp:extent cx="5597525" cy="4718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597525" cy="471805"/>
                    </a:xfrm>
                    <a:prstGeom prst="rect">
                      <a:avLst/>
                    </a:prstGeom>
                    <a:noFill/>
                  </pic:spPr>
                </pic:pic>
              </a:graphicData>
            </a:graphic>
          </wp:anchor>
        </w:drawing>
      </w:r>
    </w:p>
    <w:p>
      <w:pPr>
        <w:spacing w:after="0" w:line="311" w:lineRule="exact"/>
        <w:rPr>
          <w:sz w:val="20"/>
          <w:szCs w:val="20"/>
          <w:color w:val="auto"/>
        </w:rPr>
      </w:pPr>
    </w:p>
    <w:p>
      <w:pPr>
        <w:ind w:left="920"/>
        <w:spacing w:after="0"/>
        <w:tabs>
          <w:tab w:leader="none" w:pos="1720" w:val="left"/>
          <w:tab w:leader="none" w:pos="9760" w:val="left"/>
        </w:tabs>
        <w:rPr>
          <w:sz w:val="20"/>
          <w:szCs w:val="20"/>
          <w:color w:val="auto"/>
        </w:rPr>
      </w:pPr>
      <w:r>
        <w:rPr>
          <w:rFonts w:ascii="Arial" w:cs="Arial" w:eastAsia="Arial" w:hAnsi="Arial"/>
          <w:sz w:val="43"/>
          <w:szCs w:val="43"/>
          <w:color w:val="auto"/>
          <w:vertAlign w:val="subscript"/>
        </w:rPr>
        <w:t>​</w:t>
      </w:r>
      <w:r>
        <w:rPr>
          <w:sz w:val="20"/>
          <w:szCs w:val="20"/>
          <w:color w:val="auto"/>
        </w:rPr>
        <w:tab/>
      </w:r>
      <w:r>
        <w:rPr>
          <w:rFonts w:ascii="Arial" w:cs="Arial" w:eastAsia="Arial" w:hAnsi="Arial"/>
          <w:sz w:val="20"/>
          <w:szCs w:val="20"/>
          <w:b w:val="1"/>
          <w:bCs w:val="1"/>
          <w:color w:val="auto"/>
        </w:rPr>
        <w:t>Who may vote at the meeting?</w:t>
      </w:r>
      <w:r>
        <w:rPr>
          <w:sz w:val="20"/>
          <w:szCs w:val="20"/>
          <w:color w:val="auto"/>
        </w:rPr>
        <w:tab/>
      </w:r>
      <w:r>
        <w:rPr>
          <w:rFonts w:ascii="Arial" w:cs="Arial" w:eastAsia="Arial" w:hAnsi="Arial"/>
          <w:sz w:val="43"/>
          <w:szCs w:val="43"/>
          <w:color w:val="auto"/>
          <w:vertAlign w:val="subscript"/>
        </w:rPr>
        <w:t>​</w:t>
      </w:r>
    </w:p>
    <w:p>
      <w:pPr>
        <w:spacing w:after="0" w:line="265" w:lineRule="exact"/>
        <w:rPr>
          <w:sz w:val="20"/>
          <w:szCs w:val="20"/>
          <w:color w:val="auto"/>
        </w:rPr>
      </w:pPr>
    </w:p>
    <w:p>
      <w:pPr>
        <w:ind w:left="920" w:right="239"/>
        <w:spacing w:after="0" w:line="252" w:lineRule="auto"/>
        <w:rPr>
          <w:sz w:val="20"/>
          <w:szCs w:val="20"/>
          <w:color w:val="auto"/>
        </w:rPr>
      </w:pPr>
      <w:r>
        <w:rPr>
          <w:rFonts w:ascii="Arial" w:cs="Arial" w:eastAsia="Arial" w:hAnsi="Arial"/>
          <w:sz w:val="18"/>
          <w:szCs w:val="18"/>
          <w:color w:val="auto"/>
        </w:rPr>
        <w:t>Stockholders of record at the close of business on April 4, 2025, the record date, or holders of a valid proxy, may attend and vote electronically at the meeting. Each stockholder is entitled to one vote for each share of common stock held on all matters to be voted. As of the close of business on April 4, 2025, an aggregate of 175,933,338 shares of our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120015</wp:posOffset>
            </wp:positionV>
            <wp:extent cx="5597525" cy="4718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597525" cy="471805"/>
                    </a:xfrm>
                    <a:prstGeom prst="rect">
                      <a:avLst/>
                    </a:prstGeom>
                    <a:noFill/>
                  </pic:spPr>
                </pic:pic>
              </a:graphicData>
            </a:graphic>
          </wp:anchor>
        </w:drawing>
      </w:r>
    </w:p>
    <w:p>
      <w:pPr>
        <w:spacing w:after="0" w:line="127" w:lineRule="exact"/>
        <w:rPr>
          <w:sz w:val="20"/>
          <w:szCs w:val="20"/>
          <w:color w:val="auto"/>
        </w:rPr>
      </w:pPr>
    </w:p>
    <w:p>
      <w:pPr>
        <w:ind w:left="920"/>
        <w:spacing w:after="0"/>
        <w:tabs>
          <w:tab w:leader="none" w:pos="1720" w:val="left"/>
          <w:tab w:leader="none" w:pos="9760" w:val="left"/>
        </w:tabs>
        <w:rPr>
          <w:sz w:val="20"/>
          <w:szCs w:val="20"/>
          <w:color w:val="auto"/>
        </w:rPr>
      </w:pPr>
      <w:r>
        <w:rPr>
          <w:rFonts w:ascii="Arial" w:cs="Arial" w:eastAsia="Arial" w:hAnsi="Arial"/>
          <w:sz w:val="43"/>
          <w:szCs w:val="43"/>
          <w:color w:val="auto"/>
          <w:vertAlign w:val="subscript"/>
        </w:rPr>
        <w:t>​</w:t>
      </w:r>
      <w:r>
        <w:rPr>
          <w:sz w:val="20"/>
          <w:szCs w:val="20"/>
          <w:color w:val="auto"/>
        </w:rPr>
        <w:tab/>
      </w:r>
      <w:r>
        <w:rPr>
          <w:rFonts w:ascii="Arial" w:cs="Arial" w:eastAsia="Arial" w:hAnsi="Arial"/>
          <w:sz w:val="20"/>
          <w:szCs w:val="20"/>
          <w:b w:val="1"/>
          <w:bCs w:val="1"/>
          <w:color w:val="auto"/>
        </w:rPr>
        <w:t>How many shares must be present to hold the meeting?</w:t>
      </w:r>
      <w:r>
        <w:rPr>
          <w:sz w:val="20"/>
          <w:szCs w:val="20"/>
          <w:color w:val="auto"/>
        </w:rPr>
        <w:tab/>
      </w:r>
      <w:r>
        <w:rPr>
          <w:rFonts w:ascii="Arial" w:cs="Arial" w:eastAsia="Arial" w:hAnsi="Arial"/>
          <w:sz w:val="43"/>
          <w:szCs w:val="43"/>
          <w:color w:val="auto"/>
          <w:vertAlign w:val="subscript"/>
        </w:rPr>
        <w:t>​</w:t>
      </w:r>
    </w:p>
    <w:p>
      <w:pPr>
        <w:spacing w:after="0" w:line="265" w:lineRule="exact"/>
        <w:rPr>
          <w:sz w:val="20"/>
          <w:szCs w:val="20"/>
          <w:color w:val="auto"/>
        </w:rPr>
      </w:pPr>
    </w:p>
    <w:p>
      <w:pPr>
        <w:ind w:left="920" w:right="99"/>
        <w:spacing w:after="0" w:line="243" w:lineRule="auto"/>
        <w:rPr>
          <w:sz w:val="20"/>
          <w:szCs w:val="20"/>
          <w:color w:val="auto"/>
        </w:rPr>
      </w:pPr>
      <w:r>
        <w:rPr>
          <w:rFonts w:ascii="Arial" w:cs="Arial" w:eastAsia="Arial" w:hAnsi="Arial"/>
          <w:sz w:val="18"/>
          <w:szCs w:val="18"/>
          <w:color w:val="auto"/>
        </w:rPr>
        <w:t>A majority of the 175,933,338 shares of our common stock that were outstanding as of the record date must be present at the meeting in order to hold the meeting and conduct business. This is called a quorum. For purposes of determining whether a quorum exists, we count as present any shares that are properly represented electronically at the meeting or that are represented by a valid proxy properly submitted over the Internet, by telephone or by mail. Further, for purposes of establishing a quorum, we count as present shares that a stockholder holds and that are represented by their proxy even if the stockholder does not vote on one or more of the matters to be voted upon. If a quorum is not present at the scheduled time of the 2025 Annual Meeting, the chairperson of the meeting is authorized by our by-laws to adjourn the meeting, without the vote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134620</wp:posOffset>
            </wp:positionV>
            <wp:extent cx="5597525" cy="47117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597525" cy="471170"/>
                    </a:xfrm>
                    <a:prstGeom prst="rect">
                      <a:avLst/>
                    </a:prstGeom>
                    <a:noFill/>
                  </pic:spPr>
                </pic:pic>
              </a:graphicData>
            </a:graphic>
          </wp:anchor>
        </w:drawing>
      </w:r>
    </w:p>
    <w:p>
      <w:pPr>
        <w:spacing w:after="0" w:line="150" w:lineRule="exact"/>
        <w:rPr>
          <w:sz w:val="20"/>
          <w:szCs w:val="20"/>
          <w:color w:val="auto"/>
        </w:rPr>
      </w:pPr>
    </w:p>
    <w:p>
      <w:pPr>
        <w:ind w:left="920"/>
        <w:spacing w:after="0"/>
        <w:tabs>
          <w:tab w:leader="none" w:pos="1720" w:val="left"/>
          <w:tab w:leader="none" w:pos="9760" w:val="left"/>
        </w:tabs>
        <w:rPr>
          <w:sz w:val="20"/>
          <w:szCs w:val="20"/>
          <w:color w:val="auto"/>
        </w:rPr>
      </w:pPr>
      <w:r>
        <w:rPr>
          <w:rFonts w:ascii="Arial" w:cs="Arial" w:eastAsia="Arial" w:hAnsi="Arial"/>
          <w:sz w:val="43"/>
          <w:szCs w:val="43"/>
          <w:color w:val="auto"/>
          <w:vertAlign w:val="subscript"/>
        </w:rPr>
        <w:t>​</w:t>
      </w:r>
      <w:r>
        <w:rPr>
          <w:sz w:val="20"/>
          <w:szCs w:val="20"/>
          <w:color w:val="auto"/>
        </w:rPr>
        <w:tab/>
      </w:r>
      <w:r>
        <w:rPr>
          <w:rFonts w:ascii="Arial" w:cs="Arial" w:eastAsia="Arial" w:hAnsi="Arial"/>
          <w:sz w:val="20"/>
          <w:szCs w:val="20"/>
          <w:b w:val="1"/>
          <w:bCs w:val="1"/>
          <w:color w:val="auto"/>
        </w:rPr>
        <w:t>What vote is required to approve each matter, and how are votes counted?</w:t>
      </w:r>
      <w:r>
        <w:rPr>
          <w:sz w:val="20"/>
          <w:szCs w:val="20"/>
          <w:color w:val="auto"/>
        </w:rPr>
        <w:tab/>
      </w:r>
      <w:r>
        <w:rPr>
          <w:rFonts w:ascii="Arial" w:cs="Arial" w:eastAsia="Arial" w:hAnsi="Arial"/>
          <w:sz w:val="43"/>
          <w:szCs w:val="43"/>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172085</wp:posOffset>
            </wp:positionV>
            <wp:extent cx="5623560" cy="28257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623560" cy="2825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1040" w:hanging="116"/>
        <w:spacing w:after="0"/>
        <w:tabs>
          <w:tab w:leader="none" w:pos="1040" w:val="left"/>
        </w:tabs>
        <w:numPr>
          <w:ilvl w:val="0"/>
          <w:numId w:val="150"/>
        </w:numPr>
        <w:rPr>
          <w:rFonts w:ascii="Arial" w:cs="Arial" w:eastAsia="Arial" w:hAnsi="Arial"/>
          <w:sz w:val="16"/>
          <w:szCs w:val="16"/>
          <w:b w:val="1"/>
          <w:bCs w:val="1"/>
          <w:color w:val="FEFEFE"/>
        </w:rPr>
      </w:pPr>
      <w:r>
        <w:rPr>
          <w:rFonts w:ascii="Arial" w:cs="Arial" w:eastAsia="Arial" w:hAnsi="Arial"/>
          <w:sz w:val="16"/>
          <w:szCs w:val="16"/>
          <w:b w:val="1"/>
          <w:bCs w:val="1"/>
          <w:color w:val="FEFEFE"/>
        </w:rPr>
        <w:t>Proposal</w:t>
      </w:r>
    </w:p>
    <w:p>
      <w:pPr>
        <w:spacing w:after="0" w:line="65" w:lineRule="exact"/>
        <w:rPr>
          <w:rFonts w:ascii="Arial" w:cs="Arial" w:eastAsia="Arial" w:hAnsi="Arial"/>
          <w:sz w:val="16"/>
          <w:szCs w:val="16"/>
          <w:b w:val="1"/>
          <w:bCs w:val="1"/>
          <w:color w:val="FEFEFE"/>
        </w:rPr>
      </w:pPr>
    </w:p>
    <w:p>
      <w:pPr>
        <w:ind w:left="1440" w:hanging="516"/>
        <w:spacing w:after="0" w:line="199" w:lineRule="auto"/>
        <w:tabs>
          <w:tab w:leader="none" w:pos="1035" w:val="left"/>
        </w:tabs>
        <w:numPr>
          <w:ilvl w:val="0"/>
          <w:numId w:val="150"/>
        </w:numPr>
        <w:rPr>
          <w:rFonts w:ascii="Arial" w:cs="Arial" w:eastAsia="Arial" w:hAnsi="Arial"/>
          <w:sz w:val="23"/>
          <w:szCs w:val="23"/>
          <w:color w:val="auto"/>
          <w:vertAlign w:val="subscript"/>
        </w:rPr>
      </w:pPr>
      <w:r>
        <w:rPr>
          <w:rFonts w:ascii="Arial" w:cs="Arial" w:eastAsia="Arial" w:hAnsi="Arial"/>
          <w:sz w:val="45"/>
          <w:szCs w:val="45"/>
          <w:color w:val="62259D"/>
          <w:vertAlign w:val="subscript"/>
        </w:rPr>
        <w:t>1</w:t>
      </w:r>
      <w:r>
        <w:rPr>
          <w:rFonts w:ascii="Arial" w:cs="Arial" w:eastAsia="Arial" w:hAnsi="Arial"/>
          <w:sz w:val="23"/>
          <w:szCs w:val="23"/>
          <w:color w:val="auto"/>
          <w:vertAlign w:val="subscript"/>
        </w:rPr>
        <w:t>​ ​</w:t>
      </w:r>
      <w:r>
        <w:rPr>
          <w:rFonts w:ascii="Arial" w:cs="Arial" w:eastAsia="Arial" w:hAnsi="Arial"/>
          <w:sz w:val="13"/>
          <w:szCs w:val="13"/>
          <w:color w:val="auto"/>
        </w:rPr>
        <w:t xml:space="preserve"> Election of eight directors as named in this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ind w:left="99" w:hanging="99"/>
        <w:spacing w:after="0"/>
        <w:tabs>
          <w:tab w:leader="none" w:pos="99" w:val="left"/>
        </w:tabs>
        <w:numPr>
          <w:ilvl w:val="0"/>
          <w:numId w:val="151"/>
        </w:numPr>
        <w:rPr>
          <w:rFonts w:ascii="Arial" w:cs="Arial" w:eastAsia="Arial" w:hAnsi="Arial"/>
          <w:sz w:val="16"/>
          <w:szCs w:val="16"/>
          <w:b w:val="1"/>
          <w:bCs w:val="1"/>
          <w:color w:val="FEFEFE"/>
        </w:rPr>
      </w:pPr>
      <w:r>
        <w:rPr>
          <w:rFonts w:ascii="Arial" w:cs="Arial" w:eastAsia="Arial" w:hAnsi="Arial"/>
          <w:sz w:val="16"/>
          <w:szCs w:val="16"/>
          <w:b w:val="1"/>
          <w:bCs w:val="1"/>
          <w:color w:val="FEFEFE"/>
        </w:rPr>
        <w:t>​ Vote Required</w:t>
      </w:r>
    </w:p>
    <w:p>
      <w:pPr>
        <w:spacing w:after="0" w:line="65" w:lineRule="exact"/>
        <w:rPr>
          <w:rFonts w:ascii="Arial" w:cs="Arial" w:eastAsia="Arial" w:hAnsi="Arial"/>
          <w:sz w:val="16"/>
          <w:szCs w:val="16"/>
          <w:b w:val="1"/>
          <w:bCs w:val="1"/>
          <w:color w:val="FEFEFE"/>
        </w:rPr>
      </w:pPr>
    </w:p>
    <w:p>
      <w:pPr>
        <w:ind w:left="219" w:hanging="219"/>
        <w:spacing w:after="0" w:line="207" w:lineRule="auto"/>
        <w:tabs>
          <w:tab w:leader="none" w:pos="111" w:val="left"/>
        </w:tabs>
        <w:numPr>
          <w:ilvl w:val="0"/>
          <w:numId w:val="151"/>
        </w:numPr>
        <w:rPr>
          <w:rFonts w:ascii="Arial" w:cs="Arial" w:eastAsia="Arial" w:hAnsi="Arial"/>
          <w:sz w:val="31"/>
          <w:szCs w:val="31"/>
          <w:color w:val="auto"/>
          <w:vertAlign w:val="subscript"/>
        </w:rPr>
      </w:pPr>
      <w:r>
        <w:rPr>
          <w:rFonts w:ascii="Arial" w:cs="Arial" w:eastAsia="Arial" w:hAnsi="Arial"/>
          <w:sz w:val="30"/>
          <w:szCs w:val="30"/>
          <w:color w:val="auto"/>
          <w:vertAlign w:val="subscript"/>
        </w:rPr>
        <w:t>​</w:t>
      </w:r>
      <w:r>
        <w:rPr>
          <w:rFonts w:ascii="Arial" w:cs="Arial" w:eastAsia="Arial" w:hAnsi="Arial"/>
          <w:sz w:val="15"/>
          <w:szCs w:val="15"/>
          <w:color w:val="auto"/>
        </w:rPr>
        <w:t xml:space="preserve"> In an uncontested election, such as the election of directors at the 2025 Annual Meeting, to be elected, each of the nominees for director must receive more votes “For” such nominee’s election than “Against” such election. With respect to each nominee, you may vote “For,” “Against,” or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-1560830</wp:posOffset>
            </wp:positionH>
            <wp:positionV relativeFrom="paragraph">
              <wp:posOffset>-1905</wp:posOffset>
            </wp:positionV>
            <wp:extent cx="562356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FEFEFE"/>
        </w:rPr>
        <w:t>Effect of</w:t>
      </w:r>
    </w:p>
    <w:p>
      <w:pPr>
        <w:spacing w:after="0" w:line="21" w:lineRule="exact"/>
        <w:rPr>
          <w:sz w:val="20"/>
          <w:szCs w:val="20"/>
          <w:color w:val="auto"/>
        </w:rPr>
      </w:pPr>
    </w:p>
    <w:p>
      <w:pPr>
        <w:spacing w:after="0"/>
        <w:tabs>
          <w:tab w:leader="none" w:pos="340" w:val="left"/>
          <w:tab w:leader="none" w:pos="1500" w:val="left"/>
        </w:tabs>
        <w:rPr>
          <w:sz w:val="20"/>
          <w:szCs w:val="20"/>
          <w:color w:val="auto"/>
        </w:rPr>
      </w:pPr>
      <w:r>
        <w:rPr>
          <w:rFonts w:ascii="Arial" w:cs="Arial" w:eastAsia="Arial" w:hAnsi="Arial"/>
          <w:sz w:val="16"/>
          <w:szCs w:val="16"/>
          <w:b w:val="1"/>
          <w:bCs w:val="1"/>
          <w:color w:val="FEFEFE"/>
        </w:rPr>
        <w:t>​ ​</w:t>
        <w:tab/>
        <w:t>Abstentions</w:t>
        <w:tab/>
        <w:t>​</w:t>
      </w:r>
    </w:p>
    <w:p>
      <w:pPr>
        <w:spacing w:after="0" w:line="50" w:lineRule="exact"/>
        <w:rPr>
          <w:sz w:val="20"/>
          <w:szCs w:val="20"/>
          <w:color w:val="auto"/>
        </w:rPr>
      </w:pPr>
    </w:p>
    <w:p>
      <w:pPr>
        <w:ind w:left="220" w:right="179" w:hanging="215"/>
        <w:spacing w:after="0" w:line="181" w:lineRule="auto"/>
        <w:rPr>
          <w:sz w:val="20"/>
          <w:szCs w:val="20"/>
          <w:color w:val="auto"/>
        </w:rPr>
      </w:pPr>
      <w:r>
        <w:rPr>
          <w:rFonts w:ascii="Arial" w:cs="Arial" w:eastAsia="Arial" w:hAnsi="Arial"/>
          <w:sz w:val="30"/>
          <w:szCs w:val="30"/>
          <w:color w:val="auto"/>
          <w:vertAlign w:val="subscript"/>
        </w:rPr>
        <w:t>​ ​</w:t>
      </w:r>
      <w:r>
        <w:rPr>
          <w:rFonts w:ascii="Arial" w:cs="Arial" w:eastAsia="Arial" w:hAnsi="Arial"/>
          <w:sz w:val="15"/>
          <w:szCs w:val="15"/>
          <w:color w:val="auto"/>
        </w:rPr>
        <w:t xml:space="preserve"> Abstaining will</w:t>
      </w:r>
      <w:r>
        <w:rPr>
          <w:sz w:val="20"/>
          <w:szCs w:val="20"/>
          <w:color w:val="auto"/>
        </w:rPr>
        <w:t xml:space="preserve"> </w:t>
      </w:r>
      <w:r>
        <w:rPr>
          <w:rFonts w:ascii="Arial" w:cs="Arial" w:eastAsia="Arial" w:hAnsi="Arial"/>
          <w:sz w:val="28"/>
          <w:szCs w:val="28"/>
          <w:color w:val="auto"/>
          <w:vertAlign w:val="subscript"/>
        </w:rPr>
        <w:t>​ have no effect on the outcome of the election.</w:t>
      </w:r>
    </w:p>
    <w:p>
      <w:pPr>
        <w:spacing w:after="0" w:line="177" w:lineRule="exact"/>
        <w:rPr>
          <w:sz w:val="20"/>
          <w:szCs w:val="20"/>
          <w:color w:val="auto"/>
        </w:rPr>
      </w:pPr>
    </w:p>
    <w:p>
      <w:pPr>
        <w:sectPr>
          <w:pgSz w:w="11900" w:h="16838" w:orient="portrait"/>
          <w:cols w:equalWidth="0" w:num="3">
            <w:col w:w="3220" w:space="161"/>
            <w:col w:w="4579" w:space="180"/>
            <w:col w:w="1739"/>
          </w:cols>
          <w:pgMar w:left="580" w:top="97" w:right="1440" w:bottom="1440" w:gutter="0" w:footer="0" w:header="0"/>
          <w:type w:val="continuous"/>
        </w:sectPr>
      </w:pPr>
    </w:p>
    <w:p>
      <w:pPr>
        <w:ind w:left="1440" w:hanging="516"/>
        <w:spacing w:after="0" w:line="181" w:lineRule="auto"/>
        <w:tabs>
          <w:tab w:leader="none" w:pos="1035" w:val="left"/>
        </w:tabs>
        <w:numPr>
          <w:ilvl w:val="0"/>
          <w:numId w:val="152"/>
        </w:numPr>
        <w:rPr>
          <w:rFonts w:ascii="Arial" w:cs="Arial" w:eastAsia="Arial" w:hAnsi="Arial"/>
          <w:sz w:val="19"/>
          <w:szCs w:val="19"/>
          <w:color w:val="auto"/>
          <w:vertAlign w:val="subscript"/>
        </w:rPr>
      </w:pPr>
      <w:r>
        <w:rPr>
          <w:rFonts w:ascii="Arial" w:cs="Arial" w:eastAsia="Arial" w:hAnsi="Arial"/>
          <w:sz w:val="33"/>
          <w:szCs w:val="33"/>
          <w:color w:val="62259D"/>
          <w:vertAlign w:val="subscript"/>
        </w:rPr>
        <w:t>2</w:t>
      </w:r>
      <w:r>
        <w:rPr>
          <w:rFonts w:ascii="Arial" w:cs="Arial" w:eastAsia="Arial" w:hAnsi="Arial"/>
          <w:sz w:val="19"/>
          <w:szCs w:val="19"/>
          <w:color w:val="auto"/>
          <w:vertAlign w:val="subscript"/>
        </w:rPr>
        <w:t>​ ​</w:t>
      </w:r>
      <w:r>
        <w:rPr>
          <w:rFonts w:ascii="Arial" w:cs="Arial" w:eastAsia="Arial" w:hAnsi="Arial"/>
          <w:sz w:val="12"/>
          <w:szCs w:val="12"/>
          <w:color w:val="auto"/>
        </w:rPr>
        <w:t xml:space="preserve"> Ratification of the appointment of auditors</w:t>
      </w:r>
    </w:p>
    <w:p>
      <w:pPr>
        <w:spacing w:after="0" w:line="20" w:lineRule="exact"/>
        <w:rPr>
          <w:sz w:val="20"/>
          <w:szCs w:val="20"/>
          <w:color w:val="auto"/>
        </w:rPr>
      </w:pPr>
      <w:r>
        <w:rPr>
          <w:sz w:val="20"/>
          <w:szCs w:val="20"/>
          <w:color w:val="auto"/>
        </w:rPr>
        <w:br w:type="column"/>
      </w:r>
    </w:p>
    <w:p>
      <w:pPr>
        <w:ind w:right="179" w:hanging="215"/>
        <w:spacing w:after="0"/>
        <w:rPr>
          <w:sz w:val="20"/>
          <w:szCs w:val="20"/>
          <w:color w:val="auto"/>
        </w:rPr>
      </w:pPr>
      <w:r>
        <w:rPr>
          <w:rFonts w:ascii="Arial" w:cs="Arial" w:eastAsia="Arial" w:hAnsi="Arial"/>
          <w:sz w:val="30"/>
          <w:szCs w:val="30"/>
          <w:color w:val="auto"/>
          <w:vertAlign w:val="subscript"/>
        </w:rPr>
        <w:t>​ ​</w:t>
      </w:r>
      <w:r>
        <w:rPr>
          <w:rFonts w:ascii="Arial" w:cs="Arial" w:eastAsia="Arial" w:hAnsi="Arial"/>
          <w:sz w:val="15"/>
          <w:szCs w:val="15"/>
          <w:color w:val="auto"/>
        </w:rPr>
        <w:t xml:space="preserve"> The affirmative vote of a majority of the shares of common stock </w:t>
      </w:r>
      <w:r>
        <w:rPr>
          <w:rFonts w:ascii="Arial" w:cs="Arial" w:eastAsia="Arial" w:hAnsi="Arial"/>
          <w:sz w:val="30"/>
          <w:szCs w:val="30"/>
          <w:color w:val="auto"/>
          <w:vertAlign w:val="subscript"/>
        </w:rPr>
        <w:t>​ ​</w:t>
      </w:r>
      <w:r>
        <w:rPr>
          <w:rFonts w:ascii="Arial" w:cs="Arial" w:eastAsia="Arial" w:hAnsi="Arial"/>
          <w:sz w:val="15"/>
          <w:szCs w:val="15"/>
          <w:color w:val="auto"/>
        </w:rPr>
        <w:t xml:space="preserve"> Abstaining from</w:t>
      </w:r>
      <w:r>
        <w:rPr>
          <w:sz w:val="20"/>
          <w:szCs w:val="20"/>
          <w:color w:val="auto"/>
        </w:rPr>
        <w:t xml:space="preserve"> </w:t>
      </w:r>
      <w:r>
        <w:rPr>
          <w:rFonts w:ascii="Arial" w:cs="Arial" w:eastAsia="Arial" w:hAnsi="Arial"/>
          <w:sz w:val="25"/>
          <w:szCs w:val="25"/>
          <w:color w:val="auto"/>
          <w:vertAlign w:val="subscript"/>
        </w:rPr>
        <w:t>​ present or represented at the 2025 Annual Meeting and entitled voting on this</w:t>
      </w:r>
    </w:p>
    <w:p>
      <w:pPr>
        <w:spacing w:after="0" w:line="104" w:lineRule="exact"/>
        <w:rPr>
          <w:sz w:val="20"/>
          <w:szCs w:val="20"/>
          <w:color w:val="auto"/>
        </w:rPr>
      </w:pPr>
    </w:p>
    <w:p>
      <w:pPr>
        <w:spacing w:after="0"/>
        <w:tabs>
          <w:tab w:leader="none" w:pos="4740" w:val="left"/>
        </w:tabs>
        <w:rPr>
          <w:sz w:val="20"/>
          <w:szCs w:val="20"/>
          <w:color w:val="auto"/>
        </w:rPr>
      </w:pPr>
      <w:r>
        <w:rPr>
          <w:rFonts w:ascii="Arial" w:cs="Arial" w:eastAsia="Arial" w:hAnsi="Arial"/>
          <w:sz w:val="15"/>
          <w:szCs w:val="15"/>
          <w:color w:val="auto"/>
        </w:rPr>
        <w:t>to vote on this proposal will be required to approve this</w:t>
      </w:r>
      <w:r>
        <w:rPr>
          <w:sz w:val="20"/>
          <w:szCs w:val="20"/>
          <w:color w:val="auto"/>
        </w:rPr>
        <w:tab/>
      </w:r>
      <w:r>
        <w:rPr>
          <w:rFonts w:ascii="Arial" w:cs="Arial" w:eastAsia="Arial" w:hAnsi="Arial"/>
          <w:sz w:val="15"/>
          <w:szCs w:val="15"/>
          <w:color w:val="auto"/>
        </w:rPr>
        <w:t>proposal will have</w:t>
      </w:r>
    </w:p>
    <w:p>
      <w:pPr>
        <w:spacing w:after="0" w:line="6" w:lineRule="exact"/>
        <w:rPr>
          <w:sz w:val="20"/>
          <w:szCs w:val="20"/>
          <w:color w:val="auto"/>
        </w:rPr>
      </w:pPr>
    </w:p>
    <w:p>
      <w:pPr>
        <w:spacing w:after="0"/>
        <w:tabs>
          <w:tab w:leader="none" w:pos="4740" w:val="left"/>
        </w:tabs>
        <w:rPr>
          <w:sz w:val="20"/>
          <w:szCs w:val="20"/>
          <w:color w:val="auto"/>
        </w:rPr>
      </w:pPr>
      <w:r>
        <w:rPr>
          <w:rFonts w:ascii="Arial" w:cs="Arial" w:eastAsia="Arial" w:hAnsi="Arial"/>
          <w:sz w:val="15"/>
          <w:szCs w:val="15"/>
          <w:color w:val="auto"/>
        </w:rPr>
        <w:t>proposal. You may vote “For,” “Against,” or “Abstain” from voting</w:t>
      </w:r>
      <w:r>
        <w:rPr>
          <w:sz w:val="20"/>
          <w:szCs w:val="20"/>
          <w:color w:val="auto"/>
        </w:rPr>
        <w:tab/>
      </w:r>
      <w:r>
        <w:rPr>
          <w:rFonts w:ascii="Arial" w:cs="Arial" w:eastAsia="Arial" w:hAnsi="Arial"/>
          <w:sz w:val="15"/>
          <w:szCs w:val="15"/>
          <w:color w:val="auto"/>
        </w:rPr>
        <w:t>the effect of a</w:t>
      </w:r>
    </w:p>
    <w:p>
      <w:pPr>
        <w:spacing w:after="0" w:line="3" w:lineRule="exact"/>
        <w:rPr>
          <w:sz w:val="20"/>
          <w:szCs w:val="20"/>
          <w:color w:val="auto"/>
        </w:rPr>
      </w:pPr>
    </w:p>
    <w:p>
      <w:pPr>
        <w:spacing w:after="0"/>
        <w:tabs>
          <w:tab w:leader="none" w:pos="4740" w:val="left"/>
        </w:tabs>
        <w:rPr>
          <w:sz w:val="20"/>
          <w:szCs w:val="20"/>
          <w:color w:val="auto"/>
        </w:rPr>
      </w:pPr>
      <w:r>
        <w:rPr>
          <w:rFonts w:ascii="Arial" w:cs="Arial" w:eastAsia="Arial" w:hAnsi="Arial"/>
          <w:sz w:val="15"/>
          <w:szCs w:val="15"/>
          <w:color w:val="auto"/>
        </w:rPr>
        <w:t>on this proposal.</w:t>
      </w:r>
      <w:r>
        <w:rPr>
          <w:sz w:val="20"/>
          <w:szCs w:val="20"/>
          <w:color w:val="auto"/>
        </w:rPr>
        <w:tab/>
      </w:r>
      <w:r>
        <w:rPr>
          <w:rFonts w:ascii="Arial" w:cs="Arial" w:eastAsia="Arial" w:hAnsi="Arial"/>
          <w:sz w:val="15"/>
          <w:szCs w:val="15"/>
          <w:color w:val="auto"/>
        </w:rPr>
        <w:t>vote against this</w:t>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5"/>
          <w:szCs w:val="15"/>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3810</wp:posOffset>
            </wp:positionV>
            <wp:extent cx="562356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4" w:lineRule="exact"/>
        <w:rPr>
          <w:sz w:val="20"/>
          <w:szCs w:val="20"/>
          <w:color w:val="auto"/>
        </w:rPr>
      </w:pPr>
    </w:p>
    <w:p>
      <w:pPr>
        <w:sectPr>
          <w:pgSz w:w="11900" w:h="16838" w:orient="portrait"/>
          <w:cols w:equalWidth="0" w:num="2">
            <w:col w:w="3100" w:space="500"/>
            <w:col w:w="6279"/>
          </w:cols>
          <w:pgMar w:left="580" w:top="97" w:right="1440" w:bottom="1440" w:gutter="0" w:footer="0" w:header="0"/>
          <w:type w:val="continuous"/>
        </w:sectPr>
      </w:pPr>
    </w:p>
    <w:tbl>
      <w:tblPr>
        <w:tblLayout w:type="fixed"/>
        <w:tblInd w:w="920" w:type="dxa"/>
        <w:tblCellMar>
          <w:top w:w="0" w:type="dxa"/>
          <w:left w:w="0" w:type="dxa"/>
          <w:bottom w:w="0" w:type="dxa"/>
          <w:right w:w="0" w:type="dxa"/>
        </w:tblCellMar>
      </w:tblPr>
      <w:tr>
        <w:trPr>
          <w:trHeight w:val="191"/>
        </w:trPr>
        <w:tc>
          <w:tcPr>
            <w:tcW w:w="480" w:type="dxa"/>
            <w:vAlign w:val="bottom"/>
            <w:vMerge w:val="restart"/>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32"/>
                <w:szCs w:val="32"/>
                <w:color w:val="62259D"/>
              </w:rPr>
              <w:t>3</w:t>
            </w:r>
            <w:r>
              <w:rPr>
                <w:rFonts w:ascii="Arial" w:cs="Arial" w:eastAsia="Arial" w:hAnsi="Arial"/>
                <w:sz w:val="15"/>
                <w:szCs w:val="15"/>
                <w:color w:val="auto"/>
              </w:rPr>
              <w:t>​ ​</w:t>
            </w:r>
          </w:p>
        </w:tc>
        <w:tc>
          <w:tcPr>
            <w:tcW w:w="1960" w:type="dxa"/>
            <w:vAlign w:val="bottom"/>
          </w:tcPr>
          <w:p>
            <w:pPr>
              <w:ind w:left="40"/>
              <w:spacing w:after="0"/>
              <w:rPr>
                <w:sz w:val="20"/>
                <w:szCs w:val="20"/>
                <w:color w:val="auto"/>
              </w:rPr>
            </w:pPr>
            <w:r>
              <w:rPr>
                <w:rFonts w:ascii="Arial" w:cs="Arial" w:eastAsia="Arial" w:hAnsi="Arial"/>
                <w:sz w:val="15"/>
                <w:szCs w:val="15"/>
                <w:color w:val="auto"/>
              </w:rPr>
              <w:t>Approval, on a non-binding</w:t>
            </w:r>
          </w:p>
        </w:tc>
        <w:tc>
          <w:tcPr>
            <w:tcW w:w="200" w:type="dxa"/>
            <w:vAlign w:val="bottom"/>
            <w:vMerge w:val="restart"/>
          </w:tcPr>
          <w:p>
            <w:pPr>
              <w:ind w:left="20"/>
              <w:spacing w:after="0"/>
              <w:rPr>
                <w:sz w:val="20"/>
                <w:szCs w:val="20"/>
                <w:color w:val="auto"/>
              </w:rPr>
            </w:pPr>
            <w:r>
              <w:rPr>
                <w:rFonts w:ascii="Arial" w:cs="Arial" w:eastAsia="Arial" w:hAnsi="Arial"/>
                <w:sz w:val="15"/>
                <w:szCs w:val="15"/>
                <w:color w:val="auto"/>
              </w:rPr>
              <w:t>​ ​</w:t>
            </w:r>
          </w:p>
        </w:tc>
        <w:tc>
          <w:tcPr>
            <w:tcW w:w="4580" w:type="dxa"/>
            <w:vAlign w:val="bottom"/>
          </w:tcPr>
          <w:p>
            <w:pPr>
              <w:ind w:left="40"/>
              <w:spacing w:after="0"/>
              <w:rPr>
                <w:sz w:val="20"/>
                <w:szCs w:val="20"/>
                <w:color w:val="auto"/>
              </w:rPr>
            </w:pPr>
            <w:r>
              <w:rPr>
                <w:rFonts w:ascii="Arial" w:cs="Arial" w:eastAsia="Arial" w:hAnsi="Arial"/>
                <w:sz w:val="15"/>
                <w:szCs w:val="15"/>
                <w:color w:val="auto"/>
              </w:rPr>
              <w:t>The vote on the compensation of the named executive officers is</w:t>
            </w:r>
          </w:p>
        </w:tc>
        <w:tc>
          <w:tcPr>
            <w:tcW w:w="180" w:type="dxa"/>
            <w:vAlign w:val="bottom"/>
            <w:vMerge w:val="restart"/>
          </w:tcPr>
          <w:p>
            <w:pPr>
              <w:spacing w:after="0"/>
              <w:rPr>
                <w:sz w:val="20"/>
                <w:szCs w:val="20"/>
                <w:color w:val="auto"/>
              </w:rPr>
            </w:pPr>
            <w:r>
              <w:rPr>
                <w:rFonts w:ascii="Arial" w:cs="Arial" w:eastAsia="Arial" w:hAnsi="Arial"/>
                <w:sz w:val="15"/>
                <w:szCs w:val="15"/>
                <w:color w:val="auto"/>
              </w:rPr>
              <w:t>​ ​</w:t>
            </w:r>
          </w:p>
        </w:tc>
        <w:tc>
          <w:tcPr>
            <w:tcW w:w="1320" w:type="dxa"/>
            <w:vAlign w:val="bottom"/>
          </w:tcPr>
          <w:p>
            <w:pPr>
              <w:ind w:left="40"/>
              <w:spacing w:after="0"/>
              <w:rPr>
                <w:sz w:val="20"/>
                <w:szCs w:val="20"/>
                <w:color w:val="auto"/>
              </w:rPr>
            </w:pPr>
            <w:r>
              <w:rPr>
                <w:rFonts w:ascii="Arial" w:cs="Arial" w:eastAsia="Arial" w:hAnsi="Arial"/>
                <w:sz w:val="15"/>
                <w:szCs w:val="15"/>
                <w:color w:val="auto"/>
              </w:rPr>
              <w:t>Abstaining from</w:t>
            </w:r>
          </w:p>
        </w:tc>
        <w:tc>
          <w:tcPr>
            <w:tcW w:w="14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80" w:type="dxa"/>
            <w:vAlign w:val="bottom"/>
            <w:vMerge w:val="continue"/>
          </w:tcPr>
          <w:p>
            <w:pPr>
              <w:spacing w:after="0"/>
              <w:rPr>
                <w:sz w:val="16"/>
                <w:szCs w:val="16"/>
                <w:color w:val="auto"/>
              </w:rPr>
            </w:pPr>
          </w:p>
        </w:tc>
        <w:tc>
          <w:tcPr>
            <w:tcW w:w="1960" w:type="dxa"/>
            <w:vAlign w:val="bottom"/>
          </w:tcPr>
          <w:p>
            <w:pPr>
              <w:ind w:left="40"/>
              <w:spacing w:after="0"/>
              <w:rPr>
                <w:sz w:val="20"/>
                <w:szCs w:val="20"/>
                <w:color w:val="auto"/>
              </w:rPr>
            </w:pPr>
            <w:r>
              <w:rPr>
                <w:rFonts w:ascii="Arial" w:cs="Arial" w:eastAsia="Arial" w:hAnsi="Arial"/>
                <w:sz w:val="15"/>
                <w:szCs w:val="15"/>
                <w:color w:val="auto"/>
              </w:rPr>
              <w:t>advisory basis, of the</w:t>
            </w:r>
          </w:p>
        </w:tc>
        <w:tc>
          <w:tcPr>
            <w:tcW w:w="200" w:type="dxa"/>
            <w:vAlign w:val="bottom"/>
            <w:vMerge w:val="continue"/>
          </w:tcPr>
          <w:p>
            <w:pPr>
              <w:spacing w:after="0"/>
              <w:rPr>
                <w:sz w:val="16"/>
                <w:szCs w:val="16"/>
                <w:color w:val="auto"/>
              </w:rPr>
            </w:pPr>
          </w:p>
        </w:tc>
        <w:tc>
          <w:tcPr>
            <w:tcW w:w="4580" w:type="dxa"/>
            <w:vAlign w:val="bottom"/>
          </w:tcPr>
          <w:p>
            <w:pPr>
              <w:ind w:left="40"/>
              <w:spacing w:after="0"/>
              <w:rPr>
                <w:sz w:val="20"/>
                <w:szCs w:val="20"/>
                <w:color w:val="auto"/>
              </w:rPr>
            </w:pPr>
            <w:r>
              <w:rPr>
                <w:rFonts w:ascii="Arial" w:cs="Arial" w:eastAsia="Arial" w:hAnsi="Arial"/>
                <w:sz w:val="15"/>
                <w:szCs w:val="15"/>
                <w:color w:val="auto"/>
              </w:rPr>
              <w:t>non-binding, as provided by law. However, our Board and its</w:t>
            </w:r>
          </w:p>
        </w:tc>
        <w:tc>
          <w:tcPr>
            <w:tcW w:w="180" w:type="dxa"/>
            <w:vAlign w:val="bottom"/>
            <w:vMerge w:val="continue"/>
          </w:tcPr>
          <w:p>
            <w:pPr>
              <w:spacing w:after="0"/>
              <w:rPr>
                <w:sz w:val="16"/>
                <w:szCs w:val="16"/>
                <w:color w:val="auto"/>
              </w:rPr>
            </w:pPr>
          </w:p>
        </w:tc>
        <w:tc>
          <w:tcPr>
            <w:tcW w:w="1320" w:type="dxa"/>
            <w:vAlign w:val="bottom"/>
          </w:tcPr>
          <w:p>
            <w:pPr>
              <w:ind w:left="40"/>
              <w:spacing w:after="0"/>
              <w:rPr>
                <w:sz w:val="20"/>
                <w:szCs w:val="20"/>
                <w:color w:val="auto"/>
              </w:rPr>
            </w:pPr>
            <w:r>
              <w:rPr>
                <w:rFonts w:ascii="Arial" w:cs="Arial" w:eastAsia="Arial" w:hAnsi="Arial"/>
                <w:sz w:val="15"/>
                <w:szCs w:val="15"/>
                <w:color w:val="auto"/>
              </w:rPr>
              <w:t>voting on this</w:t>
            </w: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Arial" w:cs="Arial" w:eastAsia="Arial" w:hAnsi="Arial"/>
                <w:sz w:val="15"/>
                <w:szCs w:val="15"/>
                <w:color w:val="auto"/>
              </w:rPr>
              <w:t>compensation of our</w:t>
            </w:r>
          </w:p>
        </w:tc>
        <w:tc>
          <w:tcPr>
            <w:tcW w:w="20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Arial" w:cs="Arial" w:eastAsia="Arial" w:hAnsi="Arial"/>
                <w:sz w:val="15"/>
                <w:szCs w:val="15"/>
                <w:color w:val="auto"/>
              </w:rPr>
              <w:t>Compensation Committee will review and consider the outcome</w:t>
            </w:r>
          </w:p>
        </w:tc>
        <w:tc>
          <w:tcPr>
            <w:tcW w:w="18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Arial" w:cs="Arial" w:eastAsia="Arial" w:hAnsi="Arial"/>
                <w:sz w:val="15"/>
                <w:szCs w:val="15"/>
                <w:color w:val="auto"/>
              </w:rPr>
              <w:t>proposal will have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Arial" w:cs="Arial" w:eastAsia="Arial" w:hAnsi="Arial"/>
                <w:sz w:val="15"/>
                <w:szCs w:val="15"/>
                <w:color w:val="auto"/>
              </w:rPr>
              <w:t>named executive officers</w:t>
            </w:r>
          </w:p>
        </w:tc>
        <w:tc>
          <w:tcPr>
            <w:tcW w:w="20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Arial" w:cs="Arial" w:eastAsia="Arial" w:hAnsi="Arial"/>
                <w:sz w:val="15"/>
                <w:szCs w:val="15"/>
                <w:color w:val="auto"/>
              </w:rPr>
              <w:t>of this vote when making future compensation decisions for our</w:t>
            </w:r>
          </w:p>
        </w:tc>
        <w:tc>
          <w:tcPr>
            <w:tcW w:w="18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Arial" w:cs="Arial" w:eastAsia="Arial" w:hAnsi="Arial"/>
                <w:sz w:val="15"/>
                <w:szCs w:val="15"/>
                <w:color w:val="auto"/>
              </w:rPr>
              <w:t>the effect of a</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Arial" w:cs="Arial" w:eastAsia="Arial" w:hAnsi="Arial"/>
                <w:sz w:val="15"/>
                <w:szCs w:val="15"/>
                <w:color w:val="auto"/>
              </w:rPr>
              <w:t>named executive officers. The affirmative vote of a majority of</w:t>
            </w:r>
          </w:p>
        </w:tc>
        <w:tc>
          <w:tcPr>
            <w:tcW w:w="18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Arial" w:cs="Arial" w:eastAsia="Arial" w:hAnsi="Arial"/>
                <w:sz w:val="15"/>
                <w:szCs w:val="15"/>
                <w:color w:val="auto"/>
              </w:rPr>
              <w:t>vote against this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Arial" w:cs="Arial" w:eastAsia="Arial" w:hAnsi="Arial"/>
                <w:sz w:val="15"/>
                <w:szCs w:val="15"/>
                <w:color w:val="auto"/>
              </w:rPr>
              <w:t>the shares of common stock present or represented at the 2025</w:t>
            </w:r>
          </w:p>
        </w:tc>
        <w:tc>
          <w:tcPr>
            <w:tcW w:w="18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Arial" w:cs="Arial" w:eastAsia="Arial" w:hAnsi="Arial"/>
                <w:sz w:val="15"/>
                <w:szCs w:val="15"/>
                <w:color w:val="auto"/>
              </w:rPr>
              <w:t>proposal.</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80" w:type="dxa"/>
            <w:vAlign w:val="bottom"/>
          </w:tcPr>
          <w:p>
            <w:pPr>
              <w:ind w:left="40"/>
              <w:spacing w:after="0"/>
              <w:rPr>
                <w:sz w:val="20"/>
                <w:szCs w:val="20"/>
                <w:color w:val="auto"/>
              </w:rPr>
            </w:pPr>
            <w:r>
              <w:rPr>
                <w:rFonts w:ascii="Arial" w:cs="Arial" w:eastAsia="Arial" w:hAnsi="Arial"/>
                <w:sz w:val="15"/>
                <w:szCs w:val="15"/>
                <w:color w:val="auto"/>
              </w:rPr>
              <w:t>Annual Meeting and entitled to vote on this proposal will be</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Arial" w:cs="Arial" w:eastAsia="Arial" w:hAnsi="Arial"/>
                <w:sz w:val="15"/>
                <w:szCs w:val="15"/>
                <w:color w:val="auto"/>
              </w:rPr>
              <w:t>required to approve this proposal. You may vote “For,” “Against,”</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80" w:type="dxa"/>
            <w:vAlign w:val="bottom"/>
            <w:tcBorders>
              <w:bottom w:val="single" w:sz="8" w:color="E7417A"/>
            </w:tcBorders>
          </w:tcPr>
          <w:p>
            <w:pPr>
              <w:spacing w:after="0"/>
              <w:rPr>
                <w:sz w:val="16"/>
                <w:szCs w:val="16"/>
                <w:color w:val="auto"/>
              </w:rPr>
            </w:pPr>
          </w:p>
        </w:tc>
        <w:tc>
          <w:tcPr>
            <w:tcW w:w="1960" w:type="dxa"/>
            <w:vAlign w:val="bottom"/>
            <w:tcBorders>
              <w:bottom w:val="single" w:sz="8" w:color="E7417A"/>
            </w:tcBorders>
          </w:tcPr>
          <w:p>
            <w:pPr>
              <w:spacing w:after="0"/>
              <w:rPr>
                <w:sz w:val="16"/>
                <w:szCs w:val="16"/>
                <w:color w:val="auto"/>
              </w:rPr>
            </w:pPr>
          </w:p>
        </w:tc>
        <w:tc>
          <w:tcPr>
            <w:tcW w:w="200" w:type="dxa"/>
            <w:vAlign w:val="bottom"/>
            <w:tcBorders>
              <w:bottom w:val="single" w:sz="8" w:color="E7417A"/>
            </w:tcBorders>
          </w:tcPr>
          <w:p>
            <w:pPr>
              <w:spacing w:after="0"/>
              <w:rPr>
                <w:sz w:val="16"/>
                <w:szCs w:val="16"/>
                <w:color w:val="auto"/>
              </w:rPr>
            </w:pPr>
          </w:p>
        </w:tc>
        <w:tc>
          <w:tcPr>
            <w:tcW w:w="4580" w:type="dxa"/>
            <w:vAlign w:val="bottom"/>
            <w:tcBorders>
              <w:bottom w:val="single" w:sz="8" w:color="E7417A"/>
            </w:tcBorders>
          </w:tcPr>
          <w:p>
            <w:pPr>
              <w:ind w:left="40"/>
              <w:spacing w:after="0"/>
              <w:rPr>
                <w:sz w:val="20"/>
                <w:szCs w:val="20"/>
                <w:color w:val="auto"/>
              </w:rPr>
            </w:pPr>
            <w:r>
              <w:rPr>
                <w:rFonts w:ascii="Arial" w:cs="Arial" w:eastAsia="Arial" w:hAnsi="Arial"/>
                <w:sz w:val="15"/>
                <w:szCs w:val="15"/>
                <w:color w:val="auto"/>
              </w:rPr>
              <w:t>or “Abstain” from voting on this proposal.</w:t>
            </w:r>
          </w:p>
        </w:tc>
        <w:tc>
          <w:tcPr>
            <w:tcW w:w="180" w:type="dxa"/>
            <w:vAlign w:val="bottom"/>
            <w:tcBorders>
              <w:bottom w:val="single" w:sz="8" w:color="E7417A"/>
            </w:tcBorders>
          </w:tcPr>
          <w:p>
            <w:pPr>
              <w:spacing w:after="0"/>
              <w:rPr>
                <w:sz w:val="16"/>
                <w:szCs w:val="16"/>
                <w:color w:val="auto"/>
              </w:rPr>
            </w:pPr>
          </w:p>
        </w:tc>
        <w:tc>
          <w:tcPr>
            <w:tcW w:w="1320" w:type="dxa"/>
            <w:vAlign w:val="bottom"/>
            <w:tcBorders>
              <w:bottom w:val="single" w:sz="8" w:color="E7417A"/>
            </w:tcBorders>
          </w:tcPr>
          <w:p>
            <w:pPr>
              <w:spacing w:after="0"/>
              <w:rPr>
                <w:sz w:val="16"/>
                <w:szCs w:val="16"/>
                <w:color w:val="auto"/>
              </w:rPr>
            </w:pPr>
          </w:p>
        </w:tc>
        <w:tc>
          <w:tcPr>
            <w:tcW w:w="140" w:type="dxa"/>
            <w:vAlign w:val="bottom"/>
            <w:tcBorders>
              <w:bottom w:val="single" w:sz="8" w:color="E7417A"/>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80" w:type="dxa"/>
            <w:vAlign w:val="bottom"/>
            <w:vMerge w:val="restart"/>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32"/>
                <w:szCs w:val="32"/>
                <w:color w:val="62259D"/>
              </w:rPr>
              <w:t>4</w:t>
            </w:r>
            <w:r>
              <w:rPr>
                <w:rFonts w:ascii="Arial" w:cs="Arial" w:eastAsia="Arial" w:hAnsi="Arial"/>
                <w:sz w:val="15"/>
                <w:szCs w:val="15"/>
                <w:color w:val="auto"/>
              </w:rPr>
              <w:t>​ ​</w:t>
            </w:r>
          </w:p>
        </w:tc>
        <w:tc>
          <w:tcPr>
            <w:tcW w:w="1960" w:type="dxa"/>
            <w:vAlign w:val="bottom"/>
          </w:tcPr>
          <w:p>
            <w:pPr>
              <w:ind w:left="40"/>
              <w:spacing w:after="0"/>
              <w:rPr>
                <w:sz w:val="20"/>
                <w:szCs w:val="20"/>
                <w:color w:val="auto"/>
              </w:rPr>
            </w:pPr>
            <w:r>
              <w:rPr>
                <w:rFonts w:ascii="Arial" w:cs="Arial" w:eastAsia="Arial" w:hAnsi="Arial"/>
                <w:sz w:val="15"/>
                <w:szCs w:val="15"/>
                <w:color w:val="auto"/>
              </w:rPr>
              <w:t>Approval of amendment to</w:t>
            </w:r>
          </w:p>
        </w:tc>
        <w:tc>
          <w:tcPr>
            <w:tcW w:w="200" w:type="dxa"/>
            <w:vAlign w:val="bottom"/>
            <w:vMerge w:val="restart"/>
          </w:tcPr>
          <w:p>
            <w:pPr>
              <w:ind w:left="20"/>
              <w:spacing w:after="0"/>
              <w:rPr>
                <w:sz w:val="20"/>
                <w:szCs w:val="20"/>
                <w:color w:val="auto"/>
              </w:rPr>
            </w:pPr>
            <w:r>
              <w:rPr>
                <w:rFonts w:ascii="Arial" w:cs="Arial" w:eastAsia="Arial" w:hAnsi="Arial"/>
                <w:sz w:val="15"/>
                <w:szCs w:val="15"/>
                <w:color w:val="auto"/>
              </w:rPr>
              <w:t>​ ​</w:t>
            </w:r>
          </w:p>
        </w:tc>
        <w:tc>
          <w:tcPr>
            <w:tcW w:w="4580" w:type="dxa"/>
            <w:vAlign w:val="bottom"/>
          </w:tcPr>
          <w:p>
            <w:pPr>
              <w:ind w:left="40"/>
              <w:spacing w:after="0"/>
              <w:rPr>
                <w:sz w:val="20"/>
                <w:szCs w:val="20"/>
                <w:color w:val="auto"/>
              </w:rPr>
            </w:pPr>
            <w:r>
              <w:rPr>
                <w:rFonts w:ascii="Arial" w:cs="Arial" w:eastAsia="Arial" w:hAnsi="Arial"/>
                <w:sz w:val="15"/>
                <w:szCs w:val="15"/>
                <w:color w:val="auto"/>
              </w:rPr>
              <w:t>The affirmative vote of a majority of the outstanding shares of</w:t>
            </w:r>
          </w:p>
        </w:tc>
        <w:tc>
          <w:tcPr>
            <w:tcW w:w="180" w:type="dxa"/>
            <w:vAlign w:val="bottom"/>
            <w:vMerge w:val="restart"/>
          </w:tcPr>
          <w:p>
            <w:pPr>
              <w:spacing w:after="0"/>
              <w:rPr>
                <w:sz w:val="20"/>
                <w:szCs w:val="20"/>
                <w:color w:val="auto"/>
              </w:rPr>
            </w:pPr>
            <w:r>
              <w:rPr>
                <w:rFonts w:ascii="Arial" w:cs="Arial" w:eastAsia="Arial" w:hAnsi="Arial"/>
                <w:sz w:val="15"/>
                <w:szCs w:val="15"/>
                <w:color w:val="auto"/>
              </w:rPr>
              <w:t>​ ​</w:t>
            </w:r>
          </w:p>
        </w:tc>
        <w:tc>
          <w:tcPr>
            <w:tcW w:w="1320" w:type="dxa"/>
            <w:vAlign w:val="bottom"/>
          </w:tcPr>
          <w:p>
            <w:pPr>
              <w:ind w:left="40"/>
              <w:spacing w:after="0"/>
              <w:rPr>
                <w:sz w:val="20"/>
                <w:szCs w:val="20"/>
                <w:color w:val="auto"/>
              </w:rPr>
            </w:pPr>
            <w:r>
              <w:rPr>
                <w:rFonts w:ascii="Arial" w:cs="Arial" w:eastAsia="Arial" w:hAnsi="Arial"/>
                <w:sz w:val="15"/>
                <w:szCs w:val="15"/>
                <w:color w:val="auto"/>
              </w:rPr>
              <w:t>Abstaining from</w:t>
            </w:r>
          </w:p>
        </w:tc>
        <w:tc>
          <w:tcPr>
            <w:tcW w:w="14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80" w:type="dxa"/>
            <w:vAlign w:val="bottom"/>
            <w:vMerge w:val="continue"/>
          </w:tcPr>
          <w:p>
            <w:pPr>
              <w:spacing w:after="0"/>
              <w:rPr>
                <w:sz w:val="16"/>
                <w:szCs w:val="16"/>
                <w:color w:val="auto"/>
              </w:rPr>
            </w:pPr>
          </w:p>
        </w:tc>
        <w:tc>
          <w:tcPr>
            <w:tcW w:w="1960" w:type="dxa"/>
            <w:vAlign w:val="bottom"/>
          </w:tcPr>
          <w:p>
            <w:pPr>
              <w:ind w:left="40"/>
              <w:spacing w:after="0"/>
              <w:rPr>
                <w:sz w:val="20"/>
                <w:szCs w:val="20"/>
                <w:color w:val="auto"/>
              </w:rPr>
            </w:pPr>
            <w:r>
              <w:rPr>
                <w:rFonts w:ascii="Arial" w:cs="Arial" w:eastAsia="Arial" w:hAnsi="Arial"/>
                <w:sz w:val="15"/>
                <w:szCs w:val="15"/>
                <w:color w:val="auto"/>
              </w:rPr>
              <w:t>increase our authorized</w:t>
            </w:r>
          </w:p>
        </w:tc>
        <w:tc>
          <w:tcPr>
            <w:tcW w:w="200" w:type="dxa"/>
            <w:vAlign w:val="bottom"/>
            <w:vMerge w:val="continue"/>
          </w:tcPr>
          <w:p>
            <w:pPr>
              <w:spacing w:after="0"/>
              <w:rPr>
                <w:sz w:val="16"/>
                <w:szCs w:val="16"/>
                <w:color w:val="auto"/>
              </w:rPr>
            </w:pPr>
          </w:p>
        </w:tc>
        <w:tc>
          <w:tcPr>
            <w:tcW w:w="4580" w:type="dxa"/>
            <w:vAlign w:val="bottom"/>
          </w:tcPr>
          <w:p>
            <w:pPr>
              <w:ind w:left="40"/>
              <w:spacing w:after="0"/>
              <w:rPr>
                <w:sz w:val="20"/>
                <w:szCs w:val="20"/>
                <w:color w:val="auto"/>
              </w:rPr>
            </w:pPr>
            <w:r>
              <w:rPr>
                <w:rFonts w:ascii="Arial" w:cs="Arial" w:eastAsia="Arial" w:hAnsi="Arial"/>
                <w:sz w:val="15"/>
                <w:szCs w:val="15"/>
                <w:color w:val="auto"/>
              </w:rPr>
              <w:t>common stock entitled to vote on this proposal at the 2025</w:t>
            </w:r>
          </w:p>
        </w:tc>
        <w:tc>
          <w:tcPr>
            <w:tcW w:w="180" w:type="dxa"/>
            <w:vAlign w:val="bottom"/>
            <w:vMerge w:val="continue"/>
          </w:tcPr>
          <w:p>
            <w:pPr>
              <w:spacing w:after="0"/>
              <w:rPr>
                <w:sz w:val="16"/>
                <w:szCs w:val="16"/>
                <w:color w:val="auto"/>
              </w:rPr>
            </w:pPr>
          </w:p>
        </w:tc>
        <w:tc>
          <w:tcPr>
            <w:tcW w:w="1320" w:type="dxa"/>
            <w:vAlign w:val="bottom"/>
          </w:tcPr>
          <w:p>
            <w:pPr>
              <w:ind w:left="40"/>
              <w:spacing w:after="0"/>
              <w:rPr>
                <w:sz w:val="20"/>
                <w:szCs w:val="20"/>
                <w:color w:val="auto"/>
              </w:rPr>
            </w:pPr>
            <w:r>
              <w:rPr>
                <w:rFonts w:ascii="Arial" w:cs="Arial" w:eastAsia="Arial" w:hAnsi="Arial"/>
                <w:sz w:val="15"/>
                <w:szCs w:val="15"/>
                <w:color w:val="auto"/>
              </w:rPr>
              <w:t>voting on this</w:t>
            </w: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Arial" w:cs="Arial" w:eastAsia="Arial" w:hAnsi="Arial"/>
                <w:sz w:val="15"/>
                <w:szCs w:val="15"/>
                <w:color w:val="auto"/>
              </w:rPr>
              <w:t>shares of common stock to</w:t>
            </w:r>
          </w:p>
        </w:tc>
        <w:tc>
          <w:tcPr>
            <w:tcW w:w="20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Arial" w:cs="Arial" w:eastAsia="Arial" w:hAnsi="Arial"/>
                <w:sz w:val="15"/>
                <w:szCs w:val="15"/>
                <w:color w:val="auto"/>
              </w:rPr>
              <w:t>Annual Meeting will be required to approve this proposal. You</w:t>
            </w:r>
          </w:p>
        </w:tc>
        <w:tc>
          <w:tcPr>
            <w:tcW w:w="18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Arial" w:cs="Arial" w:eastAsia="Arial" w:hAnsi="Arial"/>
                <w:sz w:val="15"/>
                <w:szCs w:val="15"/>
                <w:color w:val="auto"/>
              </w:rPr>
              <w:t>proposal will have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Arial" w:cs="Arial" w:eastAsia="Arial" w:hAnsi="Arial"/>
                <w:sz w:val="15"/>
                <w:szCs w:val="15"/>
                <w:color w:val="auto"/>
              </w:rPr>
              <w:t>390 million shares.</w:t>
            </w:r>
          </w:p>
        </w:tc>
        <w:tc>
          <w:tcPr>
            <w:tcW w:w="20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Arial" w:cs="Arial" w:eastAsia="Arial" w:hAnsi="Arial"/>
                <w:sz w:val="15"/>
                <w:szCs w:val="15"/>
                <w:color w:val="auto"/>
              </w:rPr>
              <w:t>may vote “For,” “Against,” or “Abstain” from voting on this</w:t>
            </w:r>
          </w:p>
        </w:tc>
        <w:tc>
          <w:tcPr>
            <w:tcW w:w="18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Arial" w:cs="Arial" w:eastAsia="Arial" w:hAnsi="Arial"/>
                <w:sz w:val="15"/>
                <w:szCs w:val="15"/>
                <w:color w:val="auto"/>
              </w:rPr>
              <w:t>the effect of a</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Arial" w:cs="Arial" w:eastAsia="Arial" w:hAnsi="Arial"/>
                <w:sz w:val="15"/>
                <w:szCs w:val="15"/>
                <w:color w:val="auto"/>
              </w:rPr>
              <w:t>proposal.</w:t>
            </w:r>
          </w:p>
        </w:tc>
        <w:tc>
          <w:tcPr>
            <w:tcW w:w="18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Arial" w:cs="Arial" w:eastAsia="Arial" w:hAnsi="Arial"/>
                <w:sz w:val="15"/>
                <w:szCs w:val="15"/>
                <w:color w:val="auto"/>
              </w:rPr>
              <w:t>vote against this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80" w:type="dxa"/>
            <w:vAlign w:val="bottom"/>
            <w:tcBorders>
              <w:bottom w:val="single" w:sz="8" w:color="62259D"/>
            </w:tcBorders>
          </w:tcPr>
          <w:p>
            <w:pPr>
              <w:spacing w:after="0"/>
              <w:rPr>
                <w:sz w:val="16"/>
                <w:szCs w:val="16"/>
                <w:color w:val="auto"/>
              </w:rPr>
            </w:pPr>
          </w:p>
        </w:tc>
        <w:tc>
          <w:tcPr>
            <w:tcW w:w="1960" w:type="dxa"/>
            <w:vAlign w:val="bottom"/>
            <w:tcBorders>
              <w:bottom w:val="single" w:sz="8" w:color="62259D"/>
            </w:tcBorders>
          </w:tcPr>
          <w:p>
            <w:pPr>
              <w:spacing w:after="0"/>
              <w:rPr>
                <w:sz w:val="16"/>
                <w:szCs w:val="16"/>
                <w:color w:val="auto"/>
              </w:rPr>
            </w:pPr>
          </w:p>
        </w:tc>
        <w:tc>
          <w:tcPr>
            <w:tcW w:w="200" w:type="dxa"/>
            <w:vAlign w:val="bottom"/>
            <w:tcBorders>
              <w:bottom w:val="single" w:sz="8" w:color="62259D"/>
            </w:tcBorders>
          </w:tcPr>
          <w:p>
            <w:pPr>
              <w:spacing w:after="0"/>
              <w:rPr>
                <w:sz w:val="16"/>
                <w:szCs w:val="16"/>
                <w:color w:val="auto"/>
              </w:rPr>
            </w:pPr>
          </w:p>
        </w:tc>
        <w:tc>
          <w:tcPr>
            <w:tcW w:w="4580" w:type="dxa"/>
            <w:vAlign w:val="bottom"/>
            <w:tcBorders>
              <w:bottom w:val="single" w:sz="8" w:color="62259D"/>
            </w:tcBorders>
          </w:tcPr>
          <w:p>
            <w:pPr>
              <w:spacing w:after="0"/>
              <w:rPr>
                <w:sz w:val="16"/>
                <w:szCs w:val="16"/>
                <w:color w:val="auto"/>
              </w:rPr>
            </w:pPr>
          </w:p>
        </w:tc>
        <w:tc>
          <w:tcPr>
            <w:tcW w:w="180" w:type="dxa"/>
            <w:vAlign w:val="bottom"/>
            <w:tcBorders>
              <w:bottom w:val="single" w:sz="8" w:color="62259D"/>
            </w:tcBorders>
          </w:tcPr>
          <w:p>
            <w:pPr>
              <w:spacing w:after="0"/>
              <w:rPr>
                <w:sz w:val="16"/>
                <w:szCs w:val="16"/>
                <w:color w:val="auto"/>
              </w:rPr>
            </w:pPr>
          </w:p>
        </w:tc>
        <w:tc>
          <w:tcPr>
            <w:tcW w:w="1320" w:type="dxa"/>
            <w:vAlign w:val="bottom"/>
            <w:tcBorders>
              <w:bottom w:val="single" w:sz="8" w:color="62259D"/>
            </w:tcBorders>
          </w:tcPr>
          <w:p>
            <w:pPr>
              <w:ind w:left="40"/>
              <w:spacing w:after="0"/>
              <w:rPr>
                <w:sz w:val="20"/>
                <w:szCs w:val="20"/>
                <w:color w:val="auto"/>
              </w:rPr>
            </w:pPr>
            <w:r>
              <w:rPr>
                <w:rFonts w:ascii="Arial" w:cs="Arial" w:eastAsia="Arial" w:hAnsi="Arial"/>
                <w:sz w:val="15"/>
                <w:szCs w:val="15"/>
                <w:color w:val="auto"/>
              </w:rPr>
              <w:t>proposal.</w:t>
            </w:r>
          </w:p>
        </w:tc>
        <w:tc>
          <w:tcPr>
            <w:tcW w:w="140" w:type="dxa"/>
            <w:vAlign w:val="bottom"/>
            <w:tcBorders>
              <w:bottom w:val="single" w:sz="8" w:color="62259D"/>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9166BA"/>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236855</wp:posOffset>
            </wp:positionV>
            <wp:extent cx="5623560" cy="28257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623560" cy="2825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1040" w:hanging="116"/>
        <w:spacing w:after="0"/>
        <w:tabs>
          <w:tab w:leader="none" w:pos="1040" w:val="left"/>
        </w:tabs>
        <w:numPr>
          <w:ilvl w:val="0"/>
          <w:numId w:val="153"/>
        </w:numPr>
        <w:rPr>
          <w:rFonts w:ascii="Arial" w:cs="Arial" w:eastAsia="Arial" w:hAnsi="Arial"/>
          <w:sz w:val="16"/>
          <w:szCs w:val="16"/>
          <w:b w:val="1"/>
          <w:bCs w:val="1"/>
          <w:color w:val="FEFEFE"/>
        </w:rPr>
      </w:pPr>
      <w:r>
        <w:rPr>
          <w:rFonts w:ascii="Arial" w:cs="Arial" w:eastAsia="Arial" w:hAnsi="Arial"/>
          <w:sz w:val="16"/>
          <w:szCs w:val="16"/>
          <w:b w:val="1"/>
          <w:bCs w:val="1"/>
          <w:color w:val="FEFEFE"/>
        </w:rPr>
        <w:t>Proposal</w:t>
      </w:r>
    </w:p>
    <w:p>
      <w:pPr>
        <w:spacing w:after="0" w:line="65" w:lineRule="exact"/>
        <w:rPr>
          <w:rFonts w:ascii="Arial" w:cs="Arial" w:eastAsia="Arial" w:hAnsi="Arial"/>
          <w:sz w:val="16"/>
          <w:szCs w:val="16"/>
          <w:b w:val="1"/>
          <w:bCs w:val="1"/>
          <w:color w:val="FEFEFE"/>
        </w:rPr>
      </w:pPr>
    </w:p>
    <w:p>
      <w:pPr>
        <w:ind w:left="1440" w:hanging="516"/>
        <w:spacing w:after="0" w:line="182" w:lineRule="auto"/>
        <w:tabs>
          <w:tab w:leader="none" w:pos="1035" w:val="left"/>
        </w:tabs>
        <w:numPr>
          <w:ilvl w:val="0"/>
          <w:numId w:val="153"/>
        </w:numPr>
        <w:rPr>
          <w:rFonts w:ascii="Arial" w:cs="Arial" w:eastAsia="Arial" w:hAnsi="Arial"/>
          <w:sz w:val="20"/>
          <w:szCs w:val="20"/>
          <w:color w:val="auto"/>
          <w:vertAlign w:val="subscript"/>
        </w:rPr>
      </w:pPr>
      <w:r>
        <w:rPr>
          <w:rFonts w:ascii="Arial" w:cs="Arial" w:eastAsia="Arial" w:hAnsi="Arial"/>
          <w:sz w:val="36"/>
          <w:szCs w:val="36"/>
          <w:color w:val="62259D"/>
          <w:vertAlign w:val="subscript"/>
        </w:rPr>
        <w:t>5</w:t>
      </w:r>
      <w:r>
        <w:rPr>
          <w:rFonts w:ascii="Arial" w:cs="Arial" w:eastAsia="Arial" w:hAnsi="Arial"/>
          <w:sz w:val="20"/>
          <w:szCs w:val="20"/>
          <w:color w:val="auto"/>
          <w:vertAlign w:val="subscript"/>
        </w:rPr>
        <w:t>​ ​</w:t>
      </w:r>
      <w:r>
        <w:rPr>
          <w:rFonts w:ascii="Arial" w:cs="Arial" w:eastAsia="Arial" w:hAnsi="Arial"/>
          <w:sz w:val="13"/>
          <w:szCs w:val="13"/>
          <w:color w:val="auto"/>
        </w:rPr>
        <w:t xml:space="preserve"> Approval of the Ribbon Communications Inc. 2025 Incentive Award Plan</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ind w:left="280"/>
              <w:spacing w:after="0"/>
              <w:rPr>
                <w:sz w:val="20"/>
                <w:szCs w:val="20"/>
                <w:color w:val="auto"/>
              </w:rPr>
            </w:pPr>
            <w:r>
              <w:rPr>
                <w:rFonts w:ascii="Arial" w:cs="Arial" w:eastAsia="Arial" w:hAnsi="Arial"/>
                <w:sz w:val="16"/>
                <w:szCs w:val="16"/>
                <w:b w:val="1"/>
                <w:bCs w:val="1"/>
                <w:color w:val="FEFEFE"/>
              </w:rPr>
              <w:t>Effect of</w:t>
            </w:r>
          </w:p>
        </w:tc>
        <w:tc>
          <w:tcPr>
            <w:tcW w:w="60" w:type="dxa"/>
            <w:vAlign w:val="bottom"/>
          </w:tcPr>
          <w:p>
            <w:pPr>
              <w:spacing w:after="0"/>
              <w:rPr>
                <w:sz w:val="16"/>
                <w:szCs w:val="16"/>
                <w:color w:val="auto"/>
              </w:rPr>
            </w:pPr>
          </w:p>
        </w:tc>
      </w:tr>
      <w:tr>
        <w:trPr>
          <w:trHeight w:val="240"/>
        </w:trPr>
        <w:tc>
          <w:tcPr>
            <w:tcW w:w="4740" w:type="dxa"/>
            <w:vAlign w:val="bottom"/>
          </w:tcPr>
          <w:p>
            <w:pPr>
              <w:spacing w:after="0"/>
              <w:rPr>
                <w:sz w:val="20"/>
                <w:szCs w:val="20"/>
                <w:color w:val="auto"/>
              </w:rPr>
            </w:pPr>
            <w:r>
              <w:rPr>
                <w:rFonts w:ascii="Arial" w:cs="Arial" w:eastAsia="Arial" w:hAnsi="Arial"/>
                <w:sz w:val="16"/>
                <w:szCs w:val="16"/>
                <w:b w:val="1"/>
                <w:bCs w:val="1"/>
                <w:color w:val="FEFEFE"/>
              </w:rPr>
              <w:t>​ ​ Vote Required</w:t>
            </w:r>
          </w:p>
        </w:tc>
        <w:tc>
          <w:tcPr>
            <w:tcW w:w="220" w:type="dxa"/>
            <w:vAlign w:val="bottom"/>
          </w:tcPr>
          <w:p>
            <w:pPr>
              <w:ind w:left="20"/>
              <w:spacing w:after="0"/>
              <w:rPr>
                <w:sz w:val="20"/>
                <w:szCs w:val="20"/>
                <w:color w:val="auto"/>
              </w:rPr>
            </w:pPr>
            <w:r>
              <w:rPr>
                <w:rFonts w:ascii="Arial" w:cs="Arial" w:eastAsia="Arial" w:hAnsi="Arial"/>
                <w:sz w:val="16"/>
                <w:szCs w:val="16"/>
                <w:b w:val="1"/>
                <w:bCs w:val="1"/>
                <w:color w:val="FEFEFE"/>
              </w:rPr>
              <w:t>​ ​</w:t>
            </w:r>
          </w:p>
        </w:tc>
        <w:tc>
          <w:tcPr>
            <w:tcW w:w="1300" w:type="dxa"/>
            <w:vAlign w:val="bottom"/>
          </w:tcPr>
          <w:p>
            <w:pPr>
              <w:ind w:left="160"/>
              <w:spacing w:after="0"/>
              <w:rPr>
                <w:sz w:val="20"/>
                <w:szCs w:val="20"/>
                <w:color w:val="auto"/>
              </w:rPr>
            </w:pPr>
            <w:r>
              <w:rPr>
                <w:rFonts w:ascii="Arial" w:cs="Arial" w:eastAsia="Arial" w:hAnsi="Arial"/>
                <w:sz w:val="16"/>
                <w:szCs w:val="16"/>
                <w:b w:val="1"/>
                <w:bCs w:val="1"/>
                <w:color w:val="FEFEFE"/>
              </w:rPr>
              <w:t>Abstentions</w:t>
            </w:r>
          </w:p>
        </w:tc>
        <w:tc>
          <w:tcPr>
            <w:tcW w:w="60" w:type="dxa"/>
            <w:vAlign w:val="bottom"/>
          </w:tcPr>
          <w:p>
            <w:pPr>
              <w:ind w:left="20"/>
              <w:spacing w:after="0"/>
              <w:rPr>
                <w:sz w:val="20"/>
                <w:szCs w:val="20"/>
                <w:color w:val="auto"/>
              </w:rPr>
            </w:pPr>
            <w:r>
              <w:rPr>
                <w:rFonts w:ascii="Arial" w:cs="Arial" w:eastAsia="Arial" w:hAnsi="Arial"/>
                <w:sz w:val="16"/>
                <w:szCs w:val="16"/>
                <w:b w:val="1"/>
                <w:bCs w:val="1"/>
                <w:color w:val="FEFEFE"/>
              </w:rPr>
              <w:t>​</w:t>
            </w:r>
          </w:p>
        </w:tc>
      </w:tr>
      <w:tr>
        <w:trPr>
          <w:trHeight w:val="189"/>
        </w:trPr>
        <w:tc>
          <w:tcPr>
            <w:tcW w:w="4960" w:type="dxa"/>
            <w:vAlign w:val="bottom"/>
            <w:gridSpan w:val="2"/>
          </w:tcPr>
          <w:p>
            <w:pPr>
              <w:spacing w:after="0" w:line="190" w:lineRule="exact"/>
              <w:rPr>
                <w:sz w:val="20"/>
                <w:szCs w:val="20"/>
                <w:color w:val="auto"/>
              </w:rPr>
            </w:pPr>
            <w:r>
              <w:rPr>
                <w:rFonts w:ascii="Arial" w:cs="Arial" w:eastAsia="Arial" w:hAnsi="Arial"/>
                <w:sz w:val="21"/>
                <w:szCs w:val="21"/>
                <w:color w:val="auto"/>
                <w:vertAlign w:val="subscript"/>
              </w:rPr>
              <w:t>​ ​</w:t>
            </w:r>
            <w:r>
              <w:rPr>
                <w:rFonts w:ascii="Arial" w:cs="Arial" w:eastAsia="Arial" w:hAnsi="Arial"/>
                <w:sz w:val="12"/>
                <w:szCs w:val="12"/>
                <w:color w:val="auto"/>
              </w:rPr>
              <w:t xml:space="preserve"> The affirmative vote of a majority of the shares of common stock </w:t>
            </w:r>
            <w:r>
              <w:rPr>
                <w:rFonts w:ascii="Arial" w:cs="Arial" w:eastAsia="Arial" w:hAnsi="Arial"/>
                <w:sz w:val="21"/>
                <w:szCs w:val="21"/>
                <w:color w:val="auto"/>
                <w:vertAlign w:val="subscript"/>
              </w:rPr>
              <w:t>​ ​</w:t>
            </w:r>
          </w:p>
        </w:tc>
        <w:tc>
          <w:tcPr>
            <w:tcW w:w="1300" w:type="dxa"/>
            <w:vAlign w:val="bottom"/>
          </w:tcPr>
          <w:p>
            <w:pPr>
              <w:ind w:left="20"/>
              <w:spacing w:after="0"/>
              <w:rPr>
                <w:sz w:val="20"/>
                <w:szCs w:val="20"/>
                <w:color w:val="auto"/>
              </w:rPr>
            </w:pPr>
            <w:r>
              <w:rPr>
                <w:rFonts w:ascii="Arial" w:cs="Arial" w:eastAsia="Arial" w:hAnsi="Arial"/>
                <w:sz w:val="15"/>
                <w:szCs w:val="15"/>
                <w:color w:val="auto"/>
              </w:rPr>
              <w:t>Abstaining from</w:t>
            </w:r>
          </w:p>
        </w:tc>
        <w:tc>
          <w:tcPr>
            <w:tcW w:w="60" w:type="dxa"/>
            <w:vAlign w:val="bottom"/>
          </w:tcPr>
          <w:p>
            <w:pPr>
              <w:ind w:left="20"/>
              <w:spacing w:after="0"/>
              <w:rPr>
                <w:sz w:val="20"/>
                <w:szCs w:val="20"/>
                <w:color w:val="auto"/>
              </w:rPr>
            </w:pPr>
            <w:r>
              <w:rPr>
                <w:rFonts w:ascii="Arial" w:cs="Arial" w:eastAsia="Arial" w:hAnsi="Arial"/>
                <w:sz w:val="15"/>
                <w:szCs w:val="15"/>
                <w:color w:val="auto"/>
              </w:rPr>
              <w:t>​</w:t>
            </w:r>
          </w:p>
        </w:tc>
      </w:tr>
      <w:tr>
        <w:trPr>
          <w:trHeight w:val="162"/>
        </w:trPr>
        <w:tc>
          <w:tcPr>
            <w:tcW w:w="4740" w:type="dxa"/>
            <w:vAlign w:val="bottom"/>
          </w:tcPr>
          <w:p>
            <w:pPr>
              <w:ind w:left="220"/>
              <w:spacing w:after="0" w:line="161" w:lineRule="exact"/>
              <w:rPr>
                <w:sz w:val="20"/>
                <w:szCs w:val="20"/>
                <w:color w:val="auto"/>
              </w:rPr>
            </w:pPr>
            <w:r>
              <w:rPr>
                <w:rFonts w:ascii="Arial" w:cs="Arial" w:eastAsia="Arial" w:hAnsi="Arial"/>
                <w:sz w:val="15"/>
                <w:szCs w:val="15"/>
                <w:color w:val="auto"/>
              </w:rPr>
              <w:t>present or represented at the 2025 Annual Meeting and entitled</w:t>
            </w:r>
          </w:p>
        </w:tc>
        <w:tc>
          <w:tcPr>
            <w:tcW w:w="220" w:type="dxa"/>
            <w:vAlign w:val="bottom"/>
          </w:tcPr>
          <w:p>
            <w:pPr>
              <w:spacing w:after="0"/>
              <w:rPr>
                <w:sz w:val="14"/>
                <w:szCs w:val="14"/>
                <w:color w:val="auto"/>
              </w:rPr>
            </w:pPr>
          </w:p>
        </w:tc>
        <w:tc>
          <w:tcPr>
            <w:tcW w:w="1300" w:type="dxa"/>
            <w:vAlign w:val="bottom"/>
          </w:tcPr>
          <w:p>
            <w:pPr>
              <w:ind w:left="20"/>
              <w:spacing w:after="0" w:line="161" w:lineRule="exact"/>
              <w:rPr>
                <w:sz w:val="20"/>
                <w:szCs w:val="20"/>
                <w:color w:val="auto"/>
              </w:rPr>
            </w:pPr>
            <w:r>
              <w:rPr>
                <w:rFonts w:ascii="Arial" w:cs="Arial" w:eastAsia="Arial" w:hAnsi="Arial"/>
                <w:sz w:val="15"/>
                <w:szCs w:val="15"/>
                <w:color w:val="auto"/>
              </w:rPr>
              <w:t>voting on this</w:t>
            </w:r>
          </w:p>
        </w:tc>
        <w:tc>
          <w:tcPr>
            <w:tcW w:w="60" w:type="dxa"/>
            <w:vAlign w:val="bottom"/>
          </w:tcPr>
          <w:p>
            <w:pPr>
              <w:spacing w:after="0"/>
              <w:rPr>
                <w:sz w:val="14"/>
                <w:szCs w:val="14"/>
                <w:color w:val="auto"/>
              </w:rPr>
            </w:pPr>
          </w:p>
        </w:tc>
      </w:tr>
      <w:tr>
        <w:trPr>
          <w:trHeight w:val="189"/>
        </w:trPr>
        <w:tc>
          <w:tcPr>
            <w:tcW w:w="4740" w:type="dxa"/>
            <w:vAlign w:val="bottom"/>
          </w:tcPr>
          <w:p>
            <w:pPr>
              <w:ind w:left="220"/>
              <w:spacing w:after="0"/>
              <w:rPr>
                <w:sz w:val="20"/>
                <w:szCs w:val="20"/>
                <w:color w:val="auto"/>
              </w:rPr>
            </w:pPr>
            <w:r>
              <w:rPr>
                <w:rFonts w:ascii="Arial" w:cs="Arial" w:eastAsia="Arial" w:hAnsi="Arial"/>
                <w:sz w:val="15"/>
                <w:szCs w:val="15"/>
                <w:color w:val="auto"/>
              </w:rPr>
              <w:t>to vote on this proposal will be required to approve this</w:t>
            </w:r>
          </w:p>
        </w:tc>
        <w:tc>
          <w:tcPr>
            <w:tcW w:w="220" w:type="dxa"/>
            <w:vAlign w:val="bottom"/>
          </w:tcPr>
          <w:p>
            <w:pPr>
              <w:spacing w:after="0"/>
              <w:rPr>
                <w:sz w:val="16"/>
                <w:szCs w:val="16"/>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proposal will have</w:t>
            </w:r>
          </w:p>
        </w:tc>
        <w:tc>
          <w:tcPr>
            <w:tcW w:w="60" w:type="dxa"/>
            <w:vAlign w:val="bottom"/>
          </w:tcPr>
          <w:p>
            <w:pPr>
              <w:spacing w:after="0"/>
              <w:rPr>
                <w:sz w:val="16"/>
                <w:szCs w:val="16"/>
                <w:color w:val="auto"/>
              </w:rPr>
            </w:pPr>
          </w:p>
        </w:tc>
      </w:tr>
      <w:tr>
        <w:trPr>
          <w:trHeight w:val="175"/>
        </w:trPr>
        <w:tc>
          <w:tcPr>
            <w:tcW w:w="4740" w:type="dxa"/>
            <w:vAlign w:val="bottom"/>
          </w:tcPr>
          <w:p>
            <w:pPr>
              <w:ind w:left="220"/>
              <w:spacing w:after="0"/>
              <w:rPr>
                <w:sz w:val="20"/>
                <w:szCs w:val="20"/>
                <w:color w:val="auto"/>
              </w:rPr>
            </w:pPr>
            <w:r>
              <w:rPr>
                <w:rFonts w:ascii="Arial" w:cs="Arial" w:eastAsia="Arial" w:hAnsi="Arial"/>
                <w:sz w:val="15"/>
                <w:szCs w:val="15"/>
                <w:color w:val="auto"/>
              </w:rPr>
              <w:t>proposal. You may vote “For,” “Against,” or “Abstain” from voting</w:t>
            </w:r>
          </w:p>
        </w:tc>
        <w:tc>
          <w:tcPr>
            <w:tcW w:w="220" w:type="dxa"/>
            <w:vAlign w:val="bottom"/>
          </w:tcPr>
          <w:p>
            <w:pPr>
              <w:spacing w:after="0"/>
              <w:rPr>
                <w:sz w:val="15"/>
                <w:szCs w:val="15"/>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the effect of a</w:t>
            </w:r>
          </w:p>
        </w:tc>
        <w:tc>
          <w:tcPr>
            <w:tcW w:w="60" w:type="dxa"/>
            <w:vAlign w:val="bottom"/>
          </w:tcPr>
          <w:p>
            <w:pPr>
              <w:spacing w:after="0"/>
              <w:rPr>
                <w:sz w:val="15"/>
                <w:szCs w:val="15"/>
                <w:color w:val="auto"/>
              </w:rPr>
            </w:pPr>
          </w:p>
        </w:tc>
      </w:tr>
      <w:tr>
        <w:trPr>
          <w:trHeight w:val="176"/>
        </w:trPr>
        <w:tc>
          <w:tcPr>
            <w:tcW w:w="4740" w:type="dxa"/>
            <w:vAlign w:val="bottom"/>
          </w:tcPr>
          <w:p>
            <w:pPr>
              <w:ind w:left="220"/>
              <w:spacing w:after="0"/>
              <w:rPr>
                <w:sz w:val="20"/>
                <w:szCs w:val="20"/>
                <w:color w:val="auto"/>
              </w:rPr>
            </w:pPr>
            <w:r>
              <w:rPr>
                <w:rFonts w:ascii="Arial" w:cs="Arial" w:eastAsia="Arial" w:hAnsi="Arial"/>
                <w:sz w:val="15"/>
                <w:szCs w:val="15"/>
                <w:color w:val="auto"/>
              </w:rPr>
              <w:t>on this proposal.</w:t>
            </w:r>
          </w:p>
        </w:tc>
        <w:tc>
          <w:tcPr>
            <w:tcW w:w="220" w:type="dxa"/>
            <w:vAlign w:val="bottom"/>
          </w:tcPr>
          <w:p>
            <w:pPr>
              <w:spacing w:after="0"/>
              <w:rPr>
                <w:sz w:val="15"/>
                <w:szCs w:val="15"/>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vote against the</w:t>
            </w:r>
          </w:p>
        </w:tc>
        <w:tc>
          <w:tcPr>
            <w:tcW w:w="60" w:type="dxa"/>
            <w:vAlign w:val="bottom"/>
          </w:tcPr>
          <w:p>
            <w:pPr>
              <w:spacing w:after="0"/>
              <w:rPr>
                <w:sz w:val="15"/>
                <w:szCs w:val="15"/>
                <w:color w:val="auto"/>
              </w:rPr>
            </w:pPr>
          </w:p>
        </w:tc>
      </w:tr>
      <w:tr>
        <w:trPr>
          <w:trHeight w:val="175"/>
        </w:trPr>
        <w:tc>
          <w:tcPr>
            <w:tcW w:w="4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approval of this</w:t>
            </w:r>
          </w:p>
        </w:tc>
        <w:tc>
          <w:tcPr>
            <w:tcW w:w="60" w:type="dxa"/>
            <w:vAlign w:val="bottom"/>
          </w:tcPr>
          <w:p>
            <w:pPr>
              <w:spacing w:after="0"/>
              <w:rPr>
                <w:sz w:val="15"/>
                <w:szCs w:val="15"/>
                <w:color w:val="auto"/>
              </w:rPr>
            </w:pPr>
          </w:p>
        </w:tc>
      </w:tr>
      <w:tr>
        <w:trPr>
          <w:trHeight w:val="200"/>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proposal.</w:t>
            </w: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-1560195</wp:posOffset>
            </wp:positionH>
            <wp:positionV relativeFrom="paragraph">
              <wp:posOffset>12065</wp:posOffset>
            </wp:positionV>
            <wp:extent cx="562356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49" w:lineRule="exact"/>
        <w:rPr>
          <w:sz w:val="20"/>
          <w:szCs w:val="20"/>
          <w:color w:val="auto"/>
        </w:rPr>
      </w:pPr>
    </w:p>
    <w:p>
      <w:pPr>
        <w:sectPr>
          <w:pgSz w:w="11900" w:h="16838" w:orient="portrait"/>
          <w:cols w:equalWidth="0" w:num="2">
            <w:col w:w="3320" w:space="60"/>
            <w:col w:w="6499"/>
          </w:cols>
          <w:pgMar w:left="580" w:top="97" w:right="1440" w:bottom="1440" w:gutter="0" w:footer="0" w:header="0"/>
          <w:type w:val="continuous"/>
        </w:sectPr>
      </w:pPr>
    </w:p>
    <w:p>
      <w:pPr>
        <w:ind w:left="920" w:right="179"/>
        <w:spacing w:after="0" w:line="245" w:lineRule="auto"/>
        <w:rPr>
          <w:sz w:val="20"/>
          <w:szCs w:val="20"/>
          <w:color w:val="auto"/>
        </w:rPr>
      </w:pPr>
      <w:r>
        <w:rPr>
          <w:rFonts w:ascii="Arial" w:cs="Arial" w:eastAsia="Arial" w:hAnsi="Arial"/>
          <w:sz w:val="18"/>
          <w:szCs w:val="18"/>
          <w:color w:val="auto"/>
        </w:rPr>
        <w:t>For the proposals relating to (i) the election of directors (Proposal 1), (ii) the approval, on a non-binding, advisory basis, of the compensation of our named executive officers (Proposal 3), and (iii) the approval of the 2025 Award Incentive Plan (Proposal 5), please note that if you are a beneficial owner of our common stock and your stock is held through a broker, bank or other nominee (in “</w:t>
      </w:r>
      <w:r>
        <w:rPr>
          <w:rFonts w:ascii="Arial" w:cs="Arial" w:eastAsia="Arial" w:hAnsi="Arial"/>
          <w:sz w:val="18"/>
          <w:szCs w:val="18"/>
          <w:i w:val="1"/>
          <w:iCs w:val="1"/>
          <w:color w:val="auto"/>
        </w:rPr>
        <w:t>street name</w:t>
      </w:r>
      <w:r>
        <w:rPr>
          <w:rFonts w:ascii="Arial" w:cs="Arial" w:eastAsia="Arial" w:hAnsi="Arial"/>
          <w:sz w:val="18"/>
          <w:szCs w:val="18"/>
          <w:color w:val="auto"/>
        </w:rPr>
        <w:t>”), under stock exchange rules a broker, bank or other nominee subject to those rules is not permitted to vote your shares on these three proposals without your instruction. Therefore, if a beneficial owner of our common stock fails to instruct such a broker, bank or other nominee how to vote on Proposals 1, 3 and 5, that beneficial owner’s shares cannot be voted on these matters — in other words, your broker, bank or other nominee’s proxy will be treated as a “broker non-vote,” which is explained in the following question and explanation.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124460</wp:posOffset>
            </wp:positionV>
            <wp:extent cx="5597525" cy="47180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597525" cy="471805"/>
                    </a:xfrm>
                    <a:prstGeom prst="rect">
                      <a:avLst/>
                    </a:prstGeom>
                    <a:noFill/>
                  </pic:spPr>
                </pic:pic>
              </a:graphicData>
            </a:graphic>
          </wp:anchor>
        </w:drawing>
      </w:r>
    </w:p>
    <w:p>
      <w:pPr>
        <w:spacing w:after="0" w:line="135" w:lineRule="exact"/>
        <w:rPr>
          <w:sz w:val="20"/>
          <w:szCs w:val="20"/>
          <w:color w:val="auto"/>
        </w:rPr>
      </w:pPr>
    </w:p>
    <w:p>
      <w:pPr>
        <w:ind w:left="920"/>
        <w:spacing w:after="0"/>
        <w:tabs>
          <w:tab w:leader="none" w:pos="1720" w:val="left"/>
          <w:tab w:leader="none" w:pos="9760" w:val="left"/>
        </w:tabs>
        <w:rPr>
          <w:sz w:val="20"/>
          <w:szCs w:val="20"/>
          <w:color w:val="auto"/>
        </w:rPr>
      </w:pPr>
      <w:r>
        <w:rPr>
          <w:rFonts w:ascii="Arial" w:cs="Arial" w:eastAsia="Arial" w:hAnsi="Arial"/>
          <w:sz w:val="43"/>
          <w:szCs w:val="43"/>
          <w:color w:val="auto"/>
          <w:vertAlign w:val="subscript"/>
        </w:rPr>
        <w:t>​</w:t>
      </w:r>
      <w:r>
        <w:rPr>
          <w:sz w:val="20"/>
          <w:szCs w:val="20"/>
          <w:color w:val="auto"/>
        </w:rPr>
        <w:tab/>
      </w:r>
      <w:r>
        <w:rPr>
          <w:rFonts w:ascii="Arial" w:cs="Arial" w:eastAsia="Arial" w:hAnsi="Arial"/>
          <w:sz w:val="20"/>
          <w:szCs w:val="20"/>
          <w:b w:val="1"/>
          <w:bCs w:val="1"/>
          <w:color w:val="auto"/>
        </w:rPr>
        <w:t>What are broker non-votes, and what is the effect of broker non-votes?</w:t>
      </w:r>
      <w:r>
        <w:rPr>
          <w:sz w:val="20"/>
          <w:szCs w:val="20"/>
          <w:color w:val="auto"/>
        </w:rPr>
        <w:tab/>
      </w:r>
      <w:r>
        <w:rPr>
          <w:rFonts w:ascii="Arial" w:cs="Arial" w:eastAsia="Arial" w:hAnsi="Arial"/>
          <w:sz w:val="43"/>
          <w:szCs w:val="43"/>
          <w:color w:val="auto"/>
          <w:vertAlign w:val="subscript"/>
        </w:rPr>
        <w:t>​</w:t>
      </w:r>
    </w:p>
    <w:p>
      <w:pPr>
        <w:spacing w:after="0" w:line="198" w:lineRule="exact"/>
        <w:rPr>
          <w:sz w:val="20"/>
          <w:szCs w:val="20"/>
          <w:color w:val="auto"/>
        </w:rPr>
      </w:pPr>
    </w:p>
    <w:p>
      <w:pPr>
        <w:ind w:left="920" w:right="119"/>
        <w:spacing w:after="0" w:line="243" w:lineRule="auto"/>
        <w:rPr>
          <w:sz w:val="20"/>
          <w:szCs w:val="20"/>
          <w:color w:val="auto"/>
        </w:rPr>
      </w:pPr>
      <w:r>
        <w:rPr>
          <w:rFonts w:ascii="Arial" w:cs="Arial" w:eastAsia="Arial" w:hAnsi="Arial"/>
          <w:sz w:val="18"/>
          <w:szCs w:val="18"/>
          <w:color w:val="auto"/>
        </w:rPr>
        <w:t>Brokers, banks and other nominees have the discretion to vote shares held in “street name” — a term that means the shares are held in the name of the broker, bank or other nominee on behalf of its customer, the beneficial owner — on routine matters, such as the ratification of the appointment of our independent registered public accounting firm, but not on non-routine matters. Generally, broker non-votes occur when shares held by a broker, bank or other nominee for a beneficial owner are not voted with respect to a non-routine matter because the broker, bank or other nominee has not received voting instructions from the beneficial owner and the broker, bank or other nominee lacks discretionary authority to vote the shares because of the non-routine nature of the matter. The election of directors (Proposal 1), the approval, on a non-binding, advisory basis, of the compensation of our named executive officers (Proposal 3) and the approval of the 2025 Incentive Award Plan (Proposal 5) are “non- routine” matters for which brokers, banks and other nominees, under applicable stock exchange rules, may not exercise discretionary voting power without instructions from the beneficial owner, and therefore broker non-votes will not affect the outcome of the vote on Proposals 1, 3 and 5.</w:t>
      </w:r>
    </w:p>
    <w:p>
      <w:pPr>
        <w:spacing w:after="0" w:line="320" w:lineRule="exact"/>
        <w:rPr>
          <w:sz w:val="20"/>
          <w:szCs w:val="20"/>
          <w:color w:val="auto"/>
        </w:rPr>
      </w:pPr>
    </w:p>
    <w:p>
      <w:pPr>
        <w:ind w:left="920" w:right="159"/>
        <w:spacing w:after="0" w:line="244" w:lineRule="auto"/>
        <w:rPr>
          <w:sz w:val="20"/>
          <w:szCs w:val="20"/>
          <w:color w:val="auto"/>
        </w:rPr>
      </w:pPr>
      <w:r>
        <w:rPr>
          <w:rFonts w:ascii="Arial" w:cs="Arial" w:eastAsia="Arial" w:hAnsi="Arial"/>
          <w:sz w:val="18"/>
          <w:szCs w:val="18"/>
          <w:color w:val="auto"/>
        </w:rPr>
        <w:t>The ratification of the appointment of our independent registered public accounting firm (Proposal 2) and the approval of the amendment to increase our authorized shares of common stock (Proposal 4) are “routine” matters for which brokers have discretionary authority to vote. Therefore, we do not expect any broker non-votes in connection with these proposals. Broker non-votes are counted as shares present for purposes of determining the presence of a quorum. Your vote is very important, whether you hold directly or through a broker, bank or other nominee. We encourage you to read this Proxy Statement and the 2024 Annual Report carefully and if you are a beneficial owner, please be sure to give voting instructions to your broker, bank or other nominee.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88</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9166BA"/>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236220</wp:posOffset>
            </wp:positionV>
            <wp:extent cx="5623560" cy="643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62356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8340" w:type="dxa"/>
            <w:vAlign w:val="bottom"/>
          </w:tcPr>
          <w:p>
            <w:pPr>
              <w:ind w:left="380"/>
              <w:spacing w:after="0"/>
              <w:rPr>
                <w:sz w:val="20"/>
                <w:szCs w:val="20"/>
                <w:color w:val="auto"/>
              </w:rPr>
            </w:pPr>
            <w:r>
              <w:rPr>
                <w:rFonts w:ascii="Arial" w:cs="Arial" w:eastAsia="Arial" w:hAnsi="Arial"/>
                <w:sz w:val="20"/>
                <w:szCs w:val="20"/>
                <w:b w:val="1"/>
                <w:bCs w:val="1"/>
                <w:color w:val="auto"/>
              </w:rPr>
              <w:t>What happens if an incumbent director nominee fails to receive more “</w:t>
            </w:r>
            <w:r>
              <w:rPr>
                <w:rFonts w:ascii="Arial" w:cs="Arial" w:eastAsia="Arial" w:hAnsi="Arial"/>
                <w:sz w:val="20"/>
                <w:szCs w:val="20"/>
                <w:b w:val="1"/>
                <w:bCs w:val="1"/>
                <w:color w:val="E7417A"/>
              </w:rPr>
              <w:t>FOR</w:t>
            </w:r>
            <w:r>
              <w:rPr>
                <w:rFonts w:ascii="Arial" w:cs="Arial" w:eastAsia="Arial" w:hAnsi="Arial"/>
                <w:sz w:val="20"/>
                <w:szCs w:val="20"/>
                <w:b w:val="1"/>
                <w:bCs w:val="1"/>
                <w:color w:val="auto"/>
              </w:rPr>
              <w:t>”</w:t>
            </w:r>
          </w:p>
        </w:tc>
        <w:tc>
          <w:tcPr>
            <w:tcW w:w="140" w:type="dxa"/>
            <w:vAlign w:val="bottom"/>
          </w:tcPr>
          <w:p>
            <w:pPr>
              <w:spacing w:after="0"/>
              <w:rPr>
                <w:sz w:val="19"/>
                <w:szCs w:val="19"/>
                <w:color w:val="auto"/>
              </w:rPr>
            </w:pPr>
          </w:p>
        </w:tc>
      </w:tr>
      <w:tr>
        <w:trPr>
          <w:trHeight w:val="335"/>
        </w:trPr>
        <w:tc>
          <w:tcPr>
            <w:tcW w:w="440" w:type="dxa"/>
            <w:vAlign w:val="bottom"/>
          </w:tcPr>
          <w:p>
            <w:pPr>
              <w:spacing w:after="0"/>
              <w:rPr>
                <w:sz w:val="20"/>
                <w:szCs w:val="20"/>
                <w:color w:val="auto"/>
              </w:rPr>
            </w:pPr>
            <w:r>
              <w:rPr>
                <w:rFonts w:ascii="Arial" w:cs="Arial" w:eastAsia="Arial" w:hAnsi="Arial"/>
                <w:sz w:val="22"/>
                <w:szCs w:val="22"/>
                <w:color w:val="auto"/>
              </w:rPr>
              <w:t>​</w:t>
            </w:r>
          </w:p>
        </w:tc>
        <w:tc>
          <w:tcPr>
            <w:tcW w:w="8340" w:type="dxa"/>
            <w:vAlign w:val="bottom"/>
          </w:tcPr>
          <w:p>
            <w:pPr>
              <w:ind w:left="380"/>
              <w:spacing w:after="0"/>
              <w:rPr>
                <w:sz w:val="20"/>
                <w:szCs w:val="20"/>
                <w:color w:val="auto"/>
              </w:rPr>
            </w:pPr>
            <w:r>
              <w:rPr>
                <w:rFonts w:ascii="Arial" w:cs="Arial" w:eastAsia="Arial" w:hAnsi="Arial"/>
                <w:sz w:val="20"/>
                <w:szCs w:val="20"/>
                <w:b w:val="1"/>
                <w:bCs w:val="1"/>
                <w:color w:val="auto"/>
              </w:rPr>
              <w:t>votes than “</w:t>
            </w:r>
            <w:r>
              <w:rPr>
                <w:rFonts w:ascii="Arial" w:cs="Arial" w:eastAsia="Arial" w:hAnsi="Arial"/>
                <w:sz w:val="20"/>
                <w:szCs w:val="20"/>
                <w:b w:val="1"/>
                <w:bCs w:val="1"/>
                <w:color w:val="62259D"/>
              </w:rPr>
              <w:t>AGAINST</w:t>
            </w:r>
            <w:r>
              <w:rPr>
                <w:rFonts w:ascii="Arial" w:cs="Arial" w:eastAsia="Arial" w:hAnsi="Arial"/>
                <w:sz w:val="20"/>
                <w:szCs w:val="20"/>
                <w:b w:val="1"/>
                <w:bCs w:val="1"/>
                <w:color w:val="auto"/>
              </w:rPr>
              <w:t>” votes?</w:t>
            </w:r>
          </w:p>
        </w:tc>
        <w:tc>
          <w:tcPr>
            <w:tcW w:w="140" w:type="dxa"/>
            <w:vAlign w:val="bottom"/>
          </w:tcPr>
          <w:p>
            <w:pPr>
              <w:ind w:left="80"/>
              <w:spacing w:after="0"/>
              <w:rPr>
                <w:sz w:val="20"/>
                <w:szCs w:val="20"/>
                <w:color w:val="auto"/>
              </w:rPr>
            </w:pPr>
            <w:r>
              <w:rPr>
                <w:rFonts w:ascii="Arial" w:cs="Arial" w:eastAsia="Arial" w:hAnsi="Arial"/>
                <w:sz w:val="22"/>
                <w:szCs w:val="22"/>
                <w:color w:val="auto"/>
              </w:rPr>
              <w:t>​</w:t>
            </w:r>
          </w:p>
        </w:tc>
      </w:tr>
    </w:tbl>
    <w:p>
      <w:pPr>
        <w:spacing w:after="0" w:line="183" w:lineRule="exact"/>
        <w:rPr>
          <w:sz w:val="20"/>
          <w:szCs w:val="20"/>
          <w:color w:val="auto"/>
        </w:rPr>
      </w:pPr>
    </w:p>
    <w:p>
      <w:pPr>
        <w:ind w:left="920" w:right="239"/>
        <w:spacing w:after="0" w:line="253" w:lineRule="auto"/>
        <w:rPr>
          <w:sz w:val="20"/>
          <w:szCs w:val="20"/>
          <w:color w:val="auto"/>
        </w:rPr>
      </w:pPr>
      <w:r>
        <w:rPr>
          <w:rFonts w:ascii="Arial" w:cs="Arial" w:eastAsia="Arial" w:hAnsi="Arial"/>
          <w:sz w:val="18"/>
          <w:szCs w:val="18"/>
          <w:color w:val="auto"/>
        </w:rPr>
        <w:t>Our Corporate Governance Guidelines require that as a condition to being nominated by the Board for re-election as a director, each incumbent director must deliver to the Board an irrevocable resignation from the Board that will become effective if, and only if, both:</w:t>
      </w:r>
    </w:p>
    <w:p>
      <w:pPr>
        <w:spacing w:after="0" w:line="101" w:lineRule="exact"/>
        <w:rPr>
          <w:sz w:val="20"/>
          <w:szCs w:val="20"/>
          <w:color w:val="auto"/>
        </w:rPr>
      </w:pPr>
    </w:p>
    <w:p>
      <w:pPr>
        <w:ind w:left="1640" w:right="339" w:hanging="356"/>
        <w:spacing w:after="0" w:line="287" w:lineRule="auto"/>
        <w:tabs>
          <w:tab w:leader="none" w:pos="16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the case of an uncontested election, such nominee does not receive more votes “</w:t>
      </w:r>
      <w:r>
        <w:rPr>
          <w:rFonts w:ascii="Arial" w:cs="Arial" w:eastAsia="Arial" w:hAnsi="Arial"/>
          <w:sz w:val="18"/>
          <w:szCs w:val="18"/>
          <w:color w:val="E7417A"/>
        </w:rPr>
        <w:t>FOR</w:t>
      </w:r>
      <w:r>
        <w:rPr>
          <w:rFonts w:ascii="Arial" w:cs="Arial" w:eastAsia="Arial" w:hAnsi="Arial"/>
          <w:sz w:val="18"/>
          <w:szCs w:val="18"/>
          <w:color w:val="auto"/>
        </w:rPr>
        <w:t>” his or her election than votes “</w:t>
      </w:r>
      <w:r>
        <w:rPr>
          <w:rFonts w:ascii="Arial" w:cs="Arial" w:eastAsia="Arial" w:hAnsi="Arial"/>
          <w:sz w:val="18"/>
          <w:szCs w:val="18"/>
          <w:color w:val="62259D"/>
        </w:rPr>
        <w:t>AGAINST</w:t>
      </w:r>
      <w:r>
        <w:rPr>
          <w:rFonts w:ascii="Arial" w:cs="Arial" w:eastAsia="Arial" w:hAnsi="Arial"/>
          <w:sz w:val="18"/>
          <w:szCs w:val="18"/>
          <w:color w:val="auto"/>
        </w:rPr>
        <w:t>” such election, and</w:t>
      </w:r>
    </w:p>
    <w:p>
      <w:pPr>
        <w:spacing w:after="0" w:line="71" w:lineRule="exact"/>
        <w:rPr>
          <w:rFonts w:ascii="Arial" w:cs="Arial" w:eastAsia="Arial" w:hAnsi="Arial"/>
          <w:sz w:val="18"/>
          <w:szCs w:val="18"/>
          <w:color w:val="auto"/>
        </w:rPr>
      </w:pPr>
    </w:p>
    <w:p>
      <w:pPr>
        <w:ind w:left="1640" w:hanging="356"/>
        <w:spacing w:after="0"/>
        <w:tabs>
          <w:tab w:leader="none" w:pos="16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Board accepts such resignation.</w:t>
      </w:r>
    </w:p>
    <w:p>
      <w:pPr>
        <w:spacing w:after="0" w:line="144" w:lineRule="exact"/>
        <w:rPr>
          <w:sz w:val="20"/>
          <w:szCs w:val="20"/>
          <w:color w:val="auto"/>
        </w:rPr>
      </w:pPr>
    </w:p>
    <w:p>
      <w:pPr>
        <w:ind w:left="920" w:right="279"/>
        <w:spacing w:after="0" w:line="271" w:lineRule="auto"/>
        <w:rPr>
          <w:sz w:val="20"/>
          <w:szCs w:val="20"/>
          <w:color w:val="auto"/>
        </w:rPr>
      </w:pPr>
      <w:r>
        <w:rPr>
          <w:rFonts w:ascii="Arial" w:cs="Arial" w:eastAsia="Arial" w:hAnsi="Arial"/>
          <w:sz w:val="18"/>
          <w:szCs w:val="18"/>
          <w:color w:val="auto"/>
        </w:rPr>
        <w:t>The Board will decide (based on the recommendation of a committee of the Board) whether to accept the director’s resignation within 90 days after the election results are certified.</w:t>
      </w:r>
    </w:p>
    <w:p>
      <w:pPr>
        <w:spacing w:after="0" w:line="86" w:lineRule="exact"/>
        <w:rPr>
          <w:sz w:val="20"/>
          <w:szCs w:val="20"/>
          <w:color w:val="auto"/>
        </w:rPr>
      </w:pPr>
    </w:p>
    <w:p>
      <w:pPr>
        <w:ind w:left="920" w:right="119"/>
        <w:spacing w:after="0" w:line="248" w:lineRule="auto"/>
        <w:rPr>
          <w:sz w:val="20"/>
          <w:szCs w:val="20"/>
          <w:color w:val="auto"/>
        </w:rPr>
      </w:pPr>
      <w:r>
        <w:rPr>
          <w:rFonts w:ascii="Arial" w:cs="Arial" w:eastAsia="Arial" w:hAnsi="Arial"/>
          <w:sz w:val="18"/>
          <w:szCs w:val="18"/>
          <w:color w:val="auto"/>
        </w:rPr>
        <w:t xml:space="preserve">An incumbent director who does not receive the required vote in an uncontested election will continue to serve as a director while the Nominating, Sustainability and Corporate Governance Committee and the Board decide whether to accept or reject such director’s resignation. If the Board accepts such resignation, the Board may fill the remaining vacancy or may decrease the size of the Board in accordance with our by-laws. Our Corporate Governance Guidelines are posted on our website at </w:t>
      </w:r>
      <w:r>
        <w:rPr>
          <w:rFonts w:ascii="Arial" w:cs="Arial" w:eastAsia="Arial" w:hAnsi="Arial"/>
          <w:sz w:val="18"/>
          <w:szCs w:val="18"/>
          <w:color w:val="E7417A"/>
        </w:rPr>
        <w:t>www.ribboncommunications.com</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258445</wp:posOffset>
            </wp:positionV>
            <wp:extent cx="5597525" cy="47117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597525" cy="471170"/>
                    </a:xfrm>
                    <a:prstGeom prst="rect">
                      <a:avLst/>
                    </a:prstGeom>
                    <a:noFill/>
                  </pic:spPr>
                </pic:pic>
              </a:graphicData>
            </a:graphic>
          </wp:anchor>
        </w:drawing>
      </w:r>
    </w:p>
    <w:p>
      <w:pPr>
        <w:spacing w:after="0" w:line="346" w:lineRule="exact"/>
        <w:rPr>
          <w:sz w:val="20"/>
          <w:szCs w:val="20"/>
          <w:color w:val="auto"/>
        </w:rPr>
      </w:pPr>
    </w:p>
    <w:p>
      <w:pPr>
        <w:ind w:left="920"/>
        <w:spacing w:after="0"/>
        <w:tabs>
          <w:tab w:leader="none" w:pos="1720" w:val="left"/>
          <w:tab w:leader="none" w:pos="9760" w:val="left"/>
        </w:tabs>
        <w:rPr>
          <w:sz w:val="20"/>
          <w:szCs w:val="20"/>
          <w:color w:val="auto"/>
        </w:rPr>
      </w:pPr>
      <w:r>
        <w:rPr>
          <w:rFonts w:ascii="Arial" w:cs="Arial" w:eastAsia="Arial" w:hAnsi="Arial"/>
          <w:sz w:val="43"/>
          <w:szCs w:val="43"/>
          <w:color w:val="auto"/>
          <w:vertAlign w:val="subscript"/>
        </w:rPr>
        <w:t>​</w:t>
      </w:r>
      <w:r>
        <w:rPr>
          <w:sz w:val="20"/>
          <w:szCs w:val="20"/>
          <w:color w:val="auto"/>
        </w:rPr>
        <w:tab/>
      </w:r>
      <w:r>
        <w:rPr>
          <w:rFonts w:ascii="Arial" w:cs="Arial" w:eastAsia="Arial" w:hAnsi="Arial"/>
          <w:sz w:val="20"/>
          <w:szCs w:val="20"/>
          <w:b w:val="1"/>
          <w:bCs w:val="1"/>
          <w:color w:val="auto"/>
        </w:rPr>
        <w:t>How can I attend the 2025 Annual Meeting?</w:t>
      </w:r>
      <w:r>
        <w:rPr>
          <w:sz w:val="20"/>
          <w:szCs w:val="20"/>
          <w:color w:val="auto"/>
        </w:rPr>
        <w:tab/>
      </w:r>
      <w:r>
        <w:rPr>
          <w:rFonts w:ascii="Arial" w:cs="Arial" w:eastAsia="Arial" w:hAnsi="Arial"/>
          <w:sz w:val="43"/>
          <w:szCs w:val="43"/>
          <w:color w:val="auto"/>
          <w:vertAlign w:val="subscript"/>
        </w:rPr>
        <w:t>​</w:t>
      </w:r>
    </w:p>
    <w:p>
      <w:pPr>
        <w:spacing w:after="0" w:line="265" w:lineRule="exact"/>
        <w:rPr>
          <w:sz w:val="20"/>
          <w:szCs w:val="20"/>
          <w:color w:val="auto"/>
        </w:rPr>
      </w:pPr>
    </w:p>
    <w:p>
      <w:pPr>
        <w:ind w:left="920" w:right="179"/>
        <w:spacing w:after="0" w:line="253" w:lineRule="auto"/>
        <w:rPr>
          <w:sz w:val="20"/>
          <w:szCs w:val="20"/>
          <w:color w:val="auto"/>
        </w:rPr>
      </w:pPr>
      <w:r>
        <w:rPr>
          <w:rFonts w:ascii="Arial" w:cs="Arial" w:eastAsia="Arial" w:hAnsi="Arial"/>
          <w:sz w:val="18"/>
          <w:szCs w:val="18"/>
          <w:color w:val="auto"/>
        </w:rPr>
        <w:t xml:space="preserve">In order to encourage attendance by all stockholders, the 2025 Annual Meeting will be held entirely online. Stockholders may participate in the 2025 Annual Meeting by visiting the following website: </w:t>
      </w:r>
      <w:r>
        <w:rPr>
          <w:rFonts w:ascii="Arial" w:cs="Arial" w:eastAsia="Arial" w:hAnsi="Arial"/>
          <w:sz w:val="18"/>
          <w:szCs w:val="18"/>
          <w:color w:val="E7417A"/>
        </w:rPr>
        <w:t>www.virtualshareholdermeeting.com/RBBN2025</w:t>
      </w:r>
      <w:r>
        <w:rPr>
          <w:rFonts w:ascii="Arial" w:cs="Arial" w:eastAsia="Arial" w:hAnsi="Arial"/>
          <w:sz w:val="18"/>
          <w:szCs w:val="18"/>
          <w:color w:val="000000"/>
        </w:rPr>
        <w:t>.</w:t>
      </w:r>
    </w:p>
    <w:p>
      <w:pPr>
        <w:spacing w:after="0" w:line="101" w:lineRule="exact"/>
        <w:rPr>
          <w:sz w:val="20"/>
          <w:szCs w:val="20"/>
          <w:color w:val="auto"/>
        </w:rPr>
      </w:pPr>
    </w:p>
    <w:p>
      <w:pPr>
        <w:ind w:left="920" w:right="139"/>
        <w:spacing w:after="0" w:line="252" w:lineRule="auto"/>
        <w:rPr>
          <w:sz w:val="20"/>
          <w:szCs w:val="20"/>
          <w:color w:val="auto"/>
        </w:rPr>
      </w:pPr>
      <w:r>
        <w:rPr>
          <w:rFonts w:ascii="Arial" w:cs="Arial" w:eastAsia="Arial" w:hAnsi="Arial"/>
          <w:sz w:val="18"/>
          <w:szCs w:val="18"/>
          <w:color w:val="auto"/>
        </w:rPr>
        <w:t>Whether you are a registered holder or if you hold your shares in “street name” through a broker, bank or other nominee, you will need to provide your name, email address, phone number and your 16-digit control number included in the Notice of Internet Availability of Proxy Materials, proxy card, or voting instruction form to enter the virtual meeting.</w:t>
      </w:r>
    </w:p>
    <w:p>
      <w:pPr>
        <w:spacing w:after="0" w:line="103" w:lineRule="exact"/>
        <w:rPr>
          <w:sz w:val="20"/>
          <w:szCs w:val="20"/>
          <w:color w:val="auto"/>
        </w:rPr>
      </w:pPr>
    </w:p>
    <w:p>
      <w:pPr>
        <w:ind w:left="920" w:right="259"/>
        <w:spacing w:after="0" w:line="271" w:lineRule="auto"/>
        <w:rPr>
          <w:sz w:val="20"/>
          <w:szCs w:val="20"/>
          <w:color w:val="auto"/>
        </w:rPr>
      </w:pPr>
      <w:r>
        <w:rPr>
          <w:rFonts w:ascii="Arial" w:cs="Arial" w:eastAsia="Arial" w:hAnsi="Arial"/>
          <w:sz w:val="18"/>
          <w:szCs w:val="18"/>
          <w:color w:val="auto"/>
        </w:rPr>
        <w:t>We encourage you to access the meeting prior to the start time. The online portal will open approximately 15 minutes before the start of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118110</wp:posOffset>
            </wp:positionV>
            <wp:extent cx="5597525" cy="4718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597525" cy="471805"/>
                    </a:xfrm>
                    <a:prstGeom prst="rect">
                      <a:avLst/>
                    </a:prstGeom>
                    <a:noFill/>
                  </pic:spPr>
                </pic:pic>
              </a:graphicData>
            </a:graphic>
          </wp:anchor>
        </w:drawing>
      </w:r>
    </w:p>
    <w:p>
      <w:pPr>
        <w:spacing w:after="0" w:line="124" w:lineRule="exact"/>
        <w:rPr>
          <w:sz w:val="20"/>
          <w:szCs w:val="20"/>
          <w:color w:val="auto"/>
        </w:rPr>
      </w:pPr>
    </w:p>
    <w:p>
      <w:pPr>
        <w:ind w:left="920"/>
        <w:spacing w:after="0"/>
        <w:tabs>
          <w:tab w:leader="none" w:pos="1720" w:val="left"/>
          <w:tab w:leader="none" w:pos="9760" w:val="left"/>
        </w:tabs>
        <w:rPr>
          <w:sz w:val="20"/>
          <w:szCs w:val="20"/>
          <w:color w:val="auto"/>
        </w:rPr>
      </w:pPr>
      <w:r>
        <w:rPr>
          <w:rFonts w:ascii="Arial" w:cs="Arial" w:eastAsia="Arial" w:hAnsi="Arial"/>
          <w:sz w:val="43"/>
          <w:szCs w:val="43"/>
          <w:color w:val="auto"/>
          <w:vertAlign w:val="subscript"/>
        </w:rPr>
        <w:t>​</w:t>
      </w:r>
      <w:r>
        <w:rPr>
          <w:sz w:val="20"/>
          <w:szCs w:val="20"/>
          <w:color w:val="auto"/>
        </w:rPr>
        <w:tab/>
      </w:r>
      <w:r>
        <w:rPr>
          <w:rFonts w:ascii="Arial" w:cs="Arial" w:eastAsia="Arial" w:hAnsi="Arial"/>
          <w:sz w:val="20"/>
          <w:szCs w:val="20"/>
          <w:b w:val="1"/>
          <w:bCs w:val="1"/>
          <w:color w:val="auto"/>
        </w:rPr>
        <w:t>How can I vote during the 2025 Annual Meeting?</w:t>
      </w:r>
      <w:r>
        <w:rPr>
          <w:sz w:val="20"/>
          <w:szCs w:val="20"/>
          <w:color w:val="auto"/>
        </w:rPr>
        <w:tab/>
      </w:r>
      <w:r>
        <w:rPr>
          <w:rFonts w:ascii="Arial" w:cs="Arial" w:eastAsia="Arial" w:hAnsi="Arial"/>
          <w:sz w:val="43"/>
          <w:szCs w:val="43"/>
          <w:color w:val="auto"/>
          <w:vertAlign w:val="subscript"/>
        </w:rPr>
        <w:t>​</w:t>
      </w:r>
    </w:p>
    <w:p>
      <w:pPr>
        <w:spacing w:after="0" w:line="252" w:lineRule="exact"/>
        <w:rPr>
          <w:sz w:val="20"/>
          <w:szCs w:val="20"/>
          <w:color w:val="auto"/>
        </w:rPr>
      </w:pPr>
    </w:p>
    <w:p>
      <w:pPr>
        <w:ind w:left="920" w:right="279"/>
        <w:spacing w:after="0" w:line="251" w:lineRule="auto"/>
        <w:rPr>
          <w:sz w:val="20"/>
          <w:szCs w:val="20"/>
          <w:color w:val="auto"/>
        </w:rPr>
      </w:pPr>
      <w:r>
        <w:rPr>
          <w:rFonts w:ascii="Arial" w:cs="Arial" w:eastAsia="Arial" w:hAnsi="Arial"/>
          <w:sz w:val="18"/>
          <w:szCs w:val="18"/>
          <w:color w:val="auto"/>
        </w:rPr>
        <w:t xml:space="preserve">Please visit </w:t>
      </w:r>
      <w:r>
        <w:rPr>
          <w:rFonts w:ascii="Arial" w:cs="Arial" w:eastAsia="Arial" w:hAnsi="Arial"/>
          <w:sz w:val="18"/>
          <w:szCs w:val="18"/>
          <w:color w:val="E7417A"/>
        </w:rPr>
        <w:t>www.virtualshareholdermeeting.com/RBBN2025</w:t>
      </w:r>
      <w:r>
        <w:rPr>
          <w:rFonts w:ascii="Arial" w:cs="Arial" w:eastAsia="Arial" w:hAnsi="Arial"/>
          <w:sz w:val="18"/>
          <w:szCs w:val="18"/>
          <w:color w:val="auto"/>
        </w:rPr>
        <w:t xml:space="preserve"> in order to vote your shares during the 2025 Annual Meeting until the polls are closed. You will need your 16-digit control number in order to vote your shares. Your 16 -digit control number can be found on your proxy card, Notice of Internet Availability of Proxy Materials or voting instruction form. For additional information regarding how to register for and attend the 2025 Annual Meeting, see “</w:t>
      </w:r>
      <w:r>
        <w:rPr>
          <w:rFonts w:ascii="Arial" w:cs="Arial" w:eastAsia="Arial" w:hAnsi="Arial"/>
          <w:sz w:val="18"/>
          <w:szCs w:val="18"/>
          <w:i w:val="1"/>
          <w:iCs w:val="1"/>
          <w:color w:val="auto"/>
        </w:rPr>
        <w:t>How can I attend the 2025 Annual Meeting?”</w:t>
      </w:r>
      <w:r>
        <w:rPr>
          <w:rFonts w:ascii="Arial" w:cs="Arial" w:eastAsia="Arial" w:hAnsi="Arial"/>
          <w:sz w:val="18"/>
          <w:szCs w:val="18"/>
          <w:color w:val="auto"/>
        </w:rPr>
        <w:t xml:space="preserve"> above.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9166BA"/>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236220</wp:posOffset>
            </wp:positionV>
            <wp:extent cx="5597525" cy="47180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597525" cy="471805"/>
                    </a:xfrm>
                    <a:prstGeom prst="rect">
                      <a:avLst/>
                    </a:prstGeom>
                    <a:noFill/>
                  </pic:spPr>
                </pic:pic>
              </a:graphicData>
            </a:graphic>
          </wp:anchor>
        </w:drawing>
      </w:r>
    </w:p>
    <w:p>
      <w:pPr>
        <w:spacing w:after="0" w:line="311" w:lineRule="exact"/>
        <w:rPr>
          <w:sz w:val="20"/>
          <w:szCs w:val="20"/>
          <w:color w:val="auto"/>
        </w:rPr>
      </w:pPr>
    </w:p>
    <w:p>
      <w:pPr>
        <w:ind w:left="920"/>
        <w:spacing w:after="0"/>
        <w:tabs>
          <w:tab w:leader="none" w:pos="1720" w:val="left"/>
          <w:tab w:leader="none" w:pos="9760" w:val="left"/>
        </w:tabs>
        <w:rPr>
          <w:sz w:val="20"/>
          <w:szCs w:val="20"/>
          <w:color w:val="auto"/>
        </w:rPr>
      </w:pPr>
      <w:r>
        <w:rPr>
          <w:rFonts w:ascii="Arial" w:cs="Arial" w:eastAsia="Arial" w:hAnsi="Arial"/>
          <w:sz w:val="43"/>
          <w:szCs w:val="43"/>
          <w:color w:val="auto"/>
          <w:vertAlign w:val="subscript"/>
        </w:rPr>
        <w:t>​</w:t>
      </w:r>
      <w:r>
        <w:rPr>
          <w:sz w:val="20"/>
          <w:szCs w:val="20"/>
          <w:color w:val="auto"/>
        </w:rPr>
        <w:tab/>
      </w:r>
      <w:r>
        <w:rPr>
          <w:rFonts w:ascii="Arial" w:cs="Arial" w:eastAsia="Arial" w:hAnsi="Arial"/>
          <w:sz w:val="20"/>
          <w:szCs w:val="20"/>
          <w:b w:val="1"/>
          <w:bCs w:val="1"/>
          <w:color w:val="auto"/>
        </w:rPr>
        <w:t>How can I vote my shares without attending the meeting?</w:t>
      </w:r>
      <w:r>
        <w:rPr>
          <w:sz w:val="20"/>
          <w:szCs w:val="20"/>
          <w:color w:val="auto"/>
        </w:rPr>
        <w:tab/>
      </w:r>
      <w:r>
        <w:rPr>
          <w:rFonts w:ascii="Arial" w:cs="Arial" w:eastAsia="Arial" w:hAnsi="Arial"/>
          <w:sz w:val="43"/>
          <w:szCs w:val="43"/>
          <w:color w:val="auto"/>
          <w:vertAlign w:val="subscript"/>
        </w:rPr>
        <w:t>​</w:t>
      </w:r>
    </w:p>
    <w:p>
      <w:pPr>
        <w:spacing w:after="0" w:line="2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you are a stockholder of record, you may vote by proxy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120650</wp:posOffset>
            </wp:positionV>
            <wp:extent cx="2211705" cy="3600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211705" cy="3600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16" w:lineRule="exact"/>
        <w:rPr>
          <w:sz w:val="20"/>
          <w:szCs w:val="20"/>
          <w:color w:val="auto"/>
        </w:rPr>
      </w:pPr>
    </w:p>
    <w:tbl>
      <w:tblPr>
        <w:tblLayout w:type="fixed"/>
        <w:tblInd w:w="1520" w:type="dxa"/>
        <w:tblCellMar>
          <w:top w:w="0" w:type="dxa"/>
          <w:left w:w="0" w:type="dxa"/>
          <w:bottom w:w="0" w:type="dxa"/>
          <w:right w:w="0" w:type="dxa"/>
        </w:tblCellMar>
      </w:tblPr>
      <w:tr>
        <w:trPr>
          <w:trHeight w:val="184"/>
        </w:trPr>
        <w:tc>
          <w:tcPr>
            <w:tcW w:w="2400" w:type="dxa"/>
            <w:vAlign w:val="bottom"/>
          </w:tcPr>
          <w:p>
            <w:pPr>
              <w:ind w:left="320"/>
              <w:spacing w:after="0"/>
              <w:rPr>
                <w:sz w:val="20"/>
                <w:szCs w:val="20"/>
                <w:color w:val="auto"/>
              </w:rPr>
            </w:pPr>
            <w:r>
              <w:rPr>
                <w:rFonts w:ascii="Arial" w:cs="Arial" w:eastAsia="Arial" w:hAnsi="Arial"/>
                <w:sz w:val="16"/>
                <w:szCs w:val="16"/>
                <w:b w:val="1"/>
                <w:bCs w:val="1"/>
                <w:color w:val="FEFEFE"/>
              </w:rPr>
              <w:t>Submit your proxy by</w:t>
            </w:r>
          </w:p>
        </w:tc>
        <w:tc>
          <w:tcPr>
            <w:tcW w:w="540" w:type="dxa"/>
            <w:vAlign w:val="bottom"/>
          </w:tcPr>
          <w:p>
            <w:pPr>
              <w:spacing w:after="0"/>
              <w:rPr>
                <w:sz w:val="16"/>
                <w:szCs w:val="16"/>
                <w:color w:val="auto"/>
              </w:rPr>
            </w:pPr>
          </w:p>
        </w:tc>
      </w:tr>
      <w:tr>
        <w:trPr>
          <w:trHeight w:val="313"/>
        </w:trPr>
        <w:tc>
          <w:tcPr>
            <w:tcW w:w="2400" w:type="dxa"/>
            <w:vAlign w:val="bottom"/>
          </w:tcPr>
          <w:p>
            <w:pPr>
              <w:spacing w:after="0" w:line="313" w:lineRule="exact"/>
              <w:rPr>
                <w:sz w:val="20"/>
                <w:szCs w:val="20"/>
                <w:color w:val="auto"/>
              </w:rPr>
            </w:pPr>
            <w:r>
              <w:rPr>
                <w:rFonts w:ascii="Arial" w:cs="Arial" w:eastAsia="Arial" w:hAnsi="Arial"/>
                <w:sz w:val="32"/>
                <w:szCs w:val="32"/>
                <w:b w:val="1"/>
                <w:bCs w:val="1"/>
                <w:color w:val="FEFEFE"/>
                <w:vertAlign w:val="subscript"/>
              </w:rPr>
              <w:t>​  ​</w:t>
            </w:r>
            <w:r>
              <w:rPr>
                <w:rFonts w:ascii="Arial" w:cs="Arial" w:eastAsia="Arial" w:hAnsi="Arial"/>
                <w:sz w:val="16"/>
                <w:szCs w:val="16"/>
                <w:b w:val="1"/>
                <w:bCs w:val="1"/>
                <w:color w:val="FEFEFE"/>
              </w:rPr>
              <w:t xml:space="preserve"> mail</w:t>
            </w:r>
          </w:p>
        </w:tc>
        <w:tc>
          <w:tcPr>
            <w:tcW w:w="540" w:type="dxa"/>
            <w:vAlign w:val="bottom"/>
          </w:tcPr>
          <w:p>
            <w:pPr>
              <w:ind w:left="280"/>
              <w:spacing w:after="0"/>
              <w:rPr>
                <w:sz w:val="20"/>
                <w:szCs w:val="20"/>
                <w:color w:val="auto"/>
              </w:rPr>
            </w:pPr>
            <w:r>
              <w:rPr>
                <w:rFonts w:ascii="Arial" w:cs="Arial" w:eastAsia="Arial" w:hAnsi="Arial"/>
                <w:sz w:val="16"/>
                <w:szCs w:val="16"/>
                <w:b w:val="1"/>
                <w:bCs w:val="1"/>
                <w:color w:val="FEFEFE"/>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-34925</wp:posOffset>
            </wp:positionV>
            <wp:extent cx="5623560" cy="63436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623560" cy="634365"/>
                    </a:xfrm>
                    <a:prstGeom prst="rect">
                      <a:avLst/>
                    </a:prstGeom>
                    <a:noFill/>
                  </pic:spPr>
                </pic:pic>
              </a:graphicData>
            </a:graphic>
          </wp:anchor>
        </w:drawing>
      </w:r>
    </w:p>
    <w:p>
      <w:pPr>
        <w:ind w:left="1040"/>
        <w:spacing w:after="0" w:line="238" w:lineRule="auto"/>
        <w:rPr>
          <w:sz w:val="20"/>
          <w:szCs w:val="20"/>
          <w:color w:val="auto"/>
        </w:rPr>
      </w:pPr>
      <w:r>
        <w:rPr>
          <w:rFonts w:ascii="Arial" w:cs="Arial" w:eastAsia="Arial" w:hAnsi="Arial"/>
          <w:sz w:val="16"/>
          <w:szCs w:val="16"/>
          <w:color w:val="auto"/>
        </w:rPr>
        <w:t>You may complete, date and sign the proxy card and mail it in the postage-prepaid envelope that you received. The persons named in the proxy card will vote the shares you own in accordance with your instructions on the proxy card you return. If you return the proxy card but do not give any instructions on a particular matter described in this Proxy Statement, the persons named in the proxy card will vote the shares you own in accordance with the recommendations of our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FEFEFE"/>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948" w:lineRule="exact"/>
        <w:rPr>
          <w:sz w:val="20"/>
          <w:szCs w:val="20"/>
          <w:color w:val="auto"/>
        </w:rPr>
      </w:pPr>
    </w:p>
    <w:p>
      <w:pPr>
        <w:sectPr>
          <w:pgSz w:w="11900" w:h="16838" w:orient="portrait"/>
          <w:cols w:equalWidth="0" w:num="2">
            <w:col w:w="9620" w:space="160"/>
            <w:col w:w="99"/>
          </w:cols>
          <w:pgMar w:left="580" w:top="97" w:right="1440" w:bottom="1440" w:gutter="0" w:footer="0" w:header="0"/>
          <w:type w:val="continuous"/>
        </w:sectPr>
      </w:pPr>
    </w:p>
    <w:tbl>
      <w:tblPr>
        <w:tblLayout w:type="fixed"/>
        <w:tblInd w:w="920" w:type="dxa"/>
        <w:tblCellMar>
          <w:top w:w="0" w:type="dxa"/>
          <w:left w:w="0" w:type="dxa"/>
          <w:bottom w:w="0" w:type="dxa"/>
          <w:right w:w="0" w:type="dxa"/>
        </w:tblCellMar>
      </w:tblPr>
      <w:tr>
        <w:trPr>
          <w:trHeight w:val="283"/>
        </w:trPr>
        <w:tc>
          <w:tcPr>
            <w:tcW w:w="3100" w:type="dxa"/>
            <w:vAlign w:val="bottom"/>
            <w:shd w:val="clear" w:color="auto" w:fill="62259D"/>
          </w:tcPr>
          <w:p>
            <w:pPr>
              <w:ind w:left="940"/>
              <w:spacing w:after="0"/>
              <w:rPr>
                <w:sz w:val="20"/>
                <w:szCs w:val="20"/>
                <w:color w:val="auto"/>
              </w:rPr>
            </w:pPr>
            <w:r>
              <w:rPr>
                <w:rFonts w:ascii="Arial" w:cs="Arial" w:eastAsia="Arial" w:hAnsi="Arial"/>
                <w:sz w:val="16"/>
                <w:szCs w:val="16"/>
                <w:b w:val="1"/>
                <w:bCs w:val="1"/>
                <w:color w:val="FEFEFE"/>
              </w:rPr>
              <w:t>Submit your proxy over</w:t>
            </w:r>
          </w:p>
        </w:tc>
        <w:tc>
          <w:tcPr>
            <w:tcW w:w="400" w:type="dxa"/>
            <w:vAlign w:val="bottom"/>
            <w:shd w:val="clear" w:color="auto" w:fill="62259D"/>
          </w:tcPr>
          <w:p>
            <w:pPr>
              <w:spacing w:after="0"/>
              <w:rPr>
                <w:sz w:val="24"/>
                <w:szCs w:val="24"/>
                <w:color w:val="auto"/>
              </w:rPr>
            </w:pPr>
          </w:p>
        </w:tc>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100" w:type="dxa"/>
            <w:vAlign w:val="bottom"/>
            <w:shd w:val="clear" w:color="auto" w:fill="62259D"/>
          </w:tcPr>
          <w:p>
            <w:pPr>
              <w:ind w:left="620"/>
              <w:spacing w:after="0" w:line="243" w:lineRule="exact"/>
              <w:rPr>
                <w:sz w:val="20"/>
                <w:szCs w:val="20"/>
                <w:color w:val="auto"/>
              </w:rPr>
            </w:pPr>
            <w:r>
              <w:rPr>
                <w:rFonts w:ascii="Arial" w:cs="Arial" w:eastAsia="Arial" w:hAnsi="Arial"/>
                <w:sz w:val="28"/>
                <w:szCs w:val="28"/>
                <w:b w:val="1"/>
                <w:bCs w:val="1"/>
                <w:color w:val="FEFEFE"/>
                <w:vertAlign w:val="subscript"/>
              </w:rPr>
              <w:t>​  ​</w:t>
            </w:r>
            <w:r>
              <w:rPr>
                <w:rFonts w:ascii="Arial" w:cs="Arial" w:eastAsia="Arial" w:hAnsi="Arial"/>
                <w:sz w:val="15"/>
                <w:szCs w:val="15"/>
                <w:b w:val="1"/>
                <w:bCs w:val="1"/>
                <w:color w:val="FEFEFE"/>
              </w:rPr>
              <w:t xml:space="preserve"> the Internet</w:t>
            </w:r>
          </w:p>
        </w:tc>
        <w:tc>
          <w:tcPr>
            <w:tcW w:w="400" w:type="dxa"/>
            <w:vAlign w:val="bottom"/>
            <w:shd w:val="clear" w:color="auto" w:fill="62259D"/>
          </w:tcPr>
          <w:p>
            <w:pPr>
              <w:ind w:left="180"/>
              <w:spacing w:after="0"/>
              <w:rPr>
                <w:sz w:val="20"/>
                <w:szCs w:val="20"/>
                <w:color w:val="auto"/>
              </w:rPr>
            </w:pPr>
            <w:r>
              <w:rPr>
                <w:rFonts w:ascii="Arial" w:cs="Arial" w:eastAsia="Arial" w:hAnsi="Arial"/>
                <w:sz w:val="16"/>
                <w:szCs w:val="16"/>
                <w:b w:val="1"/>
                <w:bCs w:val="1"/>
                <w:color w:val="FEFEFE"/>
              </w:rPr>
              <w:t>​</w:t>
            </w:r>
          </w:p>
        </w:tc>
        <w:tc>
          <w:tcPr>
            <w:tcW w:w="5240" w:type="dxa"/>
            <w:vAlign w:val="bottom"/>
          </w:tcPr>
          <w:p>
            <w:pPr>
              <w:spacing w:after="0"/>
              <w:rPr>
                <w:sz w:val="20"/>
                <w:szCs w:val="20"/>
                <w:color w:val="auto"/>
              </w:rPr>
            </w:pPr>
            <w:r>
              <w:rPr>
                <w:rFonts w:ascii="Arial" w:cs="Arial" w:eastAsia="Arial" w:hAnsi="Arial"/>
                <w:sz w:val="16"/>
                <w:szCs w:val="16"/>
                <w:b w:val="1"/>
                <w:bCs w:val="1"/>
                <w:color w:val="FEFEFE"/>
              </w:rPr>
              <w:t>​</w:t>
            </w:r>
          </w:p>
        </w:tc>
        <w:tc>
          <w:tcPr>
            <w:tcW w:w="160" w:type="dxa"/>
            <w:vAlign w:val="bottom"/>
          </w:tcPr>
          <w:p>
            <w:pPr>
              <w:ind w:left="1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03"/>
        </w:trPr>
        <w:tc>
          <w:tcPr>
            <w:tcW w:w="8740" w:type="dxa"/>
            <w:vAlign w:val="bottom"/>
            <w:gridSpan w:val="3"/>
            <w:vMerge w:val="restart"/>
          </w:tcPr>
          <w:p>
            <w:pPr>
              <w:ind w:left="120"/>
              <w:spacing w:after="0"/>
              <w:rPr>
                <w:sz w:val="20"/>
                <w:szCs w:val="20"/>
                <w:color w:val="auto"/>
              </w:rPr>
            </w:pPr>
            <w:r>
              <w:rPr>
                <w:rFonts w:ascii="Arial" w:cs="Arial" w:eastAsia="Arial" w:hAnsi="Arial"/>
                <w:sz w:val="16"/>
                <w:szCs w:val="16"/>
                <w:color w:val="auto"/>
              </w:rPr>
              <w:t xml:space="preserve">If you have Internet access, you may vote over the Internet at </w:t>
            </w:r>
            <w:r>
              <w:rPr>
                <w:rFonts w:ascii="Arial" w:cs="Arial" w:eastAsia="Arial" w:hAnsi="Arial"/>
                <w:sz w:val="16"/>
                <w:szCs w:val="16"/>
                <w:color w:val="E7417A"/>
              </w:rPr>
              <w:t>www.proxyvote.com</w:t>
            </w:r>
            <w:r>
              <w:rPr>
                <w:rFonts w:ascii="Arial" w:cs="Arial" w:eastAsia="Arial" w:hAnsi="Arial"/>
                <w:sz w:val="16"/>
                <w:szCs w:val="16"/>
                <w:color w:val="auto"/>
              </w:rPr>
              <w:t xml:space="preserve"> by following the instructions set</w:t>
            </w:r>
          </w:p>
        </w:tc>
        <w:tc>
          <w:tcPr>
            <w:tcW w:w="160" w:type="dxa"/>
            <w:vAlign w:val="bottom"/>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2"/>
        </w:trPr>
        <w:tc>
          <w:tcPr>
            <w:tcW w:w="874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-429260</wp:posOffset>
            </wp:positionV>
            <wp:extent cx="5623560" cy="6858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623560" cy="685800"/>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6"/>
          <w:szCs w:val="16"/>
          <w:color w:val="auto"/>
        </w:rPr>
        <w:t>forth on your proxy card. If you submit your proxy over the Internet, it is not necessary to return your proxy card.</w:t>
      </w:r>
    </w:p>
    <w:p>
      <w:pPr>
        <w:sectPr>
          <w:pgSz w:w="11900" w:h="16838" w:orient="portrait"/>
          <w:cols w:equalWidth="0" w:num="1">
            <w:col w:w="9879"/>
          </w:cols>
          <w:pgMar w:left="580" w:top="97" w:right="1440" w:bottom="1440" w:gutter="0" w:footer="0" w:header="0"/>
          <w:type w:val="continuous"/>
        </w:sectPr>
      </w:pPr>
    </w:p>
    <w:p>
      <w:pPr>
        <w:spacing w:after="0" w:line="368" w:lineRule="exact"/>
        <w:rPr>
          <w:sz w:val="20"/>
          <w:szCs w:val="20"/>
          <w:color w:val="auto"/>
        </w:rPr>
      </w:pPr>
    </w:p>
    <w:tbl>
      <w:tblPr>
        <w:tblLayout w:type="fixed"/>
        <w:tblInd w:w="920" w:type="dxa"/>
        <w:tblCellMar>
          <w:top w:w="0" w:type="dxa"/>
          <w:left w:w="0" w:type="dxa"/>
          <w:bottom w:w="0" w:type="dxa"/>
          <w:right w:w="0" w:type="dxa"/>
        </w:tblCellMar>
      </w:tblPr>
      <w:tr>
        <w:trPr>
          <w:trHeight w:val="296"/>
        </w:trPr>
        <w:tc>
          <w:tcPr>
            <w:tcW w:w="3100" w:type="dxa"/>
            <w:vAlign w:val="bottom"/>
            <w:shd w:val="clear" w:color="auto" w:fill="62259D"/>
          </w:tcPr>
          <w:p>
            <w:pPr>
              <w:ind w:left="900"/>
              <w:spacing w:after="0"/>
              <w:rPr>
                <w:sz w:val="20"/>
                <w:szCs w:val="20"/>
                <w:color w:val="auto"/>
              </w:rPr>
            </w:pPr>
            <w:r>
              <w:rPr>
                <w:rFonts w:ascii="Arial" w:cs="Arial" w:eastAsia="Arial" w:hAnsi="Arial"/>
                <w:sz w:val="16"/>
                <w:szCs w:val="16"/>
                <w:b w:val="1"/>
                <w:bCs w:val="1"/>
                <w:color w:val="FEFEFE"/>
              </w:rPr>
              <w:t>Submit your proxy using</w:t>
            </w:r>
          </w:p>
        </w:tc>
        <w:tc>
          <w:tcPr>
            <w:tcW w:w="340" w:type="dxa"/>
            <w:vAlign w:val="bottom"/>
            <w:shd w:val="clear" w:color="auto" w:fill="62259D"/>
          </w:tcPr>
          <w:p>
            <w:pPr>
              <w:spacing w:after="0"/>
              <w:rPr>
                <w:sz w:val="24"/>
                <w:szCs w:val="24"/>
                <w:color w:val="auto"/>
              </w:rPr>
            </w:pPr>
          </w:p>
        </w:tc>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3100" w:type="dxa"/>
            <w:vAlign w:val="bottom"/>
            <w:shd w:val="clear" w:color="auto" w:fill="62259D"/>
          </w:tcPr>
          <w:p>
            <w:pPr>
              <w:ind w:left="580"/>
              <w:spacing w:after="0" w:line="258" w:lineRule="exact"/>
              <w:rPr>
                <w:sz w:val="20"/>
                <w:szCs w:val="20"/>
                <w:color w:val="auto"/>
              </w:rPr>
            </w:pPr>
            <w:r>
              <w:rPr>
                <w:rFonts w:ascii="Arial" w:cs="Arial" w:eastAsia="Arial" w:hAnsi="Arial"/>
                <w:sz w:val="29"/>
                <w:szCs w:val="29"/>
                <w:b w:val="1"/>
                <w:bCs w:val="1"/>
                <w:color w:val="FEFEFE"/>
                <w:vertAlign w:val="subscript"/>
              </w:rPr>
              <w:t>​  ​</w:t>
            </w:r>
            <w:r>
              <w:rPr>
                <w:rFonts w:ascii="Arial" w:cs="Arial" w:eastAsia="Arial" w:hAnsi="Arial"/>
                <w:sz w:val="15"/>
                <w:szCs w:val="15"/>
                <w:b w:val="1"/>
                <w:bCs w:val="1"/>
                <w:color w:val="FEFEFE"/>
              </w:rPr>
              <w:t xml:space="preserve"> your mobile device</w:t>
            </w:r>
          </w:p>
        </w:tc>
        <w:tc>
          <w:tcPr>
            <w:tcW w:w="340" w:type="dxa"/>
            <w:vAlign w:val="bottom"/>
            <w:shd w:val="clear" w:color="auto" w:fill="62259D"/>
          </w:tcPr>
          <w:p>
            <w:pPr>
              <w:ind w:left="140"/>
              <w:spacing w:after="0"/>
              <w:rPr>
                <w:sz w:val="20"/>
                <w:szCs w:val="20"/>
                <w:color w:val="auto"/>
              </w:rPr>
            </w:pPr>
            <w:r>
              <w:rPr>
                <w:rFonts w:ascii="Arial" w:cs="Arial" w:eastAsia="Arial" w:hAnsi="Arial"/>
                <w:sz w:val="16"/>
                <w:szCs w:val="16"/>
                <w:b w:val="1"/>
                <w:bCs w:val="1"/>
                <w:color w:val="FEFEFE"/>
              </w:rPr>
              <w:t>​</w:t>
            </w:r>
          </w:p>
        </w:tc>
        <w:tc>
          <w:tcPr>
            <w:tcW w:w="4060" w:type="dxa"/>
            <w:vAlign w:val="bottom"/>
          </w:tcPr>
          <w:p>
            <w:pPr>
              <w:spacing w:after="0"/>
              <w:rPr>
                <w:sz w:val="20"/>
                <w:szCs w:val="20"/>
                <w:color w:val="auto"/>
              </w:rPr>
            </w:pPr>
            <w:r>
              <w:rPr>
                <w:rFonts w:ascii="Arial" w:cs="Arial" w:eastAsia="Arial" w:hAnsi="Arial"/>
                <w:sz w:val="16"/>
                <w:szCs w:val="16"/>
                <w:b w:val="1"/>
                <w:bCs w:val="1"/>
                <w:color w:val="FEFEFE"/>
              </w:rPr>
              <w:t>​</w:t>
            </w:r>
          </w:p>
        </w:tc>
        <w:tc>
          <w:tcPr>
            <w:tcW w:w="220" w:type="dxa"/>
            <w:vAlign w:val="bottom"/>
          </w:tcPr>
          <w:p>
            <w:pPr>
              <w:spacing w:after="0"/>
              <w:rPr>
                <w:sz w:val="20"/>
                <w:szCs w:val="20"/>
                <w:color w:val="auto"/>
              </w:rPr>
            </w:pPr>
            <w:r>
              <w:rPr>
                <w:rFonts w:ascii="Arial" w:cs="Arial" w:eastAsia="Arial" w:hAnsi="Arial"/>
                <w:sz w:val="16"/>
                <w:szCs w:val="16"/>
                <w:b w:val="1"/>
                <w:bCs w:val="1"/>
                <w:color w:val="FEFEFE"/>
              </w:rPr>
              <w:t>​</w:t>
            </w:r>
          </w:p>
        </w:tc>
        <w:tc>
          <w:tcPr>
            <w:tcW w:w="40" w:type="dxa"/>
            <w:vAlign w:val="bottom"/>
          </w:tcPr>
          <w:p>
            <w:pPr>
              <w:spacing w:after="0"/>
              <w:rPr>
                <w:sz w:val="22"/>
                <w:szCs w:val="22"/>
                <w:color w:val="auto"/>
              </w:rPr>
            </w:pPr>
          </w:p>
        </w:tc>
      </w:tr>
      <w:tr>
        <w:trPr>
          <w:trHeight w:val="311"/>
        </w:trPr>
        <w:tc>
          <w:tcPr>
            <w:tcW w:w="3440" w:type="dxa"/>
            <w:vAlign w:val="bottom"/>
            <w:gridSpan w:val="2"/>
            <w:shd w:val="clear" w:color="auto" w:fill="F2F2F2"/>
          </w:tcPr>
          <w:p>
            <w:pPr>
              <w:ind w:left="120"/>
              <w:spacing w:after="0"/>
              <w:rPr>
                <w:sz w:val="20"/>
                <w:szCs w:val="20"/>
                <w:color w:val="auto"/>
              </w:rPr>
            </w:pPr>
            <w:r>
              <w:rPr>
                <w:rFonts w:ascii="Arial" w:cs="Arial" w:eastAsia="Arial" w:hAnsi="Arial"/>
                <w:sz w:val="16"/>
                <w:szCs w:val="16"/>
                <w:color w:val="auto"/>
                <w:w w:val="99"/>
              </w:rPr>
              <w:t xml:space="preserve">Scan the QR code to visit </w:t>
            </w:r>
            <w:r>
              <w:rPr>
                <w:rFonts w:ascii="Arial" w:cs="Arial" w:eastAsia="Arial" w:hAnsi="Arial"/>
                <w:sz w:val="16"/>
                <w:szCs w:val="16"/>
                <w:color w:val="E7417A"/>
                <w:w w:val="99"/>
              </w:rPr>
              <w:t>www.proxyvote.com</w:t>
            </w:r>
          </w:p>
        </w:tc>
        <w:tc>
          <w:tcPr>
            <w:tcW w:w="4060" w:type="dxa"/>
            <w:vAlign w:val="bottom"/>
            <w:tcBorders>
              <w:left w:val="single" w:sz="8" w:color="F2F2F2"/>
            </w:tcBorders>
            <w:shd w:val="clear" w:color="auto" w:fill="F2F2F2"/>
          </w:tcPr>
          <w:p>
            <w:pPr>
              <w:ind w:left="160"/>
              <w:spacing w:after="0"/>
              <w:rPr>
                <w:sz w:val="20"/>
                <w:szCs w:val="20"/>
                <w:color w:val="auto"/>
              </w:rPr>
            </w:pPr>
            <w:r>
              <w:rPr>
                <w:rFonts w:ascii="Arial" w:cs="Arial" w:eastAsia="Arial" w:hAnsi="Arial"/>
                <w:sz w:val="16"/>
                <w:szCs w:val="16"/>
                <w:color w:val="auto"/>
              </w:rPr>
              <w:t>on your mobile device</w:t>
            </w:r>
          </w:p>
        </w:tc>
        <w:tc>
          <w:tcPr>
            <w:tcW w:w="220" w:type="dxa"/>
            <w:vAlign w:val="bottom"/>
            <w:shd w:val="clear" w:color="auto" w:fill="FEFEFE"/>
          </w:tcPr>
          <w:p>
            <w:pP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r>
              <w:rPr>
                <w:rFonts w:ascii="Arial" w:cs="Arial" w:eastAsia="Arial" w:hAnsi="Arial"/>
                <w:sz w:val="16"/>
                <w:szCs w:val="16"/>
                <w:b w:val="1"/>
                <w:bCs w:val="1"/>
                <w:color w:val="FEFEFE"/>
              </w:rPr>
              <w:t>​</w:t>
            </w:r>
          </w:p>
        </w:tc>
      </w:tr>
      <w:tr>
        <w:trPr>
          <w:trHeight w:val="148"/>
        </w:trPr>
        <w:tc>
          <w:tcPr>
            <w:tcW w:w="3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323"/>
        </w:trPr>
        <w:tc>
          <w:tcPr>
            <w:tcW w:w="3100" w:type="dxa"/>
            <w:vAlign w:val="bottom"/>
            <w:shd w:val="clear" w:color="auto" w:fill="62259D"/>
          </w:tcPr>
          <w:p>
            <w:pPr>
              <w:ind w:left="900"/>
              <w:spacing w:after="0"/>
              <w:rPr>
                <w:sz w:val="20"/>
                <w:szCs w:val="20"/>
                <w:color w:val="auto"/>
              </w:rPr>
            </w:pPr>
            <w:r>
              <w:rPr>
                <w:rFonts w:ascii="Arial" w:cs="Arial" w:eastAsia="Arial" w:hAnsi="Arial"/>
                <w:sz w:val="16"/>
                <w:szCs w:val="16"/>
                <w:b w:val="1"/>
                <w:bCs w:val="1"/>
                <w:color w:val="FEFEFE"/>
              </w:rPr>
              <w:t>Submit your proxy by</w:t>
            </w:r>
          </w:p>
        </w:tc>
        <w:tc>
          <w:tcPr>
            <w:tcW w:w="340" w:type="dxa"/>
            <w:vAlign w:val="bottom"/>
            <w:shd w:val="clear" w:color="auto" w:fill="62259D"/>
          </w:tcPr>
          <w:p>
            <w:pPr>
              <w:spacing w:after="0"/>
              <w:rPr>
                <w:sz w:val="24"/>
                <w:szCs w:val="24"/>
                <w:color w:val="auto"/>
              </w:rPr>
            </w:pPr>
          </w:p>
        </w:tc>
        <w:tc>
          <w:tcPr>
            <w:tcW w:w="4060" w:type="dxa"/>
            <w:vAlign w:val="bottom"/>
            <w:tcBorders>
              <w:left w:val="single" w:sz="8" w:color="62259D"/>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3100" w:type="dxa"/>
            <w:vAlign w:val="bottom"/>
            <w:shd w:val="clear" w:color="auto" w:fill="62259D"/>
          </w:tcPr>
          <w:p>
            <w:pPr>
              <w:ind w:left="580"/>
              <w:spacing w:after="0" w:line="258" w:lineRule="exact"/>
              <w:rPr>
                <w:sz w:val="20"/>
                <w:szCs w:val="20"/>
                <w:color w:val="auto"/>
              </w:rPr>
            </w:pPr>
            <w:r>
              <w:rPr>
                <w:rFonts w:ascii="Arial" w:cs="Arial" w:eastAsia="Arial" w:hAnsi="Arial"/>
                <w:sz w:val="29"/>
                <w:szCs w:val="29"/>
                <w:b w:val="1"/>
                <w:bCs w:val="1"/>
                <w:color w:val="FEFEFE"/>
                <w:vertAlign w:val="subscript"/>
              </w:rPr>
              <w:t>​  ​</w:t>
            </w:r>
            <w:r>
              <w:rPr>
                <w:rFonts w:ascii="Arial" w:cs="Arial" w:eastAsia="Arial" w:hAnsi="Arial"/>
                <w:sz w:val="15"/>
                <w:szCs w:val="15"/>
                <w:b w:val="1"/>
                <w:bCs w:val="1"/>
                <w:color w:val="FEFEFE"/>
              </w:rPr>
              <w:t xml:space="preserve"> telephone</w:t>
            </w:r>
          </w:p>
        </w:tc>
        <w:tc>
          <w:tcPr>
            <w:tcW w:w="340" w:type="dxa"/>
            <w:vAlign w:val="bottom"/>
            <w:shd w:val="clear" w:color="auto" w:fill="62259D"/>
          </w:tcPr>
          <w:p>
            <w:pPr>
              <w:ind w:left="160"/>
              <w:spacing w:after="0"/>
              <w:rPr>
                <w:sz w:val="20"/>
                <w:szCs w:val="20"/>
                <w:color w:val="auto"/>
              </w:rPr>
            </w:pPr>
            <w:r>
              <w:rPr>
                <w:rFonts w:ascii="Arial" w:cs="Arial" w:eastAsia="Arial" w:hAnsi="Arial"/>
                <w:sz w:val="16"/>
                <w:szCs w:val="16"/>
                <w:b w:val="1"/>
                <w:bCs w:val="1"/>
                <w:color w:val="FEFEFE"/>
              </w:rPr>
              <w:t>​</w:t>
            </w:r>
          </w:p>
        </w:tc>
        <w:tc>
          <w:tcPr>
            <w:tcW w:w="4060" w:type="dxa"/>
            <w:vAlign w:val="bottom"/>
            <w:tcBorders>
              <w:left w:val="single" w:sz="8" w:color="62259D"/>
            </w:tcBorders>
          </w:tcPr>
          <w:p>
            <w:pPr>
              <w:ind w:left="40"/>
              <w:spacing w:after="0"/>
              <w:rPr>
                <w:sz w:val="20"/>
                <w:szCs w:val="20"/>
                <w:color w:val="auto"/>
              </w:rPr>
            </w:pPr>
            <w:r>
              <w:rPr>
                <w:rFonts w:ascii="Arial" w:cs="Arial" w:eastAsia="Arial" w:hAnsi="Arial"/>
                <w:sz w:val="16"/>
                <w:szCs w:val="16"/>
                <w:b w:val="1"/>
                <w:bCs w:val="1"/>
                <w:color w:val="FEFEFE"/>
              </w:rPr>
              <w:t>​</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-951230</wp:posOffset>
            </wp:positionV>
            <wp:extent cx="5623560" cy="13633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623560" cy="1363345"/>
                    </a:xfrm>
                    <a:prstGeom prst="rect">
                      <a:avLst/>
                    </a:prstGeom>
                    <a:noFill/>
                  </pic:spPr>
                </pic:pic>
              </a:graphicData>
            </a:graphic>
          </wp:anchor>
        </w:drawing>
      </w:r>
    </w:p>
    <w:p>
      <w:pPr>
        <w:spacing w:after="0" w:line="20" w:lineRule="exact"/>
        <w:rPr>
          <w:sz w:val="20"/>
          <w:szCs w:val="20"/>
          <w:color w:val="auto"/>
        </w:rPr>
      </w:pPr>
    </w:p>
    <w:p>
      <w:pPr>
        <w:ind w:left="1040"/>
        <w:spacing w:after="0" w:line="248" w:lineRule="auto"/>
        <w:rPr>
          <w:sz w:val="20"/>
          <w:szCs w:val="20"/>
          <w:color w:val="auto"/>
        </w:rPr>
      </w:pPr>
      <w:r>
        <w:rPr>
          <w:rFonts w:ascii="Arial" w:cs="Arial" w:eastAsia="Arial" w:hAnsi="Arial"/>
          <w:sz w:val="16"/>
          <w:szCs w:val="16"/>
          <w:color w:val="auto"/>
        </w:rPr>
        <w:t>If you are located in the United States or Canada, you may vote by telephone by calling 1-800- 690-6903 and following the instructions set forth on your proxy card. If you submit your proxy by telephone, it is not necessary to return your proxy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FEFEFE"/>
        </w:rPr>
        <w:t>​</w:t>
      </w:r>
      <w:r>
        <w:rPr>
          <w:rFonts w:ascii="Arial" w:cs="Arial" w:eastAsia="Arial" w:hAnsi="Arial"/>
          <w:sz w:val="32"/>
          <w:szCs w:val="32"/>
          <w:color w:val="000000"/>
          <w:vertAlign w:val="superscript"/>
        </w:rPr>
        <w:t>​</w:t>
      </w:r>
    </w:p>
    <w:p>
      <w:pPr>
        <w:spacing w:after="0" w:line="200" w:lineRule="exact"/>
        <w:rPr>
          <w:sz w:val="20"/>
          <w:szCs w:val="20"/>
          <w:color w:val="auto"/>
        </w:rPr>
      </w:pPr>
    </w:p>
    <w:p>
      <w:pPr>
        <w:spacing w:after="0" w:line="269" w:lineRule="exact"/>
        <w:rPr>
          <w:sz w:val="20"/>
          <w:szCs w:val="20"/>
          <w:color w:val="auto"/>
        </w:rPr>
      </w:pPr>
    </w:p>
    <w:p>
      <w:pPr>
        <w:jc w:val="right"/>
        <w:ind w:right="59"/>
        <w:spacing w:after="0"/>
        <w:rPr>
          <w:sz w:val="20"/>
          <w:szCs w:val="20"/>
          <w:color w:val="auto"/>
        </w:rPr>
      </w:pPr>
      <w:r>
        <w:rPr>
          <w:rFonts w:ascii="Arial" w:cs="Arial" w:eastAsia="Arial" w:hAnsi="Arial"/>
          <w:sz w:val="16"/>
          <w:szCs w:val="16"/>
          <w:b w:val="1"/>
          <w:bCs w:val="1"/>
          <w:color w:val="FEFEFE"/>
        </w:rPr>
        <w:t>​</w:t>
      </w:r>
    </w:p>
    <w:p>
      <w:pPr>
        <w:spacing w:after="0" w:line="21"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auto"/>
        </w:rPr>
        <w:t>​</w:t>
      </w:r>
    </w:p>
    <w:p>
      <w:pPr>
        <w:spacing w:after="0" w:line="578" w:lineRule="exact"/>
        <w:rPr>
          <w:sz w:val="20"/>
          <w:szCs w:val="20"/>
          <w:color w:val="auto"/>
        </w:rPr>
      </w:pPr>
    </w:p>
    <w:p>
      <w:pPr>
        <w:sectPr>
          <w:pgSz w:w="11900" w:h="16838" w:orient="portrait"/>
          <w:cols w:equalWidth="0" w:num="2">
            <w:col w:w="9500" w:space="260"/>
            <w:col w:w="119"/>
          </w:cols>
          <w:pgMar w:left="580" w:top="97" w:right="1440" w:bottom="1440" w:gutter="0" w:footer="0" w:header="0"/>
          <w:type w:val="continuous"/>
        </w:sectPr>
      </w:pPr>
    </w:p>
    <w:p>
      <w:pPr>
        <w:ind w:left="2220" w:right="39" w:hanging="647"/>
        <w:spacing w:after="0" w:line="253" w:lineRule="auto"/>
        <w:tabs>
          <w:tab w:leader="none" w:pos="2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 The ability to vote by telephone or over the Internet for stockholders of record will be ​ available until 11:59 p.m., Eastern Daylight Time on May 27, 2025. In light of potential delays in mail service, we encourage stockholders to submit their proxy via telephone or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-403225</wp:posOffset>
            </wp:positionV>
            <wp:extent cx="240030" cy="2482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40030" cy="248285"/>
                    </a:xfrm>
                    <a:prstGeom prst="rect">
                      <a:avLst/>
                    </a:prstGeom>
                    <a:noFill/>
                  </pic:spPr>
                </pic:pic>
              </a:graphicData>
            </a:graphic>
          </wp:anchor>
        </w:drawing>
      </w:r>
    </w:p>
    <w:p>
      <w:pPr>
        <w:spacing w:after="0" w:line="230" w:lineRule="exact"/>
        <w:rPr>
          <w:sz w:val="20"/>
          <w:szCs w:val="20"/>
          <w:color w:val="auto"/>
        </w:rPr>
      </w:pPr>
    </w:p>
    <w:p>
      <w:pPr>
        <w:ind w:left="2220" w:right="39" w:hanging="647"/>
        <w:spacing w:after="0" w:line="227" w:lineRule="auto"/>
        <w:tabs>
          <w:tab w:leader="none" w:pos="2200" w:val="left"/>
        </w:tabs>
        <w:rPr>
          <w:sz w:val="20"/>
          <w:szCs w:val="20"/>
          <w:color w:val="auto"/>
        </w:rPr>
      </w:pPr>
      <w:r>
        <w:rPr>
          <w:rFonts w:ascii="Arial" w:cs="Arial" w:eastAsia="Arial" w:hAnsi="Arial"/>
          <w:sz w:val="35"/>
          <w:szCs w:val="35"/>
          <w:color w:val="auto"/>
          <w:vertAlign w:val="superscript"/>
        </w:rPr>
        <w:t>​</w:t>
      </w:r>
      <w:r>
        <w:rPr>
          <w:sz w:val="20"/>
          <w:szCs w:val="20"/>
          <w:color w:val="auto"/>
        </w:rPr>
        <w:tab/>
      </w:r>
      <w:r>
        <w:rPr>
          <w:rFonts w:ascii="Arial" w:cs="Arial" w:eastAsia="Arial" w:hAnsi="Arial"/>
          <w:sz w:val="24"/>
          <w:szCs w:val="24"/>
          <w:color w:val="auto"/>
          <w:vertAlign w:val="superscript"/>
        </w:rPr>
        <w:t xml:space="preserve">​ ​ </w:t>
      </w:r>
      <w:r>
        <w:rPr>
          <w:rFonts w:ascii="Arial" w:cs="Arial" w:eastAsia="Arial" w:hAnsi="Arial"/>
          <w:sz w:val="24"/>
          <w:szCs w:val="24"/>
          <w:color w:val="auto"/>
        </w:rPr>
        <w:t xml:space="preserve">If your shares are held in the name of a broker, bank or other nominee, please follow the </w:t>
      </w:r>
      <w:r>
        <w:rPr>
          <w:rFonts w:ascii="Arial" w:cs="Arial" w:eastAsia="Arial" w:hAnsi="Arial"/>
          <w:sz w:val="24"/>
          <w:szCs w:val="24"/>
          <w:color w:val="auto"/>
          <w:vertAlign w:val="superscript"/>
        </w:rPr>
        <w:t>​</w:t>
      </w:r>
      <w:r>
        <w:rPr>
          <w:rFonts w:ascii="Arial" w:cs="Arial" w:eastAsia="Arial" w:hAnsi="Arial"/>
          <w:sz w:val="24"/>
          <w:szCs w:val="24"/>
          <w:color w:val="auto"/>
        </w:rPr>
        <w:t xml:space="preserve"> </w:t>
      </w:r>
      <w:r>
        <w:rPr>
          <w:rFonts w:ascii="Arial" w:cs="Arial" w:eastAsia="Arial" w:hAnsi="Arial"/>
          <w:sz w:val="13"/>
          <w:szCs w:val="13"/>
          <w:color w:val="auto"/>
        </w:rPr>
        <w:t>voting instructions on the forms you received from such broker, bank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-276225</wp:posOffset>
            </wp:positionV>
            <wp:extent cx="248920" cy="26606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48920" cy="26606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186055</wp:posOffset>
            </wp:positionV>
            <wp:extent cx="5597525" cy="47180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597525" cy="4718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ind w:left="1740" w:hanging="816"/>
        <w:spacing w:after="0"/>
        <w:tabs>
          <w:tab w:leader="none" w:pos="1740" w:val="left"/>
        </w:tabs>
        <w:numPr>
          <w:ilvl w:val="0"/>
          <w:numId w:val="155"/>
        </w:numPr>
        <w:rPr>
          <w:rFonts w:ascii="Arial" w:cs="Arial" w:eastAsia="Arial" w:hAnsi="Arial"/>
          <w:sz w:val="43"/>
          <w:szCs w:val="43"/>
          <w:color w:val="auto"/>
          <w:vertAlign w:val="subscript"/>
        </w:rPr>
      </w:pPr>
      <w:r>
        <w:rPr>
          <w:rFonts w:ascii="Arial" w:cs="Arial" w:eastAsia="Arial" w:hAnsi="Arial"/>
          <w:sz w:val="20"/>
          <w:szCs w:val="20"/>
          <w:b w:val="1"/>
          <w:bCs w:val="1"/>
          <w:color w:val="auto"/>
        </w:rPr>
        <w:t>Who is serving as the Company’s inspector of elections?</w:t>
      </w:r>
    </w:p>
    <w:p>
      <w:pPr>
        <w:spacing w:after="0" w:line="245" w:lineRule="exact"/>
        <w:rPr>
          <w:sz w:val="20"/>
          <w:szCs w:val="20"/>
          <w:color w:val="auto"/>
        </w:rPr>
      </w:pPr>
    </w:p>
    <w:p>
      <w:pPr>
        <w:ind w:left="920"/>
        <w:spacing w:after="0" w:line="271" w:lineRule="auto"/>
        <w:rPr>
          <w:sz w:val="20"/>
          <w:szCs w:val="20"/>
          <w:color w:val="auto"/>
        </w:rPr>
      </w:pPr>
      <w:r>
        <w:rPr>
          <w:rFonts w:ascii="Arial" w:cs="Arial" w:eastAsia="Arial" w:hAnsi="Arial"/>
          <w:sz w:val="18"/>
          <w:szCs w:val="18"/>
          <w:color w:val="auto"/>
        </w:rPr>
        <w:t>Francis G. Arren has been engaged as our independent inspector of elections to tabulate stockholder votes for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118110</wp:posOffset>
            </wp:positionV>
            <wp:extent cx="5597525" cy="47180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597525" cy="471805"/>
                    </a:xfrm>
                    <a:prstGeom prst="rect">
                      <a:avLst/>
                    </a:prstGeom>
                    <a:noFill/>
                  </pic:spPr>
                </pic:pic>
              </a:graphicData>
            </a:graphic>
          </wp:anchor>
        </w:drawing>
      </w:r>
    </w:p>
    <w:p>
      <w:pPr>
        <w:spacing w:after="0" w:line="353" w:lineRule="exact"/>
        <w:rPr>
          <w:sz w:val="20"/>
          <w:szCs w:val="20"/>
          <w:color w:val="auto"/>
        </w:rPr>
      </w:pPr>
    </w:p>
    <w:p>
      <w:pPr>
        <w:ind w:left="1740" w:hanging="816"/>
        <w:spacing w:after="0"/>
        <w:tabs>
          <w:tab w:leader="none" w:pos="1740" w:val="left"/>
        </w:tabs>
        <w:numPr>
          <w:ilvl w:val="0"/>
          <w:numId w:val="156"/>
        </w:numPr>
        <w:rPr>
          <w:rFonts w:ascii="Arial" w:cs="Arial" w:eastAsia="Arial" w:hAnsi="Arial"/>
          <w:sz w:val="43"/>
          <w:szCs w:val="43"/>
          <w:color w:val="auto"/>
          <w:vertAlign w:val="subscript"/>
        </w:rPr>
      </w:pPr>
      <w:r>
        <w:rPr>
          <w:rFonts w:ascii="Arial" w:cs="Arial" w:eastAsia="Arial" w:hAnsi="Arial"/>
          <w:sz w:val="20"/>
          <w:szCs w:val="20"/>
          <w:b w:val="1"/>
          <w:bCs w:val="1"/>
          <w:color w:val="auto"/>
        </w:rPr>
        <w:t>How can I change my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9300" w:space="480"/>
            <w:col w:w="99"/>
          </w:cols>
          <w:pgMar w:left="580" w:top="97" w:right="1440" w:bottom="1440" w:gutter="0" w:footer="0" w:header="0"/>
          <w:type w:val="continuous"/>
        </w:sectPr>
      </w:pPr>
    </w:p>
    <w:p>
      <w:pPr>
        <w:ind w:left="920" w:right="99"/>
        <w:spacing w:after="0" w:line="252" w:lineRule="auto"/>
        <w:rPr>
          <w:sz w:val="20"/>
          <w:szCs w:val="20"/>
          <w:color w:val="auto"/>
        </w:rPr>
      </w:pPr>
      <w:r>
        <w:rPr>
          <w:rFonts w:ascii="Arial" w:cs="Arial" w:eastAsia="Arial" w:hAnsi="Arial"/>
          <w:sz w:val="18"/>
          <w:szCs w:val="18"/>
          <w:color w:val="auto"/>
        </w:rPr>
        <w:t>You may revoke your proxy and change your vote at any time before the polls close at the meeting. You may do this by signing and submitting a new proxy card with a later date, submitting a proxy by telephone or submitting a proxy over the Internet (your latest telephone or Internet proxy is counted), by giving written notice of revocation to our Corporate Secretary prior to the 2025</w:t>
      </w:r>
    </w:p>
    <w:p>
      <w:pPr>
        <w:spacing w:after="0" w:line="29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90</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9166BA"/>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right="359"/>
        <w:spacing w:after="0" w:line="261" w:lineRule="auto"/>
        <w:rPr>
          <w:sz w:val="20"/>
          <w:szCs w:val="20"/>
          <w:color w:val="auto"/>
        </w:rPr>
      </w:pPr>
      <w:r>
        <w:rPr>
          <w:rFonts w:ascii="Arial" w:cs="Arial" w:eastAsia="Arial" w:hAnsi="Arial"/>
          <w:sz w:val="18"/>
          <w:szCs w:val="18"/>
          <w:color w:val="auto"/>
        </w:rPr>
        <w:t>Annual Meeting or by attending the meeting and voting electronically. If your shares are held in street name, you may change or revoke your voting instructions by following the specific directions provided to you by your bank or broker. Attending the meeting by itself, however, will not revoke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191770</wp:posOffset>
            </wp:positionV>
            <wp:extent cx="5597525" cy="47180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597525" cy="471805"/>
                    </a:xfrm>
                    <a:prstGeom prst="rect">
                      <a:avLst/>
                    </a:prstGeom>
                    <a:noFill/>
                  </pic:spPr>
                </pic:pic>
              </a:graphicData>
            </a:graphic>
          </wp:anchor>
        </w:drawing>
      </w:r>
    </w:p>
    <w:p>
      <w:pPr>
        <w:spacing w:after="0" w:line="241" w:lineRule="exact"/>
        <w:rPr>
          <w:sz w:val="20"/>
          <w:szCs w:val="20"/>
          <w:color w:val="auto"/>
        </w:rPr>
      </w:pPr>
    </w:p>
    <w:p>
      <w:pPr>
        <w:ind w:left="920"/>
        <w:spacing w:after="0"/>
        <w:tabs>
          <w:tab w:leader="none" w:pos="1720" w:val="left"/>
          <w:tab w:leader="none" w:pos="9760" w:val="left"/>
        </w:tabs>
        <w:rPr>
          <w:sz w:val="20"/>
          <w:szCs w:val="20"/>
          <w:color w:val="auto"/>
        </w:rPr>
      </w:pPr>
      <w:r>
        <w:rPr>
          <w:rFonts w:ascii="Arial" w:cs="Arial" w:eastAsia="Arial" w:hAnsi="Arial"/>
          <w:sz w:val="43"/>
          <w:szCs w:val="43"/>
          <w:color w:val="auto"/>
          <w:vertAlign w:val="subscript"/>
        </w:rPr>
        <w:t>​</w:t>
      </w:r>
      <w:r>
        <w:rPr>
          <w:sz w:val="20"/>
          <w:szCs w:val="20"/>
          <w:color w:val="auto"/>
        </w:rPr>
        <w:tab/>
      </w:r>
      <w:r>
        <w:rPr>
          <w:rFonts w:ascii="Arial" w:cs="Arial" w:eastAsia="Arial" w:hAnsi="Arial"/>
          <w:sz w:val="20"/>
          <w:szCs w:val="20"/>
          <w:b w:val="1"/>
          <w:bCs w:val="1"/>
          <w:color w:val="auto"/>
        </w:rPr>
        <w:t>Why are you holding a virtual meeting?</w:t>
      </w:r>
      <w:r>
        <w:rPr>
          <w:sz w:val="20"/>
          <w:szCs w:val="20"/>
          <w:color w:val="auto"/>
        </w:rPr>
        <w:tab/>
      </w:r>
      <w:r>
        <w:rPr>
          <w:rFonts w:ascii="Arial" w:cs="Arial" w:eastAsia="Arial" w:hAnsi="Arial"/>
          <w:sz w:val="43"/>
          <w:szCs w:val="43"/>
          <w:color w:val="auto"/>
          <w:vertAlign w:val="subscript"/>
        </w:rPr>
        <w:t>​</w:t>
      </w:r>
    </w:p>
    <w:p>
      <w:pPr>
        <w:spacing w:after="0" w:line="265" w:lineRule="exact"/>
        <w:rPr>
          <w:sz w:val="20"/>
          <w:szCs w:val="20"/>
          <w:color w:val="auto"/>
        </w:rPr>
      </w:pPr>
    </w:p>
    <w:p>
      <w:pPr>
        <w:ind w:left="920" w:right="99"/>
        <w:spacing w:after="0" w:line="245" w:lineRule="auto"/>
        <w:rPr>
          <w:sz w:val="20"/>
          <w:szCs w:val="20"/>
          <w:color w:val="auto"/>
        </w:rPr>
      </w:pPr>
      <w:r>
        <w:rPr>
          <w:rFonts w:ascii="Arial" w:cs="Arial" w:eastAsia="Arial" w:hAnsi="Arial"/>
          <w:sz w:val="18"/>
          <w:szCs w:val="18"/>
          <w:color w:val="auto"/>
        </w:rPr>
        <w:t xml:space="preserve">As a public company we have stockholders located all over the world. In order to encourage as many stockholders as possible to participate in the meeting, no matter where they are located, we believe that hosting a virtual meeting is in the best interest of the Company and its stockholders. We have designed our virtual format to enhance, rather than constrain, stockholder access, participation and communication. For example, the virtual format allows stockholders to communicate with us in advance of, and during, the 2025 Annual Meeting so they can ask questions of our Board and/or management. You will be able to attend the 2025 Annual Meeting online and submit your questions by visiting </w:t>
      </w:r>
      <w:r>
        <w:rPr>
          <w:rFonts w:ascii="Arial" w:cs="Arial" w:eastAsia="Arial" w:hAnsi="Arial"/>
          <w:sz w:val="18"/>
          <w:szCs w:val="18"/>
          <w:color w:val="E7417A"/>
        </w:rPr>
        <w:t>www.virtualshareholdermeeting.com/RBBN2025</w:t>
      </w:r>
      <w:r>
        <w:rPr>
          <w:rFonts w:ascii="Arial" w:cs="Arial" w:eastAsia="Arial" w:hAnsi="Arial"/>
          <w:sz w:val="18"/>
          <w:szCs w:val="18"/>
          <w:color w:val="000000"/>
        </w:rPr>
        <w:t>. You also will be able to vote your shares electronically at</w:t>
      </w:r>
      <w:r>
        <w:rPr>
          <w:rFonts w:ascii="Arial" w:cs="Arial" w:eastAsia="Arial" w:hAnsi="Arial"/>
          <w:sz w:val="18"/>
          <w:szCs w:val="18"/>
          <w:color w:val="E7417A"/>
        </w:rPr>
        <w:t xml:space="preserve"> </w:t>
      </w:r>
      <w:r>
        <w:rPr>
          <w:rFonts w:ascii="Arial" w:cs="Arial" w:eastAsia="Arial" w:hAnsi="Arial"/>
          <w:sz w:val="18"/>
          <w:szCs w:val="18"/>
          <w:color w:val="000000"/>
        </w:rPr>
        <w:t>the 2025 Annual Meeting by following the instructions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90170</wp:posOffset>
            </wp:positionV>
            <wp:extent cx="5597525" cy="47180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597525" cy="47180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440" w:type="dxa"/>
            <w:vAlign w:val="bottom"/>
          </w:tcPr>
          <w:p>
            <w:pPr>
              <w:spacing w:after="0"/>
              <w:rPr>
                <w:sz w:val="20"/>
                <w:szCs w:val="20"/>
                <w:color w:val="auto"/>
              </w:rPr>
            </w:pPr>
            <w:r>
              <w:rPr>
                <w:rFonts w:ascii="Arial" w:cs="Arial" w:eastAsia="Arial" w:hAnsi="Arial"/>
                <w:sz w:val="22"/>
                <w:szCs w:val="22"/>
                <w:color w:val="auto"/>
              </w:rPr>
              <w:t>​</w:t>
            </w:r>
          </w:p>
        </w:tc>
        <w:tc>
          <w:tcPr>
            <w:tcW w:w="8220" w:type="dxa"/>
            <w:vAlign w:val="bottom"/>
          </w:tcPr>
          <w:p>
            <w:pPr>
              <w:ind w:left="380"/>
              <w:spacing w:after="0"/>
              <w:rPr>
                <w:sz w:val="20"/>
                <w:szCs w:val="20"/>
                <w:color w:val="auto"/>
              </w:rPr>
            </w:pPr>
            <w:r>
              <w:rPr>
                <w:rFonts w:ascii="Arial" w:cs="Arial" w:eastAsia="Arial" w:hAnsi="Arial"/>
                <w:sz w:val="20"/>
                <w:szCs w:val="20"/>
                <w:b w:val="1"/>
                <w:bCs w:val="1"/>
                <w:color w:val="auto"/>
              </w:rPr>
              <w:t>What if during the check-in time or during the 2025 Annual Meeting I have</w:t>
            </w:r>
          </w:p>
        </w:tc>
        <w:tc>
          <w:tcPr>
            <w:tcW w:w="260" w:type="dxa"/>
            <w:vAlign w:val="bottom"/>
          </w:tcPr>
          <w:p>
            <w:pPr>
              <w:ind w:left="200"/>
              <w:spacing w:after="0"/>
              <w:rPr>
                <w:sz w:val="20"/>
                <w:szCs w:val="20"/>
                <w:color w:val="auto"/>
              </w:rPr>
            </w:pPr>
            <w:r>
              <w:rPr>
                <w:rFonts w:ascii="Arial" w:cs="Arial" w:eastAsia="Arial" w:hAnsi="Arial"/>
                <w:sz w:val="22"/>
                <w:szCs w:val="22"/>
                <w:color w:val="auto"/>
              </w:rPr>
              <w:t>​</w:t>
            </w:r>
          </w:p>
        </w:tc>
      </w:tr>
      <w:tr>
        <w:trPr>
          <w:trHeight w:val="273"/>
        </w:trPr>
        <w:tc>
          <w:tcPr>
            <w:tcW w:w="440" w:type="dxa"/>
            <w:vAlign w:val="bottom"/>
          </w:tcPr>
          <w:p>
            <w:pPr>
              <w:spacing w:after="0"/>
              <w:rPr>
                <w:sz w:val="23"/>
                <w:szCs w:val="23"/>
                <w:color w:val="auto"/>
              </w:rPr>
            </w:pPr>
          </w:p>
        </w:tc>
        <w:tc>
          <w:tcPr>
            <w:tcW w:w="8220" w:type="dxa"/>
            <w:vAlign w:val="bottom"/>
          </w:tcPr>
          <w:p>
            <w:pPr>
              <w:ind w:left="380"/>
              <w:spacing w:after="0"/>
              <w:rPr>
                <w:sz w:val="20"/>
                <w:szCs w:val="20"/>
                <w:color w:val="auto"/>
              </w:rPr>
            </w:pPr>
            <w:r>
              <w:rPr>
                <w:rFonts w:ascii="Arial" w:cs="Arial" w:eastAsia="Arial" w:hAnsi="Arial"/>
                <w:sz w:val="20"/>
                <w:szCs w:val="20"/>
                <w:b w:val="1"/>
                <w:bCs w:val="1"/>
                <w:color w:val="auto"/>
              </w:rPr>
              <w:t>technical difficulties or trouble accessing the virtual meeting website?</w:t>
            </w:r>
          </w:p>
        </w:tc>
        <w:tc>
          <w:tcPr>
            <w:tcW w:w="260" w:type="dxa"/>
            <w:vAlign w:val="bottom"/>
          </w:tcPr>
          <w:p>
            <w:pPr>
              <w:spacing w:after="0"/>
              <w:rPr>
                <w:sz w:val="23"/>
                <w:szCs w:val="23"/>
                <w:color w:val="auto"/>
              </w:rPr>
            </w:pPr>
          </w:p>
        </w:tc>
      </w:tr>
    </w:tbl>
    <w:p>
      <w:pPr>
        <w:spacing w:after="0" w:line="117" w:lineRule="exact"/>
        <w:rPr>
          <w:sz w:val="20"/>
          <w:szCs w:val="20"/>
          <w:color w:val="auto"/>
        </w:rPr>
      </w:pPr>
    </w:p>
    <w:p>
      <w:pPr>
        <w:ind w:left="920" w:right="379"/>
        <w:spacing w:after="0" w:line="271" w:lineRule="auto"/>
        <w:rPr>
          <w:sz w:val="20"/>
          <w:szCs w:val="20"/>
          <w:color w:val="auto"/>
        </w:rPr>
      </w:pPr>
      <w:r>
        <w:rPr>
          <w:rFonts w:ascii="Arial" w:cs="Arial" w:eastAsia="Arial" w:hAnsi="Arial"/>
          <w:sz w:val="18"/>
          <w:szCs w:val="18"/>
          <w:color w:val="auto"/>
        </w:rPr>
        <w:t>If you encounter technical difficulties accessing the virtual 2025 Annual Meeting website, please call the technical support number that will be posted on the virtual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74930</wp:posOffset>
            </wp:positionV>
            <wp:extent cx="5597525" cy="47180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597525" cy="471805"/>
                    </a:xfrm>
                    <a:prstGeom prst="rect">
                      <a:avLst/>
                    </a:prstGeom>
                    <a:noFill/>
                  </pic:spPr>
                </pic:pic>
              </a:graphicData>
            </a:graphic>
          </wp:anchor>
        </w:drawing>
      </w:r>
    </w:p>
    <w:p>
      <w:pPr>
        <w:spacing w:after="0" w:line="57" w:lineRule="exact"/>
        <w:rPr>
          <w:sz w:val="20"/>
          <w:szCs w:val="20"/>
          <w:color w:val="auto"/>
        </w:rPr>
      </w:pPr>
    </w:p>
    <w:p>
      <w:pPr>
        <w:ind w:left="920"/>
        <w:spacing w:after="0"/>
        <w:tabs>
          <w:tab w:leader="none" w:pos="1720" w:val="left"/>
          <w:tab w:leader="none" w:pos="9760" w:val="left"/>
        </w:tabs>
        <w:rPr>
          <w:sz w:val="20"/>
          <w:szCs w:val="20"/>
          <w:color w:val="auto"/>
        </w:rPr>
      </w:pPr>
      <w:r>
        <w:rPr>
          <w:rFonts w:ascii="Arial" w:cs="Arial" w:eastAsia="Arial" w:hAnsi="Arial"/>
          <w:sz w:val="43"/>
          <w:szCs w:val="43"/>
          <w:color w:val="auto"/>
          <w:vertAlign w:val="subscript"/>
        </w:rPr>
        <w:t>​</w:t>
      </w:r>
      <w:r>
        <w:rPr>
          <w:sz w:val="20"/>
          <w:szCs w:val="20"/>
          <w:color w:val="auto"/>
        </w:rPr>
        <w:tab/>
      </w:r>
      <w:r>
        <w:rPr>
          <w:rFonts w:ascii="Arial" w:cs="Arial" w:eastAsia="Arial" w:hAnsi="Arial"/>
          <w:sz w:val="20"/>
          <w:szCs w:val="20"/>
          <w:b w:val="1"/>
          <w:bCs w:val="1"/>
          <w:color w:val="auto"/>
        </w:rPr>
        <w:t>Will there be a question-and-answer session during the Annual Meeting?</w:t>
      </w:r>
      <w:r>
        <w:rPr>
          <w:sz w:val="20"/>
          <w:szCs w:val="20"/>
          <w:color w:val="auto"/>
        </w:rPr>
        <w:tab/>
      </w:r>
      <w:r>
        <w:rPr>
          <w:rFonts w:ascii="Arial" w:cs="Arial" w:eastAsia="Arial" w:hAnsi="Arial"/>
          <w:sz w:val="43"/>
          <w:szCs w:val="43"/>
          <w:color w:val="auto"/>
          <w:vertAlign w:val="subscript"/>
        </w:rPr>
        <w:t>​</w:t>
      </w:r>
    </w:p>
    <w:p>
      <w:pPr>
        <w:spacing w:after="0" w:line="265" w:lineRule="exact"/>
        <w:rPr>
          <w:sz w:val="20"/>
          <w:szCs w:val="20"/>
          <w:color w:val="auto"/>
        </w:rPr>
      </w:pPr>
    </w:p>
    <w:p>
      <w:pPr>
        <w:ind w:left="920" w:right="99"/>
        <w:spacing w:after="0" w:line="261" w:lineRule="auto"/>
        <w:rPr>
          <w:sz w:val="20"/>
          <w:szCs w:val="20"/>
          <w:color w:val="auto"/>
        </w:rPr>
      </w:pPr>
      <w:r>
        <w:rPr>
          <w:rFonts w:ascii="Arial" w:cs="Arial" w:eastAsia="Arial" w:hAnsi="Arial"/>
          <w:sz w:val="18"/>
          <w:szCs w:val="18"/>
          <w:color w:val="auto"/>
        </w:rPr>
        <w:t>As part of the 2025 Annual Meeting, we intend to hold a live question and answer session, during which we expect to answer appropriate questions submitted during and in advance of the meeting that are pertinent to the Company and the meeting matters, as time permits.</w:t>
      </w:r>
    </w:p>
    <w:p>
      <w:pPr>
        <w:spacing w:after="0" w:line="129" w:lineRule="exact"/>
        <w:rPr>
          <w:sz w:val="20"/>
          <w:szCs w:val="20"/>
          <w:color w:val="auto"/>
        </w:rPr>
      </w:pPr>
    </w:p>
    <w:p>
      <w:pPr>
        <w:ind w:left="920" w:right="699"/>
        <w:spacing w:after="0" w:line="274" w:lineRule="auto"/>
        <w:rPr>
          <w:sz w:val="20"/>
          <w:szCs w:val="20"/>
          <w:color w:val="auto"/>
        </w:rPr>
      </w:pPr>
      <w:r>
        <w:rPr>
          <w:rFonts w:ascii="Arial" w:cs="Arial" w:eastAsia="Arial" w:hAnsi="Arial"/>
          <w:sz w:val="36"/>
          <w:szCs w:val="36"/>
          <w:b w:val="1"/>
          <w:bCs w:val="1"/>
          <w:color w:val="E7417A"/>
        </w:rPr>
        <w:t>Stockholder Proposals for Inclusion in 2026 Proxy Statement</w:t>
      </w:r>
    </w:p>
    <w:p>
      <w:pPr>
        <w:spacing w:after="0" w:line="19" w:lineRule="exact"/>
        <w:rPr>
          <w:sz w:val="20"/>
          <w:szCs w:val="20"/>
          <w:color w:val="auto"/>
        </w:rPr>
      </w:pPr>
    </w:p>
    <w:p>
      <w:pPr>
        <w:ind w:left="920" w:right="179"/>
        <w:spacing w:after="0" w:line="246" w:lineRule="auto"/>
        <w:rPr>
          <w:sz w:val="20"/>
          <w:szCs w:val="20"/>
          <w:color w:val="auto"/>
        </w:rPr>
      </w:pPr>
      <w:r>
        <w:rPr>
          <w:rFonts w:ascii="Arial" w:cs="Arial" w:eastAsia="Arial" w:hAnsi="Arial"/>
          <w:sz w:val="18"/>
          <w:szCs w:val="18"/>
          <w:color w:val="auto"/>
        </w:rPr>
        <w:t>To be considered for inclusion in the proxy statement relating to our annual meeting of stockholders to be held in 2026, stockholder proposals must be received at our principal executive offices no later than December 15, 2025, which is 120 calendar days before the anniversary date of when our proxy statement was released to our stockholders in connection with the 2025 Annual Meeting, and must otherwise comply with the rules promulgated by the SEC. If the date of next year’s annual meeting is changed by more than 30 days from the anniversary date of this year’s annual meeting on May 28, 2025, then the deadline is a reasonable time before we begin to print and mail proxy materials.</w:t>
      </w:r>
    </w:p>
    <w:p>
      <w:pPr>
        <w:spacing w:after="0" w:line="143" w:lineRule="exact"/>
        <w:rPr>
          <w:sz w:val="20"/>
          <w:szCs w:val="20"/>
          <w:color w:val="auto"/>
        </w:rPr>
      </w:pPr>
    </w:p>
    <w:p>
      <w:pPr>
        <w:ind w:left="920" w:right="719"/>
        <w:spacing w:after="0" w:line="282" w:lineRule="auto"/>
        <w:rPr>
          <w:sz w:val="20"/>
          <w:szCs w:val="20"/>
          <w:color w:val="auto"/>
        </w:rPr>
      </w:pPr>
      <w:r>
        <w:rPr>
          <w:rFonts w:ascii="Arial" w:cs="Arial" w:eastAsia="Arial" w:hAnsi="Arial"/>
          <w:sz w:val="36"/>
          <w:szCs w:val="36"/>
          <w:b w:val="1"/>
          <w:bCs w:val="1"/>
          <w:color w:val="E7417A"/>
        </w:rPr>
        <w:t>Stockholder Nominations and Proposals for Presentation at 2026 Annual Meeting</w:t>
      </w:r>
    </w:p>
    <w:p>
      <w:pPr>
        <w:spacing w:after="0" w:line="5" w:lineRule="exact"/>
        <w:rPr>
          <w:sz w:val="20"/>
          <w:szCs w:val="20"/>
          <w:color w:val="auto"/>
        </w:rPr>
      </w:pPr>
    </w:p>
    <w:p>
      <w:pPr>
        <w:ind w:left="920" w:right="199"/>
        <w:spacing w:after="0" w:line="252" w:lineRule="auto"/>
        <w:rPr>
          <w:sz w:val="20"/>
          <w:szCs w:val="20"/>
          <w:color w:val="auto"/>
        </w:rPr>
      </w:pPr>
      <w:r>
        <w:rPr>
          <w:rFonts w:ascii="Arial" w:cs="Arial" w:eastAsia="Arial" w:hAnsi="Arial"/>
          <w:sz w:val="18"/>
          <w:szCs w:val="18"/>
          <w:color w:val="auto"/>
        </w:rPr>
        <w:t>According to our by-laws, we must receive proposals of stockholders and director nominations intended to be presented at the 2026 Annual Meeting but not included in the proxy statement by the close of business on February 27, 2026, but not before January 28, 2026, which is not later than the 90th day nor earlier than the 120th day prior to the first anniversary of the date of the 2025</w:t>
      </w:r>
    </w:p>
    <w:p>
      <w:pPr>
        <w:spacing w:after="0" w:line="305"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9166BA"/>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right="299"/>
        <w:spacing w:after="0" w:line="245" w:lineRule="auto"/>
        <w:rPr>
          <w:sz w:val="20"/>
          <w:szCs w:val="20"/>
          <w:color w:val="auto"/>
        </w:rPr>
      </w:pPr>
      <w:r>
        <w:rPr>
          <w:rFonts w:ascii="Arial" w:cs="Arial" w:eastAsia="Arial" w:hAnsi="Arial"/>
          <w:sz w:val="18"/>
          <w:szCs w:val="18"/>
          <w:color w:val="auto"/>
        </w:rPr>
        <w:t>Annual Meeting. Such proposals must be delivered to the Corporate Secretary of the Company at our principal executive office. However, in the event the 2026 Annual Meeting is scheduled to be held on a date before April 28, 2026, or after August 6, 2026, which are dates 30 days before or 70 days after the first anniversary of our 2025 Annual Meeting, then your notice must be received by us at our principal executive office not earlier than the close of business on the 120th day prior to such annual meeting and not later than the close of business on the later of the 90th day before the scheduled date of such annual meeting or the 10th day after the day on which we first make a public announcement of the date of such annual meeting. Any proposals that are not made in accordance with the above standards may not be presented at the 2026 Annual Meeting.</w:t>
      </w:r>
    </w:p>
    <w:p>
      <w:pPr>
        <w:spacing w:after="0" w:line="110" w:lineRule="exact"/>
        <w:rPr>
          <w:sz w:val="20"/>
          <w:szCs w:val="20"/>
          <w:color w:val="auto"/>
        </w:rPr>
      </w:pPr>
    </w:p>
    <w:p>
      <w:pPr>
        <w:ind w:left="920" w:right="119"/>
        <w:spacing w:after="0" w:line="253" w:lineRule="auto"/>
        <w:rPr>
          <w:sz w:val="20"/>
          <w:szCs w:val="20"/>
          <w:color w:val="auto"/>
        </w:rPr>
      </w:pPr>
      <w:r>
        <w:rPr>
          <w:rFonts w:ascii="Arial" w:cs="Arial" w:eastAsia="Arial" w:hAnsi="Arial"/>
          <w:sz w:val="18"/>
          <w:szCs w:val="18"/>
          <w:color w:val="auto"/>
        </w:rPr>
        <w:t>In addition, to comply with the universal proxy rules, stockholders who intend to solicit proxies in support of director nominees other than our nominees must comply with our by-laws and Rule 14a-19 under the Securities Exchange Act of 1934.</w:t>
      </w:r>
    </w:p>
    <w:p>
      <w:pPr>
        <w:spacing w:after="0" w:line="150"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Stockholders Sharing the Same Address</w:t>
      </w:r>
    </w:p>
    <w:p>
      <w:pPr>
        <w:spacing w:after="0" w:line="158" w:lineRule="exact"/>
        <w:rPr>
          <w:sz w:val="20"/>
          <w:szCs w:val="20"/>
          <w:color w:val="auto"/>
        </w:rPr>
      </w:pPr>
    </w:p>
    <w:p>
      <w:pPr>
        <w:ind w:left="920" w:right="199"/>
        <w:spacing w:after="0" w:line="248" w:lineRule="auto"/>
        <w:rPr>
          <w:sz w:val="20"/>
          <w:szCs w:val="20"/>
          <w:color w:val="auto"/>
        </w:rPr>
      </w:pPr>
      <w:r>
        <w:rPr>
          <w:rFonts w:ascii="Arial" w:cs="Arial" w:eastAsia="Arial" w:hAnsi="Arial"/>
          <w:sz w:val="18"/>
          <w:szCs w:val="18"/>
          <w:color w:val="auto"/>
        </w:rPr>
        <w:t>We have adopted a procedure called “householding.” Under this procedure, we are delivering only one copy of the Notice of Internet Availability of Proxy Materials or, if requested, printed proxy materials to multiple stockholders who share the same address, unless we have received contrary instructions from an affected stockholder. Stockholders who participate in householding will continue to receive separate proxy cards.</w:t>
      </w:r>
    </w:p>
    <w:p>
      <w:pPr>
        <w:spacing w:after="0" w:line="319" w:lineRule="exact"/>
        <w:rPr>
          <w:sz w:val="20"/>
          <w:szCs w:val="20"/>
          <w:color w:val="auto"/>
        </w:rPr>
      </w:pPr>
    </w:p>
    <w:p>
      <w:pPr>
        <w:ind w:left="920" w:right="119"/>
        <w:spacing w:after="0" w:line="253" w:lineRule="auto"/>
        <w:rPr>
          <w:sz w:val="20"/>
          <w:szCs w:val="20"/>
          <w:color w:val="auto"/>
        </w:rPr>
      </w:pPr>
      <w:r>
        <w:rPr>
          <w:rFonts w:ascii="Arial" w:cs="Arial" w:eastAsia="Arial" w:hAnsi="Arial"/>
          <w:sz w:val="18"/>
          <w:szCs w:val="18"/>
          <w:color w:val="auto"/>
        </w:rPr>
        <w:t>We will deliver promptly upon written or oral request a separate copy of the Notice of Internet Availability of Proxy Materials or, if requested, printed proxy materials, to any stockholder at a shared address to which a</w:t>
      </w:r>
    </w:p>
    <w:p>
      <w:pPr>
        <w:sectPr>
          <w:pgSz w:w="11900" w:h="16838" w:orient="portrait"/>
          <w:cols w:equalWidth="0" w:num="1">
            <w:col w:w="9879"/>
          </w:cols>
          <w:pgMar w:left="580" w:top="97" w:right="1440" w:bottom="1440" w:gutter="0" w:footer="0" w:header="0"/>
        </w:sectPr>
      </w:pPr>
    </w:p>
    <w:p>
      <w:pPr>
        <w:ind w:left="920" w:right="520"/>
        <w:spacing w:after="0" w:line="250" w:lineRule="auto"/>
        <w:rPr>
          <w:sz w:val="20"/>
          <w:szCs w:val="20"/>
          <w:color w:val="auto"/>
        </w:rPr>
      </w:pPr>
      <w:r>
        <w:rPr>
          <w:rFonts w:ascii="Arial" w:cs="Arial" w:eastAsia="Arial" w:hAnsi="Arial"/>
          <w:sz w:val="18"/>
          <w:szCs w:val="18"/>
          <w:color w:val="auto"/>
        </w:rPr>
        <w:t>single copy of either of those documents was delivered. To receive a separate copy of these proxy materials, please submit your request to:</w:t>
      </w:r>
    </w:p>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195"/>
        </w:trPr>
        <w:tc>
          <w:tcPr>
            <w:tcW w:w="12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3640" w:type="dxa"/>
            <w:vAlign w:val="bottom"/>
          </w:tcPr>
          <w:p>
            <w:pPr>
              <w:ind w:left="3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3640" w:type="dxa"/>
            <w:vAlign w:val="bottom"/>
          </w:tcPr>
          <w:p>
            <w:pPr>
              <w:ind w:left="360"/>
              <w:spacing w:after="0"/>
              <w:rPr>
                <w:sz w:val="20"/>
                <w:szCs w:val="20"/>
                <w:color w:val="auto"/>
              </w:rPr>
            </w:pPr>
            <w:r>
              <w:rPr>
                <w:rFonts w:ascii="Arial" w:cs="Arial" w:eastAsia="Arial" w:hAnsi="Arial"/>
                <w:sz w:val="17"/>
                <w:szCs w:val="17"/>
                <w:color w:val="auto"/>
              </w:rPr>
              <w:t>​</w:t>
            </w: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400" w:type="dxa"/>
            <w:vAlign w:val="bottom"/>
          </w:tcPr>
          <w:p>
            <w:pPr>
              <w:spacing w:after="0"/>
              <w:rPr>
                <w:sz w:val="5"/>
                <w:szCs w:val="5"/>
                <w:color w:val="auto"/>
              </w:rPr>
            </w:pPr>
          </w:p>
        </w:tc>
        <w:tc>
          <w:tcPr>
            <w:tcW w:w="3640" w:type="dxa"/>
            <w:vAlign w:val="bottom"/>
          </w:tcPr>
          <w:p>
            <w:pPr>
              <w:ind w:left="340"/>
              <w:spacing w:after="0" w:line="68" w:lineRule="exact"/>
              <w:rPr>
                <w:sz w:val="20"/>
                <w:szCs w:val="20"/>
                <w:color w:val="auto"/>
              </w:rPr>
            </w:pPr>
            <w:r>
              <w:rPr>
                <w:rFonts w:ascii="Arial" w:cs="Arial" w:eastAsia="Arial" w:hAnsi="Arial"/>
                <w:sz w:val="7"/>
                <w:szCs w:val="7"/>
                <w:color w:val="auto"/>
              </w:rPr>
              <w:t>​</w:t>
            </w:r>
          </w:p>
        </w:tc>
        <w:tc>
          <w:tcPr>
            <w:tcW w:w="140" w:type="dxa"/>
            <w:vAlign w:val="bottom"/>
          </w:tcPr>
          <w:p>
            <w:pPr>
              <w:spacing w:after="0" w:line="68" w:lineRule="exact"/>
              <w:rPr>
                <w:sz w:val="20"/>
                <w:szCs w:val="20"/>
                <w:color w:val="auto"/>
              </w:rPr>
            </w:pPr>
            <w:r>
              <w:rPr>
                <w:rFonts w:ascii="Arial" w:cs="Arial" w:eastAsia="Arial" w:hAnsi="Arial"/>
                <w:sz w:val="7"/>
                <w:szCs w:val="7"/>
                <w:color w:val="auto"/>
              </w:rPr>
              <w:t>​</w:t>
            </w:r>
          </w:p>
        </w:tc>
        <w:tc>
          <w:tcPr>
            <w:tcW w:w="300" w:type="dxa"/>
            <w:vAlign w:val="bottom"/>
          </w:tcPr>
          <w:p>
            <w:pPr>
              <w:ind w:left="80"/>
              <w:spacing w:after="0" w:line="68" w:lineRule="exact"/>
              <w:rPr>
                <w:sz w:val="20"/>
                <w:szCs w:val="20"/>
                <w:color w:val="auto"/>
              </w:rPr>
            </w:pPr>
            <w:r>
              <w:rPr>
                <w:rFonts w:ascii="Arial" w:cs="Arial" w:eastAsia="Arial" w:hAnsi="Arial"/>
                <w:sz w:val="7"/>
                <w:szCs w:val="7"/>
                <w:color w:val="auto"/>
              </w:rPr>
              <w:t>​</w:t>
            </w:r>
          </w:p>
        </w:tc>
        <w:tc>
          <w:tcPr>
            <w:tcW w:w="400" w:type="dxa"/>
            <w:vAlign w:val="bottom"/>
          </w:tcPr>
          <w:p>
            <w:pPr>
              <w:spacing w:after="0"/>
              <w:rPr>
                <w:sz w:val="5"/>
                <w:szCs w:val="5"/>
                <w:color w:val="auto"/>
              </w:rPr>
            </w:pPr>
          </w:p>
        </w:tc>
        <w:tc>
          <w:tcPr>
            <w:tcW w:w="3640" w:type="dxa"/>
            <w:vAlign w:val="bottom"/>
          </w:tcPr>
          <w:p>
            <w:pPr>
              <w:ind w:left="360"/>
              <w:spacing w:after="0" w:line="68" w:lineRule="exact"/>
              <w:rPr>
                <w:sz w:val="20"/>
                <w:szCs w:val="20"/>
                <w:color w:val="auto"/>
              </w:rPr>
            </w:pPr>
            <w:r>
              <w:rPr>
                <w:rFonts w:ascii="Arial" w:cs="Arial" w:eastAsia="Arial" w:hAnsi="Arial"/>
                <w:sz w:val="7"/>
                <w:szCs w:val="7"/>
                <w:color w:val="auto"/>
              </w:rPr>
              <w:t>​</w:t>
            </w:r>
          </w:p>
        </w:tc>
      </w:tr>
      <w:tr>
        <w:trPr>
          <w:trHeight w:val="108"/>
        </w:trPr>
        <w:tc>
          <w:tcPr>
            <w:tcW w:w="120" w:type="dxa"/>
            <w:vAlign w:val="bottom"/>
          </w:tcPr>
          <w:p>
            <w:pPr>
              <w:spacing w:after="0" w:line="108"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9"/>
                <w:szCs w:val="9"/>
                <w:color w:val="auto"/>
              </w:rPr>
            </w:pPr>
          </w:p>
        </w:tc>
        <w:tc>
          <w:tcPr>
            <w:tcW w:w="3640" w:type="dxa"/>
            <w:vAlign w:val="bottom"/>
          </w:tcPr>
          <w:p>
            <w:pPr>
              <w:ind w:left="340"/>
              <w:spacing w:after="0" w:line="108" w:lineRule="exact"/>
              <w:rPr>
                <w:sz w:val="20"/>
                <w:szCs w:val="20"/>
                <w:color w:val="auto"/>
              </w:rPr>
            </w:pPr>
            <w:r>
              <w:rPr>
                <w:rFonts w:ascii="Arial" w:cs="Arial" w:eastAsia="Arial" w:hAnsi="Arial"/>
                <w:sz w:val="12"/>
                <w:szCs w:val="12"/>
                <w:color w:val="auto"/>
              </w:rPr>
              <w:t>​</w:t>
            </w:r>
          </w:p>
        </w:tc>
        <w:tc>
          <w:tcPr>
            <w:tcW w:w="140" w:type="dxa"/>
            <w:vAlign w:val="bottom"/>
          </w:tcPr>
          <w:p>
            <w:pPr>
              <w:spacing w:after="0" w:line="108" w:lineRule="exact"/>
              <w:rPr>
                <w:sz w:val="20"/>
                <w:szCs w:val="20"/>
                <w:color w:val="auto"/>
              </w:rPr>
            </w:pPr>
            <w:r>
              <w:rPr>
                <w:rFonts w:ascii="Arial" w:cs="Arial" w:eastAsia="Arial" w:hAnsi="Arial"/>
                <w:sz w:val="12"/>
                <w:szCs w:val="12"/>
                <w:color w:val="auto"/>
              </w:rPr>
              <w:t>​</w:t>
            </w:r>
          </w:p>
        </w:tc>
        <w:tc>
          <w:tcPr>
            <w:tcW w:w="300" w:type="dxa"/>
            <w:vAlign w:val="bottom"/>
          </w:tcPr>
          <w:p>
            <w:pPr>
              <w:ind w:left="80"/>
              <w:spacing w:after="0" w:line="108"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9"/>
                <w:szCs w:val="9"/>
                <w:color w:val="auto"/>
              </w:rPr>
            </w:pPr>
          </w:p>
        </w:tc>
        <w:tc>
          <w:tcPr>
            <w:tcW w:w="3640" w:type="dxa"/>
            <w:vAlign w:val="bottom"/>
          </w:tcPr>
          <w:p>
            <w:pPr>
              <w:ind w:left="360"/>
              <w:spacing w:after="0" w:line="108" w:lineRule="exact"/>
              <w:rPr>
                <w:sz w:val="20"/>
                <w:szCs w:val="20"/>
                <w:color w:val="auto"/>
              </w:rPr>
            </w:pPr>
            <w:r>
              <w:rPr>
                <w:rFonts w:ascii="Arial" w:cs="Arial" w:eastAsia="Arial" w:hAnsi="Arial"/>
                <w:sz w:val="12"/>
                <w:szCs w:val="12"/>
                <w:color w:val="auto"/>
              </w:rPr>
              <w:t>​</w:t>
            </w:r>
          </w:p>
        </w:tc>
      </w:tr>
      <w:tr>
        <w:trPr>
          <w:trHeight w:val="59"/>
        </w:trPr>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40" w:type="dxa"/>
            <w:vAlign w:val="bottom"/>
          </w:tcPr>
          <w:p>
            <w:pPr>
              <w:ind w:left="340"/>
              <w:spacing w:after="0" w:line="59" w:lineRule="exact"/>
              <w:rPr>
                <w:sz w:val="20"/>
                <w:szCs w:val="20"/>
                <w:color w:val="auto"/>
              </w:rPr>
            </w:pPr>
            <w:r>
              <w:rPr>
                <w:rFonts w:ascii="Arial" w:cs="Arial" w:eastAsia="Arial" w:hAnsi="Arial"/>
                <w:sz w:val="6"/>
                <w:szCs w:val="6"/>
                <w:color w:val="auto"/>
              </w:rPr>
              <w:t>Broadridge Financial Solutions by calling</w:t>
            </w: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40" w:type="dxa"/>
            <w:vAlign w:val="bottom"/>
          </w:tcPr>
          <w:p>
            <w:pPr>
              <w:ind w:left="360"/>
              <w:spacing w:after="0" w:line="59" w:lineRule="exact"/>
              <w:rPr>
                <w:sz w:val="20"/>
                <w:szCs w:val="20"/>
                <w:color w:val="auto"/>
              </w:rPr>
            </w:pPr>
            <w:r>
              <w:rPr>
                <w:rFonts w:ascii="Arial" w:cs="Arial" w:eastAsia="Arial" w:hAnsi="Arial"/>
                <w:sz w:val="6"/>
                <w:szCs w:val="6"/>
                <w:color w:val="auto"/>
              </w:rPr>
              <w:t>or in writing addressed to:</w:t>
            </w:r>
          </w:p>
        </w:tc>
      </w:tr>
      <w:tr>
        <w:trPr>
          <w:trHeight w:val="189"/>
        </w:trPr>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40" w:type="dxa"/>
            <w:vAlign w:val="bottom"/>
          </w:tcPr>
          <w:p>
            <w:pPr>
              <w:ind w:left="340"/>
              <w:spacing w:after="0" w:line="189" w:lineRule="exact"/>
              <w:rPr>
                <w:sz w:val="20"/>
                <w:szCs w:val="20"/>
                <w:color w:val="auto"/>
              </w:rPr>
            </w:pPr>
            <w:r>
              <w:rPr>
                <w:rFonts w:ascii="Arial" w:cs="Arial" w:eastAsia="Arial" w:hAnsi="Arial"/>
                <w:sz w:val="17"/>
                <w:szCs w:val="17"/>
                <w:color w:val="auto"/>
              </w:rPr>
              <w:t>1-800-579-1639</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40" w:type="dxa"/>
            <w:vAlign w:val="bottom"/>
          </w:tcPr>
          <w:p>
            <w:pPr>
              <w:ind w:left="360"/>
              <w:spacing w:after="0" w:line="189" w:lineRule="exact"/>
              <w:rPr>
                <w:sz w:val="20"/>
                <w:szCs w:val="20"/>
                <w:color w:val="auto"/>
              </w:rPr>
            </w:pPr>
            <w:r>
              <w:rPr>
                <w:rFonts w:ascii="Arial" w:cs="Arial" w:eastAsia="Arial" w:hAnsi="Arial"/>
                <w:sz w:val="17"/>
                <w:szCs w:val="17"/>
                <w:color w:val="auto"/>
              </w:rPr>
              <w:t>Ribbon Communications Inc.</w:t>
            </w:r>
          </w:p>
        </w:tc>
      </w:tr>
      <w:tr>
        <w:trPr>
          <w:trHeight w:val="189"/>
        </w:trPr>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40" w:type="dxa"/>
            <w:vAlign w:val="bottom"/>
          </w:tcPr>
          <w:p>
            <w:pPr>
              <w:ind w:left="360"/>
              <w:spacing w:after="0" w:line="189" w:lineRule="exact"/>
              <w:rPr>
                <w:sz w:val="20"/>
                <w:szCs w:val="20"/>
                <w:color w:val="auto"/>
              </w:rPr>
            </w:pPr>
            <w:r>
              <w:rPr>
                <w:rFonts w:ascii="Arial" w:cs="Arial" w:eastAsia="Arial" w:hAnsi="Arial"/>
                <w:sz w:val="17"/>
                <w:szCs w:val="17"/>
                <w:color w:val="auto"/>
              </w:rPr>
              <w:t>Attn: Investor Relations</w:t>
            </w:r>
          </w:p>
        </w:tc>
      </w:tr>
      <w:tr>
        <w:trPr>
          <w:trHeight w:val="189"/>
        </w:trPr>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40" w:type="dxa"/>
            <w:vAlign w:val="bottom"/>
          </w:tcPr>
          <w:p>
            <w:pPr>
              <w:ind w:left="360"/>
              <w:spacing w:after="0" w:line="189" w:lineRule="exact"/>
              <w:rPr>
                <w:sz w:val="20"/>
                <w:szCs w:val="20"/>
                <w:color w:val="auto"/>
              </w:rPr>
            </w:pPr>
            <w:r>
              <w:rPr>
                <w:rFonts w:ascii="Arial" w:cs="Arial" w:eastAsia="Arial" w:hAnsi="Arial"/>
                <w:sz w:val="17"/>
                <w:szCs w:val="17"/>
                <w:color w:val="auto"/>
              </w:rPr>
              <w:t>6500 Chase Oaks Blvd., Suite 100</w:t>
            </w:r>
          </w:p>
        </w:tc>
      </w:tr>
      <w:tr>
        <w:trPr>
          <w:trHeight w:val="225"/>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40" w:type="dxa"/>
            <w:vAlign w:val="bottom"/>
          </w:tcPr>
          <w:p>
            <w:pPr>
              <w:ind w:left="360"/>
              <w:spacing w:after="0"/>
              <w:rPr>
                <w:sz w:val="20"/>
                <w:szCs w:val="20"/>
                <w:color w:val="auto"/>
              </w:rPr>
            </w:pPr>
            <w:r>
              <w:rPr>
                <w:rFonts w:ascii="Arial" w:cs="Arial" w:eastAsia="Arial" w:hAnsi="Arial"/>
                <w:sz w:val="17"/>
                <w:szCs w:val="17"/>
                <w:color w:val="auto"/>
              </w:rPr>
              <w:t>Plano, Texas 75023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-642620</wp:posOffset>
            </wp:positionV>
            <wp:extent cx="541782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417820" cy="8255"/>
                    </a:xfrm>
                    <a:prstGeom prst="rect">
                      <a:avLst/>
                    </a:prstGeom>
                    <a:noFill/>
                  </pic:spPr>
                </pic:pic>
              </a:graphicData>
            </a:graphic>
          </wp:anchor>
        </w:drawing>
        <w:drawing>
          <wp:anchor simplePos="0" relativeHeight="251657728" behindDoc="1" locked="0" layoutInCell="0" allowOverlap="1">
            <wp:simplePos x="0" y="0"/>
            <wp:positionH relativeFrom="column">
              <wp:posOffset>722630</wp:posOffset>
            </wp:positionH>
            <wp:positionV relativeFrom="paragraph">
              <wp:posOffset>-591185</wp:posOffset>
            </wp:positionV>
            <wp:extent cx="171450" cy="2482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71450" cy="248285"/>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-591185</wp:posOffset>
            </wp:positionV>
            <wp:extent cx="240030" cy="24003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rPr>
          <w:sz w:val="20"/>
          <w:szCs w:val="20"/>
          <w:color w:val="auto"/>
        </w:rPr>
      </w:pPr>
      <w:r>
        <w:rPr>
          <w:rFonts w:ascii="Arial" w:cs="Arial" w:eastAsia="Arial" w:hAnsi="Arial"/>
          <w:sz w:val="17"/>
          <w:szCs w:val="17"/>
          <w:color w:val="auto"/>
        </w:rPr>
        <w:t>​</w:t>
      </w:r>
    </w:p>
    <w:p>
      <w:pPr>
        <w:spacing w:after="0" w:line="993" w:lineRule="exact"/>
        <w:rPr>
          <w:sz w:val="20"/>
          <w:szCs w:val="20"/>
          <w:color w:val="auto"/>
        </w:rPr>
      </w:pPr>
    </w:p>
    <w:p>
      <w:pPr>
        <w:sectPr>
          <w:pgSz w:w="11900" w:h="16838" w:orient="portrait"/>
          <w:cols w:equalWidth="0" w:num="2">
            <w:col w:w="9560" w:space="0"/>
            <w:col w:w="319"/>
          </w:cols>
          <w:pgMar w:left="580" w:top="97" w:right="1440" w:bottom="1440" w:gutter="0" w:footer="0" w:header="0"/>
          <w:type w:val="continuous"/>
        </w:sectPr>
      </w:pPr>
    </w:p>
    <w:p>
      <w:pPr>
        <w:jc w:val="both"/>
        <w:ind w:left="920" w:right="259"/>
        <w:spacing w:after="0" w:line="261" w:lineRule="auto"/>
        <w:rPr>
          <w:sz w:val="20"/>
          <w:szCs w:val="20"/>
          <w:color w:val="auto"/>
        </w:rPr>
      </w:pPr>
      <w:r>
        <w:rPr>
          <w:rFonts w:ascii="Arial" w:cs="Arial" w:eastAsia="Arial" w:hAnsi="Arial"/>
          <w:sz w:val="18"/>
          <w:szCs w:val="18"/>
          <w:color w:val="auto"/>
        </w:rPr>
        <w:t>If you are a holder of record and would like to revoke your householding consent and receive a separate copy of the Notice of Internet Availability of Proxy Materials or printed proxy materials in the future, or are currently receiving multiple copies and would like to receive only one copy, please contact:</w:t>
      </w:r>
    </w:p>
    <w:p>
      <w:pPr>
        <w:sectPr>
          <w:pgSz w:w="11900" w:h="16838" w:orient="portrait"/>
          <w:cols w:equalWidth="0" w:num="1">
            <w:col w:w="9879"/>
          </w:cols>
          <w:pgMar w:left="580" w:top="97" w:right="1440" w:bottom="1440" w:gutter="0" w:footer="0" w:header="0"/>
          <w:type w:val="continuous"/>
        </w:sectPr>
      </w:pPr>
    </w:p>
    <w:tbl>
      <w:tblPr>
        <w:tblLayout w:type="fixed"/>
        <w:tblInd w:w="920" w:type="dxa"/>
        <w:tblCellMar>
          <w:top w:w="0" w:type="dxa"/>
          <w:left w:w="0" w:type="dxa"/>
          <w:bottom w:w="0" w:type="dxa"/>
          <w:right w:w="0" w:type="dxa"/>
        </w:tblCellMar>
      </w:tblPr>
      <w:tr>
        <w:trPr>
          <w:trHeight w:val="194"/>
        </w:trPr>
        <w:tc>
          <w:tcPr>
            <w:tcW w:w="120" w:type="dxa"/>
            <w:vAlign w:val="bottom"/>
          </w:tcPr>
          <w:p>
            <w:pPr>
              <w:spacing w:after="0"/>
              <w:rPr>
                <w:sz w:val="16"/>
                <w:szCs w:val="16"/>
                <w:color w:val="auto"/>
              </w:rPr>
            </w:pPr>
          </w:p>
        </w:tc>
        <w:tc>
          <w:tcPr>
            <w:tcW w:w="400" w:type="dxa"/>
            <w:vAlign w:val="bottom"/>
          </w:tcPr>
          <w:p>
            <w:pPr>
              <w:spacing w:after="0" w:line="194" w:lineRule="exact"/>
              <w:rPr>
                <w:sz w:val="20"/>
                <w:szCs w:val="20"/>
                <w:color w:val="auto"/>
              </w:rPr>
            </w:pPr>
            <w:r>
              <w:rPr>
                <w:rFonts w:ascii="Arial" w:cs="Arial" w:eastAsia="Arial" w:hAnsi="Arial"/>
                <w:sz w:val="17"/>
                <w:szCs w:val="17"/>
                <w:color w:val="auto"/>
              </w:rPr>
              <w:t>​</w:t>
            </w:r>
          </w:p>
        </w:tc>
        <w:tc>
          <w:tcPr>
            <w:tcW w:w="3640" w:type="dxa"/>
            <w:vAlign w:val="bottom"/>
          </w:tcPr>
          <w:p>
            <w:pPr>
              <w:ind w:left="34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ind w:left="80"/>
              <w:spacing w:after="0" w:line="194" w:lineRule="exact"/>
              <w:rPr>
                <w:sz w:val="20"/>
                <w:szCs w:val="20"/>
                <w:color w:val="auto"/>
              </w:rPr>
            </w:pPr>
            <w:r>
              <w:rPr>
                <w:rFonts w:ascii="Arial" w:cs="Arial" w:eastAsia="Arial" w:hAnsi="Arial"/>
                <w:sz w:val="17"/>
                <w:szCs w:val="17"/>
                <w:color w:val="auto"/>
              </w:rPr>
              <w:t>​</w:t>
            </w: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400" w:type="dxa"/>
            <w:vAlign w:val="bottom"/>
          </w:tcPr>
          <w:p>
            <w:pPr>
              <w:spacing w:after="0"/>
              <w:rPr>
                <w:sz w:val="5"/>
                <w:szCs w:val="5"/>
                <w:color w:val="auto"/>
              </w:rPr>
            </w:pPr>
          </w:p>
        </w:tc>
        <w:tc>
          <w:tcPr>
            <w:tcW w:w="3640" w:type="dxa"/>
            <w:vAlign w:val="bottom"/>
          </w:tcPr>
          <w:p>
            <w:pPr>
              <w:ind w:left="340"/>
              <w:spacing w:after="0" w:line="68" w:lineRule="exact"/>
              <w:rPr>
                <w:sz w:val="20"/>
                <w:szCs w:val="20"/>
                <w:color w:val="auto"/>
              </w:rPr>
            </w:pPr>
            <w:r>
              <w:rPr>
                <w:rFonts w:ascii="Arial" w:cs="Arial" w:eastAsia="Arial" w:hAnsi="Arial"/>
                <w:sz w:val="7"/>
                <w:szCs w:val="7"/>
                <w:color w:val="auto"/>
              </w:rPr>
              <w:t>​</w:t>
            </w:r>
          </w:p>
        </w:tc>
        <w:tc>
          <w:tcPr>
            <w:tcW w:w="140" w:type="dxa"/>
            <w:vAlign w:val="bottom"/>
          </w:tcPr>
          <w:p>
            <w:pPr>
              <w:spacing w:after="0" w:line="68" w:lineRule="exact"/>
              <w:rPr>
                <w:sz w:val="20"/>
                <w:szCs w:val="20"/>
                <w:color w:val="auto"/>
              </w:rPr>
            </w:pPr>
            <w:r>
              <w:rPr>
                <w:rFonts w:ascii="Arial" w:cs="Arial" w:eastAsia="Arial" w:hAnsi="Arial"/>
                <w:sz w:val="7"/>
                <w:szCs w:val="7"/>
                <w:color w:val="auto"/>
              </w:rPr>
              <w:t>​</w:t>
            </w:r>
          </w:p>
        </w:tc>
        <w:tc>
          <w:tcPr>
            <w:tcW w:w="220" w:type="dxa"/>
            <w:vAlign w:val="bottom"/>
          </w:tcPr>
          <w:p>
            <w:pPr>
              <w:ind w:left="80"/>
              <w:spacing w:after="0" w:line="68"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r>
      <w:tr>
        <w:trPr>
          <w:trHeight w:val="108"/>
        </w:trPr>
        <w:tc>
          <w:tcPr>
            <w:tcW w:w="120" w:type="dxa"/>
            <w:vAlign w:val="bottom"/>
          </w:tcPr>
          <w:p>
            <w:pPr>
              <w:spacing w:after="0" w:line="108"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9"/>
                <w:szCs w:val="9"/>
                <w:color w:val="auto"/>
              </w:rPr>
            </w:pPr>
          </w:p>
        </w:tc>
        <w:tc>
          <w:tcPr>
            <w:tcW w:w="3640" w:type="dxa"/>
            <w:vAlign w:val="bottom"/>
          </w:tcPr>
          <w:p>
            <w:pPr>
              <w:ind w:left="340"/>
              <w:spacing w:after="0" w:line="108" w:lineRule="exact"/>
              <w:rPr>
                <w:sz w:val="20"/>
                <w:szCs w:val="20"/>
                <w:color w:val="auto"/>
              </w:rPr>
            </w:pPr>
            <w:r>
              <w:rPr>
                <w:rFonts w:ascii="Arial" w:cs="Arial" w:eastAsia="Arial" w:hAnsi="Arial"/>
                <w:sz w:val="12"/>
                <w:szCs w:val="12"/>
                <w:color w:val="auto"/>
              </w:rPr>
              <w:t>​</w:t>
            </w:r>
          </w:p>
        </w:tc>
        <w:tc>
          <w:tcPr>
            <w:tcW w:w="140" w:type="dxa"/>
            <w:vAlign w:val="bottom"/>
          </w:tcPr>
          <w:p>
            <w:pPr>
              <w:spacing w:after="0" w:line="108" w:lineRule="exact"/>
              <w:rPr>
                <w:sz w:val="20"/>
                <w:szCs w:val="20"/>
                <w:color w:val="auto"/>
              </w:rPr>
            </w:pPr>
            <w:r>
              <w:rPr>
                <w:rFonts w:ascii="Arial" w:cs="Arial" w:eastAsia="Arial" w:hAnsi="Arial"/>
                <w:sz w:val="12"/>
                <w:szCs w:val="12"/>
                <w:color w:val="auto"/>
              </w:rPr>
              <w:t>​</w:t>
            </w:r>
          </w:p>
        </w:tc>
        <w:tc>
          <w:tcPr>
            <w:tcW w:w="220" w:type="dxa"/>
            <w:vAlign w:val="bottom"/>
          </w:tcPr>
          <w:p>
            <w:pPr>
              <w:ind w:left="80"/>
              <w:spacing w:after="0" w:line="10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r>
      <w:tr>
        <w:trPr>
          <w:trHeight w:val="72"/>
        </w:trPr>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40" w:type="dxa"/>
            <w:vAlign w:val="bottom"/>
          </w:tcPr>
          <w:p>
            <w:pPr>
              <w:ind w:left="340"/>
              <w:spacing w:after="0" w:line="73" w:lineRule="exact"/>
              <w:rPr>
                <w:sz w:val="20"/>
                <w:szCs w:val="20"/>
                <w:color w:val="auto"/>
              </w:rPr>
            </w:pPr>
            <w:r>
              <w:rPr>
                <w:rFonts w:ascii="Arial" w:cs="Arial" w:eastAsia="Arial" w:hAnsi="Arial"/>
                <w:sz w:val="7"/>
                <w:szCs w:val="7"/>
                <w:color w:val="auto"/>
              </w:rPr>
              <w:t>Broadridge Householding Department</w:t>
            </w: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189"/>
        </w:trPr>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40" w:type="dxa"/>
            <w:vAlign w:val="bottom"/>
          </w:tcPr>
          <w:p>
            <w:pPr>
              <w:ind w:left="340"/>
              <w:spacing w:after="0" w:line="189" w:lineRule="exact"/>
              <w:rPr>
                <w:sz w:val="20"/>
                <w:szCs w:val="20"/>
                <w:color w:val="auto"/>
              </w:rPr>
            </w:pPr>
            <w:r>
              <w:rPr>
                <w:rFonts w:ascii="Arial" w:cs="Arial" w:eastAsia="Arial" w:hAnsi="Arial"/>
                <w:sz w:val="17"/>
                <w:szCs w:val="17"/>
                <w:color w:val="auto"/>
              </w:rPr>
              <w:t>51 Mercedes Way</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40" w:type="dxa"/>
            <w:vAlign w:val="bottom"/>
          </w:tcPr>
          <w:p>
            <w:pPr>
              <w:ind w:left="340"/>
              <w:spacing w:after="0"/>
              <w:rPr>
                <w:sz w:val="20"/>
                <w:szCs w:val="20"/>
                <w:color w:val="auto"/>
              </w:rPr>
            </w:pPr>
            <w:r>
              <w:rPr>
                <w:rFonts w:ascii="Arial" w:cs="Arial" w:eastAsia="Arial" w:hAnsi="Arial"/>
                <w:sz w:val="17"/>
                <w:szCs w:val="17"/>
                <w:color w:val="auto"/>
              </w:rPr>
              <w:t>Edgewood, New York 11717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-410845</wp:posOffset>
            </wp:positionV>
            <wp:extent cx="257175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571750" cy="8255"/>
                    </a:xfrm>
                    <a:prstGeom prst="rect">
                      <a:avLst/>
                    </a:prstGeom>
                    <a:noFill/>
                  </pic:spPr>
                </pic:pic>
              </a:graphicData>
            </a:graphic>
          </wp:anchor>
        </w:drawing>
        <w:drawing>
          <wp:anchor simplePos="0" relativeHeight="251657728" behindDoc="1" locked="0" layoutInCell="0" allowOverlap="1">
            <wp:simplePos x="0" y="0"/>
            <wp:positionH relativeFrom="column">
              <wp:posOffset>722630</wp:posOffset>
            </wp:positionH>
            <wp:positionV relativeFrom="paragraph">
              <wp:posOffset>-359410</wp:posOffset>
            </wp:positionV>
            <wp:extent cx="240030" cy="24003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-359410</wp:posOffset>
            </wp:positionV>
            <wp:extent cx="171450" cy="2482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71450" cy="248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auto"/>
        <w:rPr>
          <w:sz w:val="20"/>
          <w:szCs w:val="20"/>
          <w:color w:val="auto"/>
        </w:rPr>
      </w:pPr>
      <w:r>
        <w:rPr>
          <w:rFonts w:ascii="Arial" w:cs="Arial" w:eastAsia="Arial" w:hAnsi="Arial"/>
          <w:sz w:val="12"/>
          <w:szCs w:val="12"/>
          <w:color w:val="auto"/>
        </w:rPr>
        <w:t>​</w:t>
      </w:r>
    </w:p>
    <w:p>
      <w:pPr>
        <w:spacing w:after="0" w:line="188" w:lineRule="auto"/>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-3810</wp:posOffset>
            </wp:positionV>
            <wp:extent cx="257175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89" w:lineRule="auto"/>
        <w:rPr>
          <w:sz w:val="20"/>
          <w:szCs w:val="20"/>
          <w:color w:val="auto"/>
        </w:rPr>
      </w:pPr>
      <w:r>
        <w:rPr>
          <w:rFonts w:ascii="Arial" w:cs="Arial" w:eastAsia="Arial" w:hAnsi="Arial"/>
          <w:sz w:val="6"/>
          <w:szCs w:val="6"/>
          <w:color w:val="auto"/>
        </w:rPr>
        <w:t>​</w:t>
      </w:r>
    </w:p>
    <w:p>
      <w:pPr>
        <w:spacing w:after="0" w:line="232" w:lineRule="auto"/>
        <w:rPr>
          <w:sz w:val="20"/>
          <w:szCs w:val="20"/>
          <w:color w:val="auto"/>
        </w:rPr>
      </w:pPr>
      <w:r>
        <w:rPr>
          <w:rFonts w:ascii="Arial" w:cs="Arial" w:eastAsia="Arial" w:hAnsi="Arial"/>
          <w:sz w:val="17"/>
          <w:szCs w:val="17"/>
          <w:color w:val="auto"/>
        </w:rPr>
        <w:t>or by calling Broadridge Householding Department at:</w:t>
      </w:r>
    </w:p>
    <w:p>
      <w:pPr>
        <w:spacing w:after="0"/>
        <w:rPr>
          <w:sz w:val="20"/>
          <w:szCs w:val="20"/>
          <w:color w:val="auto"/>
        </w:rPr>
      </w:pPr>
      <w:r>
        <w:rPr>
          <w:rFonts w:ascii="Arial" w:cs="Arial" w:eastAsia="Arial" w:hAnsi="Arial"/>
          <w:sz w:val="17"/>
          <w:szCs w:val="17"/>
          <w:color w:val="auto"/>
        </w:rPr>
        <w:t>1-866-540-7095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rPr>
          <w:sz w:val="20"/>
          <w:szCs w:val="20"/>
          <w:color w:val="auto"/>
        </w:rPr>
      </w:pPr>
      <w:r>
        <w:rPr>
          <w:rFonts w:ascii="Arial" w:cs="Arial" w:eastAsia="Arial" w:hAnsi="Arial"/>
          <w:sz w:val="17"/>
          <w:szCs w:val="17"/>
          <w:color w:val="auto"/>
        </w:rPr>
        <w:t>​</w:t>
      </w:r>
    </w:p>
    <w:p>
      <w:pPr>
        <w:spacing w:after="0" w:line="629" w:lineRule="exact"/>
        <w:rPr>
          <w:sz w:val="20"/>
          <w:szCs w:val="20"/>
          <w:color w:val="auto"/>
        </w:rPr>
      </w:pPr>
    </w:p>
    <w:p>
      <w:pPr>
        <w:sectPr>
          <w:pgSz w:w="11900" w:h="16838" w:orient="portrait"/>
          <w:cols w:equalWidth="0" w:num="3">
            <w:col w:w="5560" w:space="720"/>
            <w:col w:w="2980" w:space="300"/>
            <w:col w:w="319"/>
          </w:cols>
          <w:pgMar w:left="580" w:top="97" w:right="1440" w:bottom="1440" w:gutter="0" w:footer="0" w:header="0"/>
          <w:type w:val="continuous"/>
        </w:sectPr>
      </w:pPr>
    </w:p>
    <w:p>
      <w:pPr>
        <w:ind w:left="920" w:right="139"/>
        <w:spacing w:after="0" w:line="271" w:lineRule="auto"/>
        <w:rPr>
          <w:sz w:val="20"/>
          <w:szCs w:val="20"/>
          <w:color w:val="auto"/>
        </w:rPr>
      </w:pPr>
      <w:r>
        <w:rPr>
          <w:rFonts w:ascii="Arial" w:cs="Arial" w:eastAsia="Arial" w:hAnsi="Arial"/>
          <w:sz w:val="18"/>
          <w:szCs w:val="18"/>
          <w:color w:val="auto"/>
        </w:rPr>
        <w:t>A number of brokerage firms have instituted householding. If you hold your shares in “street name,” please contact your bank, broker or other holder of record to request information about householding.</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92</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9166BA"/>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Form 10-K</w:t>
      </w:r>
    </w:p>
    <w:p>
      <w:pPr>
        <w:spacing w:after="0" w:line="158" w:lineRule="exact"/>
        <w:rPr>
          <w:sz w:val="20"/>
          <w:szCs w:val="20"/>
          <w:color w:val="auto"/>
        </w:rPr>
      </w:pPr>
    </w:p>
    <w:p>
      <w:pPr>
        <w:ind w:left="920" w:right="119"/>
        <w:spacing w:after="0" w:line="246" w:lineRule="auto"/>
        <w:rPr>
          <w:sz w:val="20"/>
          <w:szCs w:val="20"/>
          <w:color w:val="auto"/>
        </w:rPr>
      </w:pPr>
      <w:r>
        <w:rPr>
          <w:rFonts w:ascii="Arial" w:cs="Arial" w:eastAsia="Arial" w:hAnsi="Arial"/>
          <w:sz w:val="18"/>
          <w:szCs w:val="18"/>
          <w:color w:val="auto"/>
        </w:rPr>
        <w:t>Our 2024 Annual Report on Form 10-K for the year ended December 31, 2024, which was filed with the SEC on February 27, 2025, is being delivered without charge to stockholders in connection with this proxy solicitation. With the payment of an appropriate processing fee, we will provide copies of the exhibits to our</w:t>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2024 Annual Report on Form 10-K. Please address all such requests to our principal executive offices:</w:t>
      </w:r>
    </w:p>
    <w:p>
      <w:pPr>
        <w:spacing w:after="0" w:line="30" w:lineRule="exact"/>
        <w:rPr>
          <w:sz w:val="20"/>
          <w:szCs w:val="20"/>
          <w:color w:val="auto"/>
        </w:rPr>
      </w:pPr>
    </w:p>
    <w:tbl>
      <w:tblPr>
        <w:tblLayout w:type="fixed"/>
        <w:tblInd w:w="3400" w:type="dxa"/>
        <w:tblCellMar>
          <w:top w:w="0" w:type="dxa"/>
          <w:left w:w="0" w:type="dxa"/>
          <w:bottom w:w="0" w:type="dxa"/>
          <w:right w:w="0" w:type="dxa"/>
        </w:tblCellMar>
      </w:tblPr>
      <w:tr>
        <w:trPr>
          <w:trHeight w:val="195"/>
        </w:trPr>
        <w:tc>
          <w:tcPr>
            <w:tcW w:w="12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3140" w:type="dxa"/>
            <w:vAlign w:val="bottom"/>
          </w:tcPr>
          <w:p>
            <w:pPr>
              <w:ind w:left="3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400" w:type="dxa"/>
            <w:vAlign w:val="bottom"/>
          </w:tcPr>
          <w:p>
            <w:pPr>
              <w:spacing w:after="0"/>
              <w:rPr>
                <w:sz w:val="5"/>
                <w:szCs w:val="5"/>
                <w:color w:val="auto"/>
              </w:rPr>
            </w:pPr>
          </w:p>
        </w:tc>
        <w:tc>
          <w:tcPr>
            <w:tcW w:w="3140" w:type="dxa"/>
            <w:vAlign w:val="bottom"/>
          </w:tcPr>
          <w:p>
            <w:pPr>
              <w:ind w:left="360"/>
              <w:spacing w:after="0" w:line="68" w:lineRule="exact"/>
              <w:rPr>
                <w:sz w:val="20"/>
                <w:szCs w:val="20"/>
                <w:color w:val="auto"/>
              </w:rPr>
            </w:pPr>
            <w:r>
              <w:rPr>
                <w:rFonts w:ascii="Arial" w:cs="Arial" w:eastAsia="Arial" w:hAnsi="Arial"/>
                <w:sz w:val="7"/>
                <w:szCs w:val="7"/>
                <w:color w:val="auto"/>
              </w:rPr>
              <w:t>​</w:t>
            </w:r>
          </w:p>
        </w:tc>
        <w:tc>
          <w:tcPr>
            <w:tcW w:w="60" w:type="dxa"/>
            <w:vAlign w:val="bottom"/>
          </w:tcPr>
          <w:p>
            <w:pPr>
              <w:spacing w:after="0" w:line="68" w:lineRule="exact"/>
              <w:rPr>
                <w:sz w:val="20"/>
                <w:szCs w:val="20"/>
                <w:color w:val="auto"/>
              </w:rPr>
            </w:pPr>
            <w:r>
              <w:rPr>
                <w:rFonts w:ascii="Arial" w:cs="Arial" w:eastAsia="Arial" w:hAnsi="Arial"/>
                <w:sz w:val="7"/>
                <w:szCs w:val="7"/>
                <w:color w:val="auto"/>
              </w:rPr>
              <w:t>​</w:t>
            </w:r>
          </w:p>
        </w:tc>
      </w:tr>
      <w:tr>
        <w:trPr>
          <w:trHeight w:val="108"/>
        </w:trPr>
        <w:tc>
          <w:tcPr>
            <w:tcW w:w="120" w:type="dxa"/>
            <w:vAlign w:val="bottom"/>
          </w:tcPr>
          <w:p>
            <w:pPr>
              <w:spacing w:after="0" w:line="108"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9"/>
                <w:szCs w:val="9"/>
                <w:color w:val="auto"/>
              </w:rPr>
            </w:pPr>
          </w:p>
        </w:tc>
        <w:tc>
          <w:tcPr>
            <w:tcW w:w="3140" w:type="dxa"/>
            <w:vAlign w:val="bottom"/>
          </w:tcPr>
          <w:p>
            <w:pPr>
              <w:ind w:left="360"/>
              <w:spacing w:after="0" w:line="108" w:lineRule="exact"/>
              <w:rPr>
                <w:sz w:val="20"/>
                <w:szCs w:val="20"/>
                <w:color w:val="auto"/>
              </w:rPr>
            </w:pPr>
            <w:r>
              <w:rPr>
                <w:rFonts w:ascii="Arial" w:cs="Arial" w:eastAsia="Arial" w:hAnsi="Arial"/>
                <w:sz w:val="12"/>
                <w:szCs w:val="12"/>
                <w:color w:val="auto"/>
              </w:rPr>
              <w:t>​</w:t>
            </w:r>
          </w:p>
        </w:tc>
        <w:tc>
          <w:tcPr>
            <w:tcW w:w="60" w:type="dxa"/>
            <w:vAlign w:val="bottom"/>
          </w:tcPr>
          <w:p>
            <w:pPr>
              <w:spacing w:after="0" w:line="108" w:lineRule="exact"/>
              <w:rPr>
                <w:sz w:val="20"/>
                <w:szCs w:val="20"/>
                <w:color w:val="auto"/>
              </w:rPr>
            </w:pPr>
            <w:r>
              <w:rPr>
                <w:rFonts w:ascii="Arial" w:cs="Arial" w:eastAsia="Arial" w:hAnsi="Arial"/>
                <w:sz w:val="12"/>
                <w:szCs w:val="12"/>
                <w:color w:val="auto"/>
              </w:rPr>
              <w:t>​</w:t>
            </w:r>
          </w:p>
        </w:tc>
      </w:tr>
      <w:tr>
        <w:trPr>
          <w:trHeight w:val="59"/>
        </w:trPr>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140" w:type="dxa"/>
            <w:vAlign w:val="bottom"/>
          </w:tcPr>
          <w:p>
            <w:pPr>
              <w:ind w:left="360"/>
              <w:spacing w:after="0" w:line="59" w:lineRule="exact"/>
              <w:rPr>
                <w:sz w:val="20"/>
                <w:szCs w:val="20"/>
                <w:color w:val="auto"/>
              </w:rPr>
            </w:pPr>
            <w:r>
              <w:rPr>
                <w:rFonts w:ascii="Arial" w:cs="Arial" w:eastAsia="Arial" w:hAnsi="Arial"/>
                <w:sz w:val="6"/>
                <w:szCs w:val="6"/>
                <w:color w:val="auto"/>
              </w:rPr>
              <w:t>Investor Relations Department</w:t>
            </w:r>
          </w:p>
        </w:tc>
        <w:tc>
          <w:tcPr>
            <w:tcW w:w="60" w:type="dxa"/>
            <w:vAlign w:val="bottom"/>
          </w:tcPr>
          <w:p>
            <w:pPr>
              <w:spacing w:after="0"/>
              <w:rPr>
                <w:sz w:val="5"/>
                <w:szCs w:val="5"/>
                <w:color w:val="auto"/>
              </w:rPr>
            </w:pPr>
          </w:p>
        </w:tc>
      </w:tr>
      <w:tr>
        <w:trPr>
          <w:trHeight w:val="189"/>
        </w:trPr>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tcPr>
          <w:p>
            <w:pPr>
              <w:ind w:left="360"/>
              <w:spacing w:after="0" w:line="189" w:lineRule="exact"/>
              <w:rPr>
                <w:sz w:val="20"/>
                <w:szCs w:val="20"/>
                <w:color w:val="auto"/>
              </w:rPr>
            </w:pPr>
            <w:r>
              <w:rPr>
                <w:rFonts w:ascii="Arial" w:cs="Arial" w:eastAsia="Arial" w:hAnsi="Arial"/>
                <w:sz w:val="17"/>
                <w:szCs w:val="17"/>
                <w:color w:val="auto"/>
              </w:rPr>
              <w:t>Ribbon Communications Inc.</w:t>
            </w:r>
          </w:p>
        </w:tc>
        <w:tc>
          <w:tcPr>
            <w:tcW w:w="60" w:type="dxa"/>
            <w:vAlign w:val="bottom"/>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tcPr>
          <w:p>
            <w:pPr>
              <w:ind w:left="360"/>
              <w:spacing w:after="0" w:line="189" w:lineRule="exact"/>
              <w:rPr>
                <w:sz w:val="20"/>
                <w:szCs w:val="20"/>
                <w:color w:val="auto"/>
              </w:rPr>
            </w:pPr>
            <w:r>
              <w:rPr>
                <w:rFonts w:ascii="Arial" w:cs="Arial" w:eastAsia="Arial" w:hAnsi="Arial"/>
                <w:sz w:val="17"/>
                <w:szCs w:val="17"/>
                <w:color w:val="auto"/>
              </w:rPr>
              <w:t>Attn: Investor Relations</w:t>
            </w:r>
          </w:p>
        </w:tc>
        <w:tc>
          <w:tcPr>
            <w:tcW w:w="60" w:type="dxa"/>
            <w:vAlign w:val="bottom"/>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tcPr>
          <w:p>
            <w:pPr>
              <w:ind w:left="360"/>
              <w:spacing w:after="0" w:line="189" w:lineRule="exact"/>
              <w:rPr>
                <w:sz w:val="20"/>
                <w:szCs w:val="20"/>
                <w:color w:val="auto"/>
              </w:rPr>
            </w:pPr>
            <w:r>
              <w:rPr>
                <w:rFonts w:ascii="Arial" w:cs="Arial" w:eastAsia="Arial" w:hAnsi="Arial"/>
                <w:sz w:val="17"/>
                <w:szCs w:val="17"/>
                <w:color w:val="auto"/>
              </w:rPr>
              <w:t>6500 Chase Oaks Blvd., Suite 100</w:t>
            </w:r>
          </w:p>
        </w:tc>
        <w:tc>
          <w:tcPr>
            <w:tcW w:w="60" w:type="dxa"/>
            <w:vAlign w:val="bottom"/>
          </w:tcPr>
          <w:p>
            <w:pPr>
              <w:spacing w:after="0"/>
              <w:rPr>
                <w:sz w:val="16"/>
                <w:szCs w:val="16"/>
                <w:color w:val="auto"/>
              </w:rPr>
            </w:pPr>
          </w:p>
        </w:tc>
      </w:tr>
      <w:tr>
        <w:trPr>
          <w:trHeight w:val="225"/>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40" w:type="dxa"/>
            <w:vAlign w:val="bottom"/>
          </w:tcPr>
          <w:p>
            <w:pPr>
              <w:ind w:left="360"/>
              <w:spacing w:after="0"/>
              <w:rPr>
                <w:sz w:val="20"/>
                <w:szCs w:val="20"/>
                <w:color w:val="auto"/>
              </w:rPr>
            </w:pPr>
            <w:r>
              <w:rPr>
                <w:rFonts w:ascii="Arial" w:cs="Arial" w:eastAsia="Arial" w:hAnsi="Arial"/>
                <w:sz w:val="17"/>
                <w:szCs w:val="17"/>
                <w:color w:val="auto"/>
              </w:rPr>
              <w:t>Plano, Texas 75023</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-642620</wp:posOffset>
            </wp:positionV>
            <wp:extent cx="225425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254250" cy="8255"/>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-591185</wp:posOffset>
            </wp:positionV>
            <wp:extent cx="240030" cy="24003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Other Matters</w:t>
      </w:r>
    </w:p>
    <w:p>
      <w:pPr>
        <w:spacing w:after="0" w:line="158" w:lineRule="exact"/>
        <w:rPr>
          <w:sz w:val="20"/>
          <w:szCs w:val="20"/>
          <w:color w:val="auto"/>
        </w:rPr>
      </w:pPr>
    </w:p>
    <w:p>
      <w:pPr>
        <w:ind w:left="920" w:right="359"/>
        <w:spacing w:after="0" w:line="252" w:lineRule="auto"/>
        <w:rPr>
          <w:sz w:val="20"/>
          <w:szCs w:val="20"/>
          <w:color w:val="auto"/>
        </w:rPr>
      </w:pPr>
      <w:r>
        <w:rPr>
          <w:rFonts w:ascii="Arial" w:cs="Arial" w:eastAsia="Arial" w:hAnsi="Arial"/>
          <w:sz w:val="18"/>
          <w:szCs w:val="18"/>
          <w:color w:val="auto"/>
        </w:rPr>
        <w:t>Our Board knows of no other matters to be submitted at the meeting and the deadline under our by-laws for submission of matters by stockholders has passed. If any other matters properly come before the meeting, it is the intention of the persons named in the enclosed form of proxy to vote the shares they represent in their discretion.</w:t>
      </w:r>
    </w:p>
    <w:p>
      <w:pPr>
        <w:spacing w:after="0" w:line="103" w:lineRule="exact"/>
        <w:rPr>
          <w:sz w:val="20"/>
          <w:szCs w:val="20"/>
          <w:color w:val="auto"/>
        </w:rPr>
      </w:pPr>
    </w:p>
    <w:p>
      <w:pPr>
        <w:ind w:left="920" w:right="179"/>
        <w:spacing w:after="0" w:line="246" w:lineRule="auto"/>
        <w:rPr>
          <w:sz w:val="20"/>
          <w:szCs w:val="20"/>
          <w:color w:val="auto"/>
        </w:rPr>
      </w:pPr>
      <w:r>
        <w:rPr>
          <w:rFonts w:ascii="Arial" w:cs="Arial" w:eastAsia="Arial" w:hAnsi="Arial"/>
          <w:sz w:val="18"/>
          <w:szCs w:val="18"/>
          <w:color w:val="auto"/>
        </w:rPr>
        <w:t>The accompanying proxy is solicited by and on behalf of our Board. We will pay the costs of soliciting proxies from stockholders. In addition to soliciting proxies by mail, by telephone and via the Internet, our directors, executive officers and other employees may solicit proxies, either personally or by other electronic means, on our behalf, without special compensation. We will also request brokerage houses, custodians, nominees and fiduciaries to forward copies of the proxy materials to those persons for whom they hold shares and request instructions for voting the proxies. We will reimburse such brokerage houses and other persons for their reasonable expenses in connection with this distribution.</w:t>
      </w:r>
    </w:p>
    <w:p>
      <w:pPr>
        <w:spacing w:after="0" w:line="132" w:lineRule="exact"/>
        <w:rPr>
          <w:sz w:val="20"/>
          <w:szCs w:val="20"/>
          <w:color w:val="auto"/>
        </w:rPr>
      </w:pPr>
    </w:p>
    <w:p>
      <w:pPr>
        <w:ind w:left="920"/>
        <w:spacing w:after="0"/>
        <w:tabs>
          <w:tab w:leader="none" w:pos="3520" w:val="left"/>
          <w:tab w:leader="none" w:pos="5160" w:val="left"/>
          <w:tab w:leader="none" w:pos="97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 ​ By Order of the Board of Directors,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-109220</wp:posOffset>
            </wp:positionV>
            <wp:extent cx="2588895" cy="90043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588895" cy="90043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920" w:type="dxa"/>
        <w:tblCellMar>
          <w:top w:w="0" w:type="dxa"/>
          <w:left w:w="0" w:type="dxa"/>
          <w:bottom w:w="0" w:type="dxa"/>
          <w:right w:w="0" w:type="dxa"/>
        </w:tblCellMar>
      </w:tblPr>
      <w:tr>
        <w:trPr>
          <w:trHeight w:val="195"/>
        </w:trPr>
        <w:tc>
          <w:tcPr>
            <w:tcW w:w="18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880" w:type="dxa"/>
            <w:vAlign w:val="bottom"/>
          </w:tcPr>
          <w:p>
            <w:pPr>
              <w:ind w:left="940"/>
              <w:spacing w:after="0"/>
              <w:rPr>
                <w:sz w:val="20"/>
                <w:szCs w:val="20"/>
                <w:color w:val="auto"/>
              </w:rPr>
            </w:pPr>
            <w:r>
              <w:rPr>
                <w:rFonts w:ascii="Arial" w:cs="Arial" w:eastAsia="Arial" w:hAnsi="Arial"/>
                <w:sz w:val="17"/>
                <w:szCs w:val="17"/>
                <w:b w:val="1"/>
                <w:bCs w:val="1"/>
                <w:color w:val="62259D"/>
              </w:rPr>
              <w:t>Patrick W. Macken</w:t>
            </w:r>
          </w:p>
        </w:tc>
        <w:tc>
          <w:tcPr>
            <w:tcW w:w="440" w:type="dxa"/>
            <w:vAlign w:val="bottom"/>
          </w:tcPr>
          <w:p>
            <w:pPr>
              <w:spacing w:after="0"/>
              <w:rPr>
                <w:sz w:val="16"/>
                <w:szCs w:val="16"/>
                <w:color w:val="auto"/>
              </w:rPr>
            </w:pPr>
          </w:p>
        </w:tc>
      </w:tr>
      <w:tr>
        <w:trPr>
          <w:trHeight w:val="203"/>
        </w:trPr>
        <w:tc>
          <w:tcPr>
            <w:tcW w:w="1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880" w:type="dxa"/>
            <w:vAlign w:val="bottom"/>
          </w:tcPr>
          <w:p>
            <w:pPr>
              <w:ind w:left="940"/>
              <w:spacing w:after="0"/>
              <w:rPr>
                <w:sz w:val="20"/>
                <w:szCs w:val="20"/>
                <w:color w:val="auto"/>
              </w:rPr>
            </w:pPr>
            <w:r>
              <w:rPr>
                <w:rFonts w:ascii="Arial" w:cs="Arial" w:eastAsia="Arial" w:hAnsi="Arial"/>
                <w:sz w:val="17"/>
                <w:szCs w:val="17"/>
                <w:color w:val="auto"/>
              </w:rPr>
              <w:t>Executive Vice President, Chief Legal Officer</w:t>
            </w:r>
          </w:p>
        </w:tc>
        <w:tc>
          <w:tcPr>
            <w:tcW w:w="440" w:type="dxa"/>
            <w:vAlign w:val="bottom"/>
          </w:tcPr>
          <w:p>
            <w:pPr>
              <w:spacing w:after="0"/>
              <w:rPr>
                <w:sz w:val="17"/>
                <w:szCs w:val="17"/>
                <w:color w:val="auto"/>
              </w:rPr>
            </w:pPr>
          </w:p>
        </w:tc>
      </w:tr>
      <w:tr>
        <w:trPr>
          <w:trHeight w:val="225"/>
        </w:trPr>
        <w:tc>
          <w:tcPr>
            <w:tcW w:w="18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880" w:type="dxa"/>
            <w:vAlign w:val="bottom"/>
          </w:tcPr>
          <w:p>
            <w:pPr>
              <w:ind w:left="940"/>
              <w:spacing w:after="0"/>
              <w:rPr>
                <w:sz w:val="20"/>
                <w:szCs w:val="20"/>
                <w:color w:val="auto"/>
              </w:rPr>
            </w:pPr>
            <w:r>
              <w:rPr>
                <w:rFonts w:ascii="Arial" w:cs="Arial" w:eastAsia="Arial" w:hAnsi="Arial"/>
                <w:sz w:val="17"/>
                <w:szCs w:val="17"/>
                <w:color w:val="auto"/>
              </w:rPr>
              <w:t>and Corporate Secretary</w:t>
            </w:r>
          </w:p>
        </w:tc>
        <w:tc>
          <w:tcPr>
            <w:tcW w:w="440" w:type="dxa"/>
            <w:vAlign w:val="bottom"/>
          </w:tcPr>
          <w:p>
            <w:pPr>
              <w:spacing w:after="0"/>
              <w:rPr>
                <w:sz w:val="19"/>
                <w:szCs w:val="19"/>
                <w:color w:val="auto"/>
              </w:rPr>
            </w:pPr>
          </w:p>
        </w:tc>
      </w:tr>
      <w:tr>
        <w:trPr>
          <w:trHeight w:val="437"/>
        </w:trPr>
        <w:tc>
          <w:tcPr>
            <w:tcW w:w="1860" w:type="dxa"/>
            <w:vAlign w:val="bottom"/>
          </w:tcPr>
          <w:p>
            <w:pPr>
              <w:spacing w:after="0"/>
              <w:rPr>
                <w:sz w:val="20"/>
                <w:szCs w:val="20"/>
                <w:color w:val="auto"/>
              </w:rPr>
            </w:pPr>
            <w:r>
              <w:rPr>
                <w:rFonts w:ascii="Arial" w:cs="Arial" w:eastAsia="Arial" w:hAnsi="Arial"/>
                <w:sz w:val="34"/>
                <w:szCs w:val="34"/>
                <w:color w:val="auto"/>
                <w:vertAlign w:val="superscript"/>
              </w:rPr>
              <w:t>​</w:t>
            </w:r>
            <w:r>
              <w:rPr>
                <w:rFonts w:ascii="Arial" w:cs="Arial" w:eastAsia="Arial" w:hAnsi="Arial"/>
                <w:sz w:val="17"/>
                <w:szCs w:val="17"/>
                <w:color w:val="auto"/>
              </w:rPr>
              <w:t>Plano, Texas</w:t>
            </w:r>
          </w:p>
        </w:tc>
        <w:tc>
          <w:tcPr>
            <w:tcW w:w="1720" w:type="dxa"/>
            <w:vAlign w:val="bottom"/>
          </w:tcPr>
          <w:p>
            <w:pPr>
              <w:ind w:left="760"/>
              <w:spacing w:after="0"/>
              <w:rPr>
                <w:sz w:val="20"/>
                <w:szCs w:val="20"/>
                <w:color w:val="auto"/>
              </w:rPr>
            </w:pPr>
            <w:r>
              <w:rPr>
                <w:rFonts w:ascii="Arial" w:cs="Arial" w:eastAsia="Arial" w:hAnsi="Arial"/>
                <w:sz w:val="17"/>
                <w:szCs w:val="17"/>
                <w:color w:val="auto"/>
              </w:rPr>
              <w:t>​ ​ ​</w:t>
            </w:r>
          </w:p>
        </w:tc>
        <w:tc>
          <w:tcPr>
            <w:tcW w:w="4880" w:type="dxa"/>
            <w:vAlign w:val="bottom"/>
          </w:tcPr>
          <w:p>
            <w:pPr>
              <w:ind w:left="680"/>
              <w:spacing w:after="0"/>
              <w:rPr>
                <w:sz w:val="20"/>
                <w:szCs w:val="20"/>
                <w:color w:val="auto"/>
              </w:rPr>
            </w:pPr>
            <w:r>
              <w:rPr>
                <w:rFonts w:ascii="Arial" w:cs="Arial" w:eastAsia="Arial" w:hAnsi="Arial"/>
                <w:sz w:val="17"/>
                <w:szCs w:val="17"/>
                <w:color w:val="auto"/>
              </w:rPr>
              <w:t>​ ​ ​</w:t>
            </w:r>
          </w:p>
        </w:tc>
        <w:tc>
          <w:tcPr>
            <w:tcW w:w="440" w:type="dxa"/>
            <w:vAlign w:val="bottom"/>
          </w:tcPr>
          <w:p>
            <w:pPr>
              <w:ind w:left="380"/>
              <w:spacing w:after="0"/>
              <w:rPr>
                <w:sz w:val="20"/>
                <w:szCs w:val="20"/>
                <w:color w:val="auto"/>
              </w:rPr>
            </w:pPr>
            <w:r>
              <w:rPr>
                <w:rFonts w:ascii="Arial" w:cs="Arial" w:eastAsia="Arial" w:hAnsi="Arial"/>
                <w:sz w:val="17"/>
                <w:szCs w:val="17"/>
                <w:color w:val="auto"/>
              </w:rPr>
              <w:t>​</w:t>
            </w:r>
          </w:p>
        </w:tc>
      </w:tr>
      <w:tr>
        <w:trPr>
          <w:trHeight w:val="225"/>
        </w:trPr>
        <w:tc>
          <w:tcPr>
            <w:tcW w:w="1860" w:type="dxa"/>
            <w:vAlign w:val="bottom"/>
          </w:tcPr>
          <w:p>
            <w:pPr>
              <w:ind w:left="20"/>
              <w:spacing w:after="0"/>
              <w:rPr>
                <w:sz w:val="20"/>
                <w:szCs w:val="20"/>
                <w:color w:val="auto"/>
              </w:rPr>
            </w:pPr>
            <w:r>
              <w:rPr>
                <w:rFonts w:ascii="Arial" w:cs="Arial" w:eastAsia="Arial" w:hAnsi="Arial"/>
                <w:sz w:val="17"/>
                <w:szCs w:val="17"/>
                <w:color w:val="auto"/>
              </w:rPr>
              <w:t>April 14, 2025</w:t>
            </w:r>
          </w:p>
        </w:tc>
        <w:tc>
          <w:tcPr>
            <w:tcW w:w="17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4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16"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62259D"/>
        </w:rPr>
        <w:t>APPENDIX A</w:t>
      </w:r>
    </w:p>
    <w:p>
      <w:pPr>
        <w:spacing w:after="0" w:line="146"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E7417A"/>
        </w:rPr>
        <w:t>RECONCILIATION OF NON-GAAP FINANCIAL MEASURES</w:t>
      </w:r>
    </w:p>
    <w:p>
      <w:pPr>
        <w:spacing w:after="0" w:line="139" w:lineRule="exact"/>
        <w:rPr>
          <w:sz w:val="20"/>
          <w:szCs w:val="20"/>
          <w:color w:val="auto"/>
        </w:rPr>
      </w:pPr>
    </w:p>
    <w:p>
      <w:pPr>
        <w:ind w:left="920" w:right="279"/>
        <w:spacing w:after="0" w:line="245" w:lineRule="auto"/>
        <w:rPr>
          <w:sz w:val="20"/>
          <w:szCs w:val="20"/>
          <w:color w:val="auto"/>
        </w:rPr>
      </w:pPr>
      <w:r>
        <w:rPr>
          <w:rFonts w:ascii="Arial" w:cs="Arial" w:eastAsia="Arial" w:hAnsi="Arial"/>
          <w:sz w:val="18"/>
          <w:szCs w:val="18"/>
          <w:color w:val="auto"/>
        </w:rPr>
        <w:t>Our management uses several different financial measures, both GAAP and non-GAAP, in analyzing and assessing the overall performance of our business, making operating decisions, planning and forecasting</w:t>
      </w:r>
    </w:p>
    <w:p>
      <w:pPr>
        <w:ind w:left="920" w:right="479"/>
        <w:spacing w:after="0" w:line="226" w:lineRule="auto"/>
        <w:rPr>
          <w:sz w:val="20"/>
          <w:szCs w:val="20"/>
          <w:color w:val="auto"/>
        </w:rPr>
      </w:pPr>
      <w:r>
        <w:rPr>
          <w:rFonts w:ascii="Arial" w:cs="Arial" w:eastAsia="Arial" w:hAnsi="Arial"/>
          <w:sz w:val="18"/>
          <w:szCs w:val="18"/>
          <w:color w:val="auto"/>
        </w:rPr>
        <w:t>future periods, and determining payments under compensation programs. We consider the use of non-GAAP financial measures helpful in assessing the core performance of our continuing operations and</w:t>
      </w:r>
    </w:p>
    <w:p>
      <w:pPr>
        <w:ind w:left="920"/>
        <w:spacing w:after="0" w:line="236" w:lineRule="auto"/>
        <w:rPr>
          <w:sz w:val="20"/>
          <w:szCs w:val="20"/>
          <w:color w:val="auto"/>
        </w:rPr>
      </w:pPr>
      <w:r>
        <w:rPr>
          <w:rFonts w:ascii="Arial" w:cs="Arial" w:eastAsia="Arial" w:hAnsi="Arial"/>
          <w:sz w:val="18"/>
          <w:szCs w:val="18"/>
          <w:color w:val="auto"/>
        </w:rPr>
        <w:t>when planning and forecasting future periods. Our annual financial plan is prepared on a non-GAAP basis</w:t>
      </w:r>
    </w:p>
    <w:p>
      <w:pPr>
        <w:spacing w:after="0" w:line="1" w:lineRule="exact"/>
        <w:rPr>
          <w:sz w:val="20"/>
          <w:szCs w:val="20"/>
          <w:color w:val="auto"/>
        </w:rPr>
      </w:pPr>
    </w:p>
    <w:p>
      <w:pPr>
        <w:ind w:left="920" w:right="699"/>
        <w:spacing w:after="0" w:line="226" w:lineRule="auto"/>
        <w:rPr>
          <w:sz w:val="20"/>
          <w:szCs w:val="20"/>
          <w:color w:val="auto"/>
        </w:rPr>
      </w:pPr>
      <w:r>
        <w:rPr>
          <w:rFonts w:ascii="Arial" w:cs="Arial" w:eastAsia="Arial" w:hAnsi="Arial"/>
          <w:sz w:val="18"/>
          <w:szCs w:val="18"/>
          <w:color w:val="auto"/>
        </w:rPr>
        <w:t>and is approved by our Board. In addition, budgeting and forecasting for revenue and expenses are conducted on a non-GAAP basis, and actual results on a non-GAAP basis are assessed against the</w:t>
      </w:r>
    </w:p>
    <w:p>
      <w:pPr>
        <w:ind w:left="920"/>
        <w:spacing w:after="0" w:line="236" w:lineRule="auto"/>
        <w:rPr>
          <w:sz w:val="20"/>
          <w:szCs w:val="20"/>
          <w:color w:val="auto"/>
        </w:rPr>
      </w:pPr>
      <w:r>
        <w:rPr>
          <w:rFonts w:ascii="Arial" w:cs="Arial" w:eastAsia="Arial" w:hAnsi="Arial"/>
          <w:sz w:val="18"/>
          <w:szCs w:val="18"/>
          <w:color w:val="auto"/>
        </w:rPr>
        <w:t>annual financial plan. We define continuing operations as the ongoing results of our business adjusted for</w:t>
      </w:r>
    </w:p>
    <w:p>
      <w:pPr>
        <w:spacing w:after="0" w:line="1" w:lineRule="exact"/>
        <w:rPr>
          <w:sz w:val="20"/>
          <w:szCs w:val="20"/>
          <w:color w:val="auto"/>
        </w:rPr>
      </w:pPr>
    </w:p>
    <w:p>
      <w:pPr>
        <w:ind w:left="920" w:right="119"/>
        <w:spacing w:after="0" w:line="226" w:lineRule="auto"/>
        <w:rPr>
          <w:sz w:val="20"/>
          <w:szCs w:val="20"/>
          <w:color w:val="auto"/>
        </w:rPr>
      </w:pPr>
      <w:r>
        <w:rPr>
          <w:rFonts w:ascii="Arial" w:cs="Arial" w:eastAsia="Arial" w:hAnsi="Arial"/>
          <w:sz w:val="18"/>
          <w:szCs w:val="18"/>
          <w:color w:val="auto"/>
        </w:rPr>
        <w:t>certain expenses and credits, as described below. We believe that providing non-GAAP information to investors will allow investors to view the financial results in the way our management views them and helps</w:t>
      </w:r>
    </w:p>
    <w:p>
      <w:pPr>
        <w:spacing w:after="0" w:line="2" w:lineRule="exact"/>
        <w:rPr>
          <w:sz w:val="20"/>
          <w:szCs w:val="20"/>
          <w:color w:val="auto"/>
        </w:rPr>
      </w:pPr>
    </w:p>
    <w:p>
      <w:pPr>
        <w:jc w:val="both"/>
        <w:ind w:left="920" w:right="359"/>
        <w:spacing w:after="0" w:line="250" w:lineRule="auto"/>
        <w:rPr>
          <w:sz w:val="20"/>
          <w:szCs w:val="20"/>
          <w:color w:val="auto"/>
        </w:rPr>
      </w:pPr>
      <w:r>
        <w:rPr>
          <w:rFonts w:ascii="Arial" w:cs="Arial" w:eastAsia="Arial" w:hAnsi="Arial"/>
          <w:sz w:val="18"/>
          <w:szCs w:val="18"/>
          <w:color w:val="auto"/>
        </w:rPr>
        <w:t>investors to better understand our core financial and operating performance and evaluate the efficacy of the methodology and information used by our management to evaluate and measure such performance.</w:t>
      </w:r>
    </w:p>
    <w:p>
      <w:pPr>
        <w:spacing w:after="0" w:line="91" w:lineRule="exact"/>
        <w:rPr>
          <w:sz w:val="20"/>
          <w:szCs w:val="20"/>
          <w:color w:val="auto"/>
        </w:rPr>
      </w:pPr>
    </w:p>
    <w:p>
      <w:pPr>
        <w:ind w:left="920" w:right="279"/>
        <w:spacing w:after="0" w:line="237" w:lineRule="auto"/>
        <w:rPr>
          <w:sz w:val="20"/>
          <w:szCs w:val="20"/>
          <w:color w:val="auto"/>
        </w:rPr>
      </w:pPr>
      <w:r>
        <w:rPr>
          <w:rFonts w:ascii="Arial" w:cs="Arial" w:eastAsia="Arial" w:hAnsi="Arial"/>
          <w:sz w:val="18"/>
          <w:szCs w:val="18"/>
          <w:color w:val="auto"/>
        </w:rPr>
        <w:t>While our management uses non-GAAP financial measures as tools to enhance its understanding of certain aspects of our financial performance, our management does not consider these measures to be a</w:t>
      </w:r>
    </w:p>
    <w:p>
      <w:pPr>
        <w:ind w:left="920"/>
        <w:spacing w:after="0" w:line="235" w:lineRule="auto"/>
        <w:rPr>
          <w:sz w:val="20"/>
          <w:szCs w:val="20"/>
          <w:color w:val="auto"/>
        </w:rPr>
      </w:pPr>
      <w:r>
        <w:rPr>
          <w:rFonts w:ascii="Arial" w:cs="Arial" w:eastAsia="Arial" w:hAnsi="Arial"/>
          <w:sz w:val="18"/>
          <w:szCs w:val="18"/>
          <w:color w:val="auto"/>
        </w:rPr>
        <w:t>substitute for, or superior to, GAAP measures. In addition, our presentations of these measures may not be</w:t>
      </w:r>
    </w:p>
    <w:p>
      <w:pPr>
        <w:spacing w:after="0" w:line="1" w:lineRule="exact"/>
        <w:rPr>
          <w:sz w:val="20"/>
          <w:szCs w:val="20"/>
          <w:color w:val="auto"/>
        </w:rPr>
      </w:pPr>
    </w:p>
    <w:p>
      <w:pPr>
        <w:ind w:left="920" w:right="419"/>
        <w:spacing w:after="0" w:line="226" w:lineRule="auto"/>
        <w:rPr>
          <w:sz w:val="20"/>
          <w:szCs w:val="20"/>
          <w:color w:val="auto"/>
        </w:rPr>
      </w:pPr>
      <w:r>
        <w:rPr>
          <w:rFonts w:ascii="Arial" w:cs="Arial" w:eastAsia="Arial" w:hAnsi="Arial"/>
          <w:sz w:val="18"/>
          <w:szCs w:val="18"/>
          <w:color w:val="auto"/>
        </w:rPr>
        <w:t>comparable to similarly titled measures used by other companies. These non-GAAP financial measures should not be considered alternatives for, or in isolation from, the financial information prepared and</w:t>
      </w:r>
    </w:p>
    <w:p>
      <w:pPr>
        <w:ind w:left="920"/>
        <w:spacing w:after="0" w:line="236" w:lineRule="auto"/>
        <w:rPr>
          <w:sz w:val="20"/>
          <w:szCs w:val="20"/>
          <w:color w:val="auto"/>
        </w:rPr>
      </w:pPr>
      <w:r>
        <w:rPr>
          <w:rFonts w:ascii="Arial" w:cs="Arial" w:eastAsia="Arial" w:hAnsi="Arial"/>
          <w:sz w:val="18"/>
          <w:szCs w:val="18"/>
          <w:color w:val="auto"/>
        </w:rPr>
        <w:t>presented in accordance with GAAP. Investors are cautioned that there are material limitations associated</w:t>
      </w:r>
    </w:p>
    <w:p>
      <w:pPr>
        <w:spacing w:after="0" w:line="1" w:lineRule="exact"/>
        <w:rPr>
          <w:sz w:val="20"/>
          <w:szCs w:val="20"/>
          <w:color w:val="auto"/>
        </w:rPr>
      </w:pPr>
    </w:p>
    <w:p>
      <w:pPr>
        <w:ind w:left="920" w:right="159"/>
        <w:spacing w:after="0" w:line="226" w:lineRule="auto"/>
        <w:rPr>
          <w:sz w:val="20"/>
          <w:szCs w:val="20"/>
          <w:color w:val="auto"/>
        </w:rPr>
      </w:pPr>
      <w:r>
        <w:rPr>
          <w:rFonts w:ascii="Arial" w:cs="Arial" w:eastAsia="Arial" w:hAnsi="Arial"/>
          <w:sz w:val="18"/>
          <w:szCs w:val="18"/>
          <w:color w:val="auto"/>
        </w:rPr>
        <w:t>with the use of non-GAAP financial measures. In particular, many of the adjustments to our financial measures reflect the exclusion of items that are recurring and will be reflected in its financial results for the</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foreseeable future.</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Stock-Based Compensation</w:t>
      </w:r>
    </w:p>
    <w:p>
      <w:pPr>
        <w:spacing w:after="0" w:line="139" w:lineRule="exact"/>
        <w:rPr>
          <w:sz w:val="20"/>
          <w:szCs w:val="20"/>
          <w:color w:val="auto"/>
        </w:rPr>
      </w:pPr>
    </w:p>
    <w:p>
      <w:pPr>
        <w:ind w:left="920" w:right="459"/>
        <w:spacing w:after="0" w:line="237" w:lineRule="auto"/>
        <w:rPr>
          <w:sz w:val="20"/>
          <w:szCs w:val="20"/>
          <w:color w:val="auto"/>
        </w:rPr>
      </w:pPr>
      <w:r>
        <w:rPr>
          <w:rFonts w:ascii="Arial" w:cs="Arial" w:eastAsia="Arial" w:hAnsi="Arial"/>
          <w:sz w:val="18"/>
          <w:szCs w:val="18"/>
          <w:color w:val="auto"/>
        </w:rPr>
        <w:t>The expense related to stock-based awards is generally not controllable in the short-term and can vary significantly based on the timing, size and nature of awards granted. The Company believes that</w:t>
      </w:r>
    </w:p>
    <w:p>
      <w:pPr>
        <w:spacing w:after="0" w:line="1" w:lineRule="exact"/>
        <w:rPr>
          <w:sz w:val="20"/>
          <w:szCs w:val="20"/>
          <w:color w:val="auto"/>
        </w:rPr>
      </w:pPr>
    </w:p>
    <w:p>
      <w:pPr>
        <w:ind w:left="920" w:right="419"/>
        <w:spacing w:after="0" w:line="250" w:lineRule="auto"/>
        <w:rPr>
          <w:sz w:val="20"/>
          <w:szCs w:val="20"/>
          <w:color w:val="auto"/>
        </w:rPr>
      </w:pPr>
      <w:r>
        <w:rPr>
          <w:rFonts w:ascii="Arial" w:cs="Arial" w:eastAsia="Arial" w:hAnsi="Arial"/>
          <w:sz w:val="18"/>
          <w:szCs w:val="18"/>
          <w:color w:val="auto"/>
        </w:rPr>
        <w:t>presenting non-GAAP operating results that exclude stock-based compensation provides investors with visibility and insight into its management’s method of analysis and its core operating performance.</w:t>
      </w:r>
    </w:p>
    <w:p>
      <w:pPr>
        <w:spacing w:after="0" w:line="167" w:lineRule="exact"/>
        <w:rPr>
          <w:sz w:val="20"/>
          <w:szCs w:val="20"/>
          <w:color w:val="auto"/>
        </w:rPr>
      </w:pPr>
    </w:p>
    <w:p>
      <w:pPr>
        <w:ind w:left="920" w:right="299"/>
        <w:spacing w:after="0" w:line="298" w:lineRule="auto"/>
        <w:rPr>
          <w:sz w:val="20"/>
          <w:szCs w:val="20"/>
          <w:color w:val="auto"/>
        </w:rPr>
      </w:pPr>
      <w:r>
        <w:rPr>
          <w:rFonts w:ascii="Arial" w:cs="Arial" w:eastAsia="Arial" w:hAnsi="Arial"/>
          <w:sz w:val="20"/>
          <w:szCs w:val="20"/>
          <w:b w:val="1"/>
          <w:bCs w:val="1"/>
          <w:color w:val="auto"/>
        </w:rPr>
        <w:t>Amortization of Acquired Technology (including software licenses); Amortization of Acquired Intangible Assets</w:t>
      </w:r>
    </w:p>
    <w:p>
      <w:pPr>
        <w:spacing w:after="0" w:line="41" w:lineRule="exact"/>
        <w:rPr>
          <w:sz w:val="20"/>
          <w:szCs w:val="20"/>
          <w:color w:val="auto"/>
        </w:rPr>
      </w:pPr>
    </w:p>
    <w:p>
      <w:pPr>
        <w:ind w:left="920" w:right="359"/>
        <w:spacing w:after="0" w:line="237" w:lineRule="auto"/>
        <w:rPr>
          <w:sz w:val="20"/>
          <w:szCs w:val="20"/>
          <w:color w:val="auto"/>
        </w:rPr>
      </w:pPr>
      <w:r>
        <w:rPr>
          <w:rFonts w:ascii="Arial" w:cs="Arial" w:eastAsia="Arial" w:hAnsi="Arial"/>
          <w:sz w:val="18"/>
          <w:szCs w:val="18"/>
          <w:color w:val="auto"/>
        </w:rPr>
        <w:t>Amortization amounts are inconsistent in frequency and amount and are significantly impacted by the timing and size of acquisitions. Amortization of acquired technology is reported separately within Cost of</w:t>
      </w:r>
    </w:p>
    <w:p>
      <w:pPr>
        <w:ind w:left="920"/>
        <w:spacing w:after="0" w:line="235" w:lineRule="auto"/>
        <w:rPr>
          <w:sz w:val="20"/>
          <w:szCs w:val="20"/>
          <w:color w:val="auto"/>
        </w:rPr>
      </w:pPr>
      <w:r>
        <w:rPr>
          <w:rFonts w:ascii="Arial" w:cs="Arial" w:eastAsia="Arial" w:hAnsi="Arial"/>
          <w:sz w:val="18"/>
          <w:szCs w:val="18"/>
          <w:color w:val="auto"/>
        </w:rPr>
        <w:t>revenue and Amortization of acquired intangible assets is reported separately within Operating expenses.</w:t>
      </w:r>
    </w:p>
    <w:p>
      <w:pPr>
        <w:spacing w:after="0" w:line="1" w:lineRule="exact"/>
        <w:rPr>
          <w:sz w:val="20"/>
          <w:szCs w:val="20"/>
          <w:color w:val="auto"/>
        </w:rPr>
      </w:pPr>
    </w:p>
    <w:p>
      <w:pPr>
        <w:ind w:left="920" w:right="379"/>
        <w:spacing w:after="0" w:line="226" w:lineRule="auto"/>
        <w:rPr>
          <w:sz w:val="20"/>
          <w:szCs w:val="20"/>
          <w:color w:val="auto"/>
        </w:rPr>
      </w:pPr>
      <w:r>
        <w:rPr>
          <w:rFonts w:ascii="Arial" w:cs="Arial" w:eastAsia="Arial" w:hAnsi="Arial"/>
          <w:sz w:val="18"/>
          <w:szCs w:val="18"/>
          <w:color w:val="auto"/>
        </w:rPr>
        <w:t>These items are reported collectively as Amortization of acquired intangible assets in the accompanying reconciliations of non-GAAP and GAAP financial measures. The Company believes that excluding non-</w:t>
      </w:r>
    </w:p>
    <w:p>
      <w:pPr>
        <w:ind w:left="920"/>
        <w:spacing w:after="0" w:line="236" w:lineRule="auto"/>
        <w:rPr>
          <w:sz w:val="20"/>
          <w:szCs w:val="20"/>
          <w:color w:val="auto"/>
        </w:rPr>
      </w:pPr>
      <w:r>
        <w:rPr>
          <w:rFonts w:ascii="Arial" w:cs="Arial" w:eastAsia="Arial" w:hAnsi="Arial"/>
          <w:sz w:val="18"/>
          <w:szCs w:val="18"/>
          <w:color w:val="auto"/>
        </w:rPr>
        <w:t>cash amortization of these intangible assets facilitates the comparison of its financial results to its historical</w:t>
      </w:r>
    </w:p>
    <w:p>
      <w:pPr>
        <w:spacing w:after="0" w:line="1" w:lineRule="exact"/>
        <w:rPr>
          <w:sz w:val="20"/>
          <w:szCs w:val="20"/>
          <w:color w:val="auto"/>
        </w:rPr>
      </w:pPr>
    </w:p>
    <w:p>
      <w:pPr>
        <w:ind w:left="920" w:right="659"/>
        <w:spacing w:after="0" w:line="237" w:lineRule="auto"/>
        <w:rPr>
          <w:sz w:val="20"/>
          <w:szCs w:val="20"/>
          <w:color w:val="auto"/>
        </w:rPr>
      </w:pPr>
      <w:r>
        <w:rPr>
          <w:rFonts w:ascii="Arial" w:cs="Arial" w:eastAsia="Arial" w:hAnsi="Arial"/>
          <w:sz w:val="18"/>
          <w:szCs w:val="18"/>
          <w:color w:val="auto"/>
        </w:rPr>
        <w:t>operating results and to other companies in its industry as if the acquired intangible assets had been developed internally rather than acquired.</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Litigation Costs</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connection with certain ongoing litigation where Ribbon is the defendant (as described in Note 26 to the</w:t>
      </w:r>
    </w:p>
    <w:p>
      <w:pPr>
        <w:spacing w:after="0" w:line="14" w:lineRule="exact"/>
        <w:rPr>
          <w:sz w:val="20"/>
          <w:szCs w:val="20"/>
          <w:color w:val="auto"/>
        </w:rPr>
      </w:pPr>
    </w:p>
    <w:p>
      <w:pPr>
        <w:ind w:left="920" w:right="459"/>
        <w:spacing w:after="0" w:line="226" w:lineRule="auto"/>
        <w:rPr>
          <w:sz w:val="20"/>
          <w:szCs w:val="20"/>
          <w:color w:val="auto"/>
        </w:rPr>
      </w:pPr>
      <w:r>
        <w:rPr>
          <w:rFonts w:ascii="Arial" w:cs="Arial" w:eastAsia="Arial" w:hAnsi="Arial"/>
          <w:sz w:val="18"/>
          <w:szCs w:val="18"/>
          <w:color w:val="auto"/>
        </w:rPr>
        <w:t>Company’s Consolidated Financial Statements included in its Annual Report on Form 10-K for the year ended December 31, 2023), the Company has incurred litigation costs that began in 2023. Also, on</w:t>
      </w:r>
    </w:p>
    <w:p>
      <w:pPr>
        <w:ind w:left="920"/>
        <w:spacing w:after="0" w:line="236" w:lineRule="auto"/>
        <w:rPr>
          <w:sz w:val="20"/>
          <w:szCs w:val="20"/>
          <w:color w:val="auto"/>
        </w:rPr>
      </w:pPr>
      <w:r>
        <w:rPr>
          <w:rFonts w:ascii="Arial" w:cs="Arial" w:eastAsia="Arial" w:hAnsi="Arial"/>
          <w:sz w:val="18"/>
          <w:szCs w:val="18"/>
          <w:color w:val="auto"/>
        </w:rPr>
        <w:t>October 14, 2024, a settlement in principle was reached on one of these legal matters and the Company</w:t>
      </w:r>
    </w:p>
    <w:p>
      <w:pPr>
        <w:spacing w:after="0" w:line="1" w:lineRule="exact"/>
        <w:rPr>
          <w:sz w:val="20"/>
          <w:szCs w:val="20"/>
          <w:color w:val="auto"/>
        </w:rPr>
      </w:pPr>
    </w:p>
    <w:p>
      <w:pPr>
        <w:ind w:left="920" w:right="199"/>
        <w:spacing w:after="0" w:line="226" w:lineRule="auto"/>
        <w:rPr>
          <w:sz w:val="20"/>
          <w:szCs w:val="20"/>
          <w:color w:val="auto"/>
        </w:rPr>
      </w:pPr>
      <w:r>
        <w:rPr>
          <w:rFonts w:ascii="Arial" w:cs="Arial" w:eastAsia="Arial" w:hAnsi="Arial"/>
          <w:sz w:val="18"/>
          <w:szCs w:val="18"/>
          <w:color w:val="auto"/>
        </w:rPr>
        <w:t>accrued the $5 million settlement in the third quarter of 2024. These costs are included as a component of general and administrative expense. The Company believes that such costs are not part of its core</w:t>
      </w:r>
    </w:p>
    <w:p>
      <w:pPr>
        <w:spacing w:after="0" w:line="2" w:lineRule="exact"/>
        <w:rPr>
          <w:sz w:val="20"/>
          <w:szCs w:val="20"/>
          <w:color w:val="auto"/>
        </w:rPr>
      </w:pPr>
    </w:p>
    <w:p>
      <w:pPr>
        <w:ind w:left="920" w:right="379"/>
        <w:spacing w:after="0" w:line="237" w:lineRule="auto"/>
        <w:rPr>
          <w:sz w:val="20"/>
          <w:szCs w:val="20"/>
          <w:color w:val="auto"/>
        </w:rPr>
      </w:pPr>
      <w:r>
        <w:rPr>
          <w:rFonts w:ascii="Arial" w:cs="Arial" w:eastAsia="Arial" w:hAnsi="Arial"/>
          <w:sz w:val="18"/>
          <w:szCs w:val="18"/>
          <w:color w:val="auto"/>
        </w:rPr>
        <w:t>business or ongoing operations, are unplanned, and generally are not within its control. Accordingly, the Company believes that excluding litigation costs related</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right="219"/>
        <w:spacing w:after="0" w:line="271" w:lineRule="auto"/>
        <w:rPr>
          <w:sz w:val="20"/>
          <w:szCs w:val="20"/>
          <w:color w:val="auto"/>
        </w:rPr>
      </w:pPr>
      <w:r>
        <w:rPr>
          <w:rFonts w:ascii="Arial" w:cs="Arial" w:eastAsia="Arial" w:hAnsi="Arial"/>
          <w:sz w:val="18"/>
          <w:szCs w:val="18"/>
          <w:color w:val="auto"/>
        </w:rPr>
        <w:t>to these specific legal matters facilitates the comparison of the Company’s financial results to its historical operating results and to other companies in its industry.</w:t>
      </w:r>
    </w:p>
    <w:p>
      <w:pPr>
        <w:spacing w:after="0" w:line="149"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Acquisition-, Disposal- and Integration-Related</w:t>
      </w:r>
    </w:p>
    <w:p>
      <w:pPr>
        <w:spacing w:after="0" w:line="139" w:lineRule="exact"/>
        <w:rPr>
          <w:sz w:val="20"/>
          <w:szCs w:val="20"/>
          <w:color w:val="auto"/>
        </w:rPr>
      </w:pPr>
    </w:p>
    <w:p>
      <w:pPr>
        <w:ind w:left="920" w:right="219"/>
        <w:spacing w:after="0" w:line="245" w:lineRule="auto"/>
        <w:rPr>
          <w:sz w:val="20"/>
          <w:szCs w:val="20"/>
          <w:color w:val="auto"/>
        </w:rPr>
      </w:pPr>
      <w:r>
        <w:rPr>
          <w:rFonts w:ascii="Arial" w:cs="Arial" w:eastAsia="Arial" w:hAnsi="Arial"/>
          <w:sz w:val="18"/>
          <w:szCs w:val="18"/>
          <w:color w:val="auto"/>
        </w:rPr>
        <w:t>The Company considers certain acquisition-, disposal - and integration-related costs to be unrelated to the organic continuing operations of the Company and its acquired businesses. Such costs are generally not</w:t>
      </w:r>
    </w:p>
    <w:p>
      <w:pPr>
        <w:ind w:left="920" w:right="239"/>
        <w:spacing w:after="0" w:line="226" w:lineRule="auto"/>
        <w:rPr>
          <w:sz w:val="20"/>
          <w:szCs w:val="20"/>
          <w:color w:val="auto"/>
        </w:rPr>
      </w:pPr>
      <w:r>
        <w:rPr>
          <w:rFonts w:ascii="Arial" w:cs="Arial" w:eastAsia="Arial" w:hAnsi="Arial"/>
          <w:sz w:val="18"/>
          <w:szCs w:val="18"/>
          <w:color w:val="auto"/>
        </w:rPr>
        <w:t>relevant to assessing or estimating the long-term performance of the acquired assets. The Company excludes such acquisition-, disposal- and integration-related costs to allow more accurate comparisons of</w:t>
      </w:r>
    </w:p>
    <w:p>
      <w:pPr>
        <w:ind w:left="920"/>
        <w:spacing w:after="0" w:line="236" w:lineRule="auto"/>
        <w:rPr>
          <w:sz w:val="20"/>
          <w:szCs w:val="20"/>
          <w:color w:val="auto"/>
        </w:rPr>
      </w:pPr>
      <w:r>
        <w:rPr>
          <w:rFonts w:ascii="Arial" w:cs="Arial" w:eastAsia="Arial" w:hAnsi="Arial"/>
          <w:sz w:val="18"/>
          <w:szCs w:val="18"/>
          <w:color w:val="auto"/>
        </w:rPr>
        <w:t>its financial results to its historical operations and the financial results of less acquisitive peer companies</w:t>
      </w:r>
    </w:p>
    <w:p>
      <w:pPr>
        <w:spacing w:after="0" w:line="1" w:lineRule="exact"/>
        <w:rPr>
          <w:sz w:val="20"/>
          <w:szCs w:val="20"/>
          <w:color w:val="auto"/>
        </w:rPr>
      </w:pPr>
    </w:p>
    <w:p>
      <w:pPr>
        <w:ind w:left="920" w:right="379"/>
        <w:spacing w:after="0" w:line="237" w:lineRule="auto"/>
        <w:rPr>
          <w:sz w:val="20"/>
          <w:szCs w:val="20"/>
          <w:color w:val="auto"/>
        </w:rPr>
      </w:pPr>
      <w:r>
        <w:rPr>
          <w:rFonts w:ascii="Arial" w:cs="Arial" w:eastAsia="Arial" w:hAnsi="Arial"/>
          <w:sz w:val="18"/>
          <w:szCs w:val="18"/>
          <w:color w:val="auto"/>
        </w:rPr>
        <w:t>and allows management and investors to consider the ongoing operations of the business both with and without such expenses.</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Restructuring and Related</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recorded restructuring and related expense to streamline operations and reduce</w:t>
      </w:r>
    </w:p>
    <w:p>
      <w:pPr>
        <w:spacing w:after="0" w:line="14" w:lineRule="exact"/>
        <w:rPr>
          <w:sz w:val="20"/>
          <w:szCs w:val="20"/>
          <w:color w:val="auto"/>
        </w:rPr>
      </w:pPr>
    </w:p>
    <w:p>
      <w:pPr>
        <w:ind w:left="920" w:right="399"/>
        <w:spacing w:after="0" w:line="226" w:lineRule="auto"/>
        <w:rPr>
          <w:sz w:val="20"/>
          <w:szCs w:val="20"/>
          <w:color w:val="auto"/>
        </w:rPr>
      </w:pPr>
      <w:r>
        <w:rPr>
          <w:rFonts w:ascii="Arial" w:cs="Arial" w:eastAsia="Arial" w:hAnsi="Arial"/>
          <w:sz w:val="18"/>
          <w:szCs w:val="18"/>
          <w:color w:val="auto"/>
        </w:rPr>
        <w:t>operating costs by closing and consolidating certain facilities and reducing its worldwide workforce. The Company believes that excluding restructuring and related expense facilitates the comparison of its</w:t>
      </w:r>
    </w:p>
    <w:p>
      <w:pPr>
        <w:spacing w:after="0" w:line="2" w:lineRule="exact"/>
        <w:rPr>
          <w:sz w:val="20"/>
          <w:szCs w:val="20"/>
          <w:color w:val="auto"/>
        </w:rPr>
      </w:pPr>
    </w:p>
    <w:p>
      <w:pPr>
        <w:ind w:left="920" w:right="459"/>
        <w:spacing w:after="0" w:line="237" w:lineRule="auto"/>
        <w:rPr>
          <w:sz w:val="20"/>
          <w:szCs w:val="20"/>
          <w:color w:val="auto"/>
        </w:rPr>
      </w:pPr>
      <w:r>
        <w:rPr>
          <w:rFonts w:ascii="Arial" w:cs="Arial" w:eastAsia="Arial" w:hAnsi="Arial"/>
          <w:sz w:val="18"/>
          <w:szCs w:val="18"/>
          <w:color w:val="auto"/>
        </w:rPr>
        <w:t>financial results to its historical operating results and to other companies in its industry, as there are no future revenue streams or other benefits associated with these costs.</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Preferred Stock and Warrant Liability Mark-to-Market Adjustment</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recorded adjustments to the fair value of its Series A Preferred Stock and Warrants to</w:t>
      </w:r>
    </w:p>
    <w:p>
      <w:pPr>
        <w:spacing w:after="0" w:line="14" w:lineRule="exact"/>
        <w:rPr>
          <w:sz w:val="20"/>
          <w:szCs w:val="20"/>
          <w:color w:val="auto"/>
        </w:rPr>
      </w:pPr>
    </w:p>
    <w:p>
      <w:pPr>
        <w:ind w:left="920" w:right="519"/>
        <w:spacing w:after="0" w:line="226" w:lineRule="auto"/>
        <w:rPr>
          <w:sz w:val="20"/>
          <w:szCs w:val="20"/>
          <w:color w:val="auto"/>
        </w:rPr>
      </w:pPr>
      <w:r>
        <w:rPr>
          <w:rFonts w:ascii="Arial" w:cs="Arial" w:eastAsia="Arial" w:hAnsi="Arial"/>
          <w:sz w:val="18"/>
          <w:szCs w:val="18"/>
          <w:color w:val="auto"/>
        </w:rPr>
        <w:t>purchase shares of the Company’s common stock in Other (expense) income, net. Both of these instruments were issued in March 2023 in connection with the Company’s private placement and have</w:t>
      </w:r>
    </w:p>
    <w:p>
      <w:pPr>
        <w:ind w:left="920"/>
        <w:spacing w:after="0" w:line="236" w:lineRule="auto"/>
        <w:rPr>
          <w:sz w:val="20"/>
          <w:szCs w:val="20"/>
          <w:color w:val="auto"/>
        </w:rPr>
      </w:pPr>
      <w:r>
        <w:rPr>
          <w:rFonts w:ascii="Arial" w:cs="Arial" w:eastAsia="Arial" w:hAnsi="Arial"/>
          <w:sz w:val="18"/>
          <w:szCs w:val="18"/>
          <w:color w:val="auto"/>
        </w:rPr>
        <w:t>been classified as liabilities and marked to market each reporting period until the Series A Preferred Stock</w:t>
      </w:r>
    </w:p>
    <w:p>
      <w:pPr>
        <w:spacing w:after="0" w:line="1" w:lineRule="exact"/>
        <w:rPr>
          <w:sz w:val="20"/>
          <w:szCs w:val="20"/>
          <w:color w:val="auto"/>
        </w:rPr>
      </w:pPr>
    </w:p>
    <w:p>
      <w:pPr>
        <w:ind w:left="920" w:right="259"/>
        <w:spacing w:after="0" w:line="226" w:lineRule="auto"/>
        <w:rPr>
          <w:sz w:val="20"/>
          <w:szCs w:val="20"/>
          <w:color w:val="auto"/>
        </w:rPr>
      </w:pPr>
      <w:r>
        <w:rPr>
          <w:rFonts w:ascii="Arial" w:cs="Arial" w:eastAsia="Arial" w:hAnsi="Arial"/>
          <w:sz w:val="18"/>
          <w:szCs w:val="18"/>
          <w:color w:val="auto"/>
        </w:rPr>
        <w:t>was fully redeemed on June 25, 2024. The Warrant liability remains outstanding and will continue to be marked to market each reporting period. The Company excluded these gains and losses from the change</w:t>
      </w:r>
    </w:p>
    <w:p>
      <w:pPr>
        <w:spacing w:after="0" w:line="2" w:lineRule="exact"/>
        <w:rPr>
          <w:sz w:val="20"/>
          <w:szCs w:val="20"/>
          <w:color w:val="auto"/>
        </w:rPr>
      </w:pPr>
    </w:p>
    <w:p>
      <w:pPr>
        <w:ind w:left="920" w:right="419"/>
        <w:spacing w:after="0" w:line="250" w:lineRule="auto"/>
        <w:rPr>
          <w:sz w:val="20"/>
          <w:szCs w:val="20"/>
          <w:color w:val="auto"/>
        </w:rPr>
      </w:pPr>
      <w:r>
        <w:rPr>
          <w:rFonts w:ascii="Arial" w:cs="Arial" w:eastAsia="Arial" w:hAnsi="Arial"/>
          <w:sz w:val="18"/>
          <w:szCs w:val="18"/>
          <w:color w:val="auto"/>
        </w:rPr>
        <w:t>in the fair value of these liabilities because it believes that such gains or losses were not part of its core business or ongoing operations.</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Tax Indemnification Write-Off</w:t>
      </w:r>
    </w:p>
    <w:p>
      <w:pPr>
        <w:spacing w:after="0" w:line="139" w:lineRule="exact"/>
        <w:rPr>
          <w:sz w:val="20"/>
          <w:szCs w:val="20"/>
          <w:color w:val="auto"/>
        </w:rPr>
      </w:pPr>
    </w:p>
    <w:p>
      <w:pPr>
        <w:ind w:left="920" w:right="119"/>
        <w:spacing w:after="0" w:line="245" w:lineRule="auto"/>
        <w:rPr>
          <w:sz w:val="20"/>
          <w:szCs w:val="20"/>
          <w:color w:val="auto"/>
        </w:rPr>
      </w:pPr>
      <w:r>
        <w:rPr>
          <w:rFonts w:ascii="Arial" w:cs="Arial" w:eastAsia="Arial" w:hAnsi="Arial"/>
          <w:sz w:val="18"/>
          <w:szCs w:val="18"/>
          <w:color w:val="auto"/>
        </w:rPr>
        <w:t>In connection with the Company’s acquisition of ECI Telecom Group Ltd. in 2020, a portion of the shares of our common stock that were issued as consideration were held in escrow for potential future tax liabilities.</w:t>
      </w:r>
    </w:p>
    <w:p>
      <w:pPr>
        <w:ind w:left="920" w:right="459"/>
        <w:spacing w:after="0" w:line="226" w:lineRule="auto"/>
        <w:rPr>
          <w:sz w:val="20"/>
          <w:szCs w:val="20"/>
          <w:color w:val="auto"/>
        </w:rPr>
      </w:pPr>
      <w:r>
        <w:rPr>
          <w:rFonts w:ascii="Arial" w:cs="Arial" w:eastAsia="Arial" w:hAnsi="Arial"/>
          <w:sz w:val="18"/>
          <w:szCs w:val="18"/>
          <w:color w:val="auto"/>
        </w:rPr>
        <w:t>This $6 million tax indemnity asset, consisting of 2 million shares of common stock held in escrow, was written off upon its expiration on December 31, 2024. The Company believes that excluding this tax</w:t>
      </w:r>
    </w:p>
    <w:p>
      <w:pPr>
        <w:spacing w:after="0" w:line="2" w:lineRule="exact"/>
        <w:rPr>
          <w:sz w:val="20"/>
          <w:szCs w:val="20"/>
          <w:color w:val="auto"/>
        </w:rPr>
      </w:pPr>
    </w:p>
    <w:p>
      <w:pPr>
        <w:ind w:left="920" w:right="719"/>
        <w:spacing w:after="0" w:line="250" w:lineRule="auto"/>
        <w:rPr>
          <w:sz w:val="20"/>
          <w:szCs w:val="20"/>
          <w:color w:val="auto"/>
        </w:rPr>
      </w:pPr>
      <w:r>
        <w:rPr>
          <w:rFonts w:ascii="Arial" w:cs="Arial" w:eastAsia="Arial" w:hAnsi="Arial"/>
          <w:sz w:val="18"/>
          <w:szCs w:val="18"/>
          <w:color w:val="auto"/>
        </w:rPr>
        <w:t>indemnification write- off facilitates the comparison of the Company’s financial results to its historical operating results and to other companies in its industry.</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Tax Effect of Non-GAAP Adjustments</w:t>
      </w:r>
    </w:p>
    <w:p>
      <w:pPr>
        <w:spacing w:after="0" w:line="139" w:lineRule="exact"/>
        <w:rPr>
          <w:sz w:val="20"/>
          <w:szCs w:val="20"/>
          <w:color w:val="auto"/>
        </w:rPr>
      </w:pPr>
    </w:p>
    <w:p>
      <w:pPr>
        <w:ind w:left="920" w:right="559"/>
        <w:spacing w:after="0" w:line="245" w:lineRule="auto"/>
        <w:rPr>
          <w:sz w:val="20"/>
          <w:szCs w:val="20"/>
          <w:color w:val="auto"/>
        </w:rPr>
      </w:pPr>
      <w:r>
        <w:rPr>
          <w:rFonts w:ascii="Arial" w:cs="Arial" w:eastAsia="Arial" w:hAnsi="Arial"/>
          <w:sz w:val="18"/>
          <w:szCs w:val="18"/>
          <w:color w:val="auto"/>
        </w:rPr>
        <w:t>The Non-GAAP income tax provision is presented based on an estimated tax rate applied against forecasted annual non-GAAP income. The Non-GAAP income tax provision assumes no available net</w:t>
      </w:r>
    </w:p>
    <w:p>
      <w:pPr>
        <w:ind w:left="920" w:right="119"/>
        <w:spacing w:after="0" w:line="226" w:lineRule="auto"/>
        <w:rPr>
          <w:sz w:val="20"/>
          <w:szCs w:val="20"/>
          <w:color w:val="auto"/>
        </w:rPr>
      </w:pPr>
      <w:r>
        <w:rPr>
          <w:rFonts w:ascii="Arial" w:cs="Arial" w:eastAsia="Arial" w:hAnsi="Arial"/>
          <w:sz w:val="18"/>
          <w:szCs w:val="18"/>
          <w:color w:val="auto"/>
        </w:rPr>
        <w:t>operating losses or valuation allowances for the U.S. because of reporting significant cumulative non-GAAP income over the past several years. The Company is reporting its non-GAAP quarterly income taxes</w:t>
      </w:r>
    </w:p>
    <w:p>
      <w:pPr>
        <w:ind w:left="920"/>
        <w:spacing w:after="0" w:line="236" w:lineRule="auto"/>
        <w:rPr>
          <w:sz w:val="20"/>
          <w:szCs w:val="20"/>
          <w:color w:val="auto"/>
        </w:rPr>
      </w:pPr>
      <w:r>
        <w:rPr>
          <w:rFonts w:ascii="Arial" w:cs="Arial" w:eastAsia="Arial" w:hAnsi="Arial"/>
          <w:sz w:val="18"/>
          <w:szCs w:val="18"/>
          <w:color w:val="auto"/>
        </w:rPr>
        <w:t>by computing an annual rate for the Company and applying that single rate (rather than multiple rates by</w:t>
      </w:r>
    </w:p>
    <w:p>
      <w:pPr>
        <w:spacing w:after="0" w:line="1" w:lineRule="exact"/>
        <w:rPr>
          <w:sz w:val="20"/>
          <w:szCs w:val="20"/>
          <w:color w:val="auto"/>
        </w:rPr>
      </w:pPr>
    </w:p>
    <w:p>
      <w:pPr>
        <w:ind w:left="920" w:right="119"/>
        <w:spacing w:after="0" w:line="226" w:lineRule="auto"/>
        <w:rPr>
          <w:sz w:val="20"/>
          <w:szCs w:val="20"/>
          <w:color w:val="auto"/>
        </w:rPr>
      </w:pPr>
      <w:r>
        <w:rPr>
          <w:rFonts w:ascii="Arial" w:cs="Arial" w:eastAsia="Arial" w:hAnsi="Arial"/>
          <w:sz w:val="18"/>
          <w:szCs w:val="18"/>
          <w:color w:val="auto"/>
        </w:rPr>
        <w:t>jurisdiction) to its consolidated quarterly results. The Company expects that this methodology will provide a consistent rate throughout the year and allow investors to better understand the impact of income taxes on</w:t>
      </w:r>
    </w:p>
    <w:p>
      <w:pPr>
        <w:spacing w:after="0" w:line="2" w:lineRule="exact"/>
        <w:rPr>
          <w:sz w:val="20"/>
          <w:szCs w:val="20"/>
          <w:color w:val="auto"/>
        </w:rPr>
      </w:pPr>
    </w:p>
    <w:p>
      <w:pPr>
        <w:ind w:left="920" w:right="299"/>
        <w:spacing w:after="0" w:line="250" w:lineRule="auto"/>
        <w:rPr>
          <w:sz w:val="20"/>
          <w:szCs w:val="20"/>
          <w:color w:val="auto"/>
        </w:rPr>
      </w:pPr>
      <w:r>
        <w:rPr>
          <w:rFonts w:ascii="Arial" w:cs="Arial" w:eastAsia="Arial" w:hAnsi="Arial"/>
          <w:sz w:val="18"/>
          <w:szCs w:val="18"/>
          <w:color w:val="auto"/>
        </w:rPr>
        <w:t>its results. Due to the methodology applied to its estimated annual tax rate, the Company’s estimated tax rate on non-GAAP income will differ from its GAAP tax rate and from its actual tax liabilities.</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Adjusted EBITDA</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uses Adjusted EBITDA as a supplemental measure to review and assess its performance.</w:t>
      </w:r>
    </w:p>
    <w:p>
      <w:pPr>
        <w:spacing w:after="0" w:line="14" w:lineRule="exact"/>
        <w:rPr>
          <w:sz w:val="20"/>
          <w:szCs w:val="20"/>
          <w:color w:val="auto"/>
        </w:rPr>
      </w:pPr>
    </w:p>
    <w:p>
      <w:pPr>
        <w:jc w:val="both"/>
        <w:ind w:left="920" w:right="179"/>
        <w:spacing w:after="0" w:line="226" w:lineRule="auto"/>
        <w:rPr>
          <w:sz w:val="20"/>
          <w:szCs w:val="20"/>
          <w:color w:val="auto"/>
        </w:rPr>
      </w:pPr>
      <w:r>
        <w:rPr>
          <w:rFonts w:ascii="Arial" w:cs="Arial" w:eastAsia="Arial" w:hAnsi="Arial"/>
          <w:sz w:val="18"/>
          <w:szCs w:val="18"/>
          <w:color w:val="auto"/>
        </w:rPr>
        <w:t>The Company calculates Adjusted EBITDA by excluding from income (loss) from operations: depreciation; stock-based compensation; amortization of acquired intangible assets; certain litigation costs; acquisition-,</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disposal- and integration-related expense; and restructuring and</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A-2</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related expense. In general, the Company excludes the expenses that it considers to be non-cash and/or</w:t>
      </w:r>
    </w:p>
    <w:p>
      <w:pPr>
        <w:spacing w:after="0" w:line="14" w:lineRule="exact"/>
        <w:rPr>
          <w:sz w:val="20"/>
          <w:szCs w:val="20"/>
          <w:color w:val="auto"/>
        </w:rPr>
      </w:pPr>
    </w:p>
    <w:p>
      <w:pPr>
        <w:ind w:left="920" w:right="339"/>
        <w:spacing w:after="0" w:line="226" w:lineRule="auto"/>
        <w:rPr>
          <w:sz w:val="20"/>
          <w:szCs w:val="20"/>
          <w:color w:val="auto"/>
        </w:rPr>
      </w:pPr>
      <w:r>
        <w:rPr>
          <w:rFonts w:ascii="Arial" w:cs="Arial" w:eastAsia="Arial" w:hAnsi="Arial"/>
          <w:sz w:val="18"/>
          <w:szCs w:val="18"/>
          <w:color w:val="auto"/>
        </w:rPr>
        <w:t>not a part of its ongoing operations. The Company may exclude other items in the future that have those characteristics. Adjusted EBITDA is a non-GAAP financial measure that is used by the investing</w:t>
      </w:r>
    </w:p>
    <w:p>
      <w:pPr>
        <w:ind w:left="920"/>
        <w:spacing w:after="0" w:line="236" w:lineRule="auto"/>
        <w:rPr>
          <w:sz w:val="20"/>
          <w:szCs w:val="20"/>
          <w:color w:val="auto"/>
        </w:rPr>
      </w:pPr>
      <w:r>
        <w:rPr>
          <w:rFonts w:ascii="Arial" w:cs="Arial" w:eastAsia="Arial" w:hAnsi="Arial"/>
          <w:sz w:val="18"/>
          <w:szCs w:val="18"/>
          <w:color w:val="auto"/>
        </w:rPr>
        <w:t>community for comparative and valuation purposes. The Company discloses this metric to support and</w:t>
      </w:r>
    </w:p>
    <w:p>
      <w:pPr>
        <w:spacing w:after="0" w:line="1" w:lineRule="exact"/>
        <w:rPr>
          <w:sz w:val="20"/>
          <w:szCs w:val="20"/>
          <w:color w:val="auto"/>
        </w:rPr>
      </w:pPr>
    </w:p>
    <w:p>
      <w:pPr>
        <w:ind w:left="920" w:right="219"/>
        <w:spacing w:after="0" w:line="237" w:lineRule="auto"/>
        <w:rPr>
          <w:sz w:val="20"/>
          <w:szCs w:val="20"/>
          <w:color w:val="auto"/>
        </w:rPr>
      </w:pPr>
      <w:r>
        <w:rPr>
          <w:rFonts w:ascii="Arial" w:cs="Arial" w:eastAsia="Arial" w:hAnsi="Arial"/>
          <w:sz w:val="18"/>
          <w:szCs w:val="18"/>
          <w:color w:val="auto"/>
        </w:rPr>
        <w:t>facilitate dialogue with research analysts and investors. Other companies may calculate Adjusted EBITDA differently than the Company does, limiting its usefulness as a comparative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100965</wp:posOffset>
            </wp:positionV>
            <wp:extent cx="59690" cy="5403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9690" cy="540385"/>
                    </a:xfrm>
                    <a:prstGeom prst="rect">
                      <a:avLst/>
                    </a:prstGeom>
                    <a:noFill/>
                  </pic:spPr>
                </pic:pic>
              </a:graphicData>
            </a:graphic>
          </wp:anchor>
        </w:drawing>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215"/>
        </w:trPr>
        <w:tc>
          <w:tcPr>
            <w:tcW w:w="60" w:type="dxa"/>
            <w:vAlign w:val="bottom"/>
            <w:shd w:val="clear" w:color="auto" w:fill="62259D"/>
          </w:tcPr>
          <w:p>
            <w:pPr>
              <w:spacing w:after="0"/>
              <w:rPr>
                <w:sz w:val="18"/>
                <w:szCs w:val="18"/>
                <w:color w:val="auto"/>
              </w:rPr>
            </w:pPr>
          </w:p>
        </w:tc>
        <w:tc>
          <w:tcPr>
            <w:tcW w:w="40" w:type="dxa"/>
            <w:vAlign w:val="bottom"/>
            <w:shd w:val="clear" w:color="auto" w:fill="62259D"/>
          </w:tcPr>
          <w:p>
            <w:pPr>
              <w:spacing w:after="0"/>
              <w:rPr>
                <w:sz w:val="18"/>
                <w:szCs w:val="18"/>
                <w:color w:val="auto"/>
              </w:rPr>
            </w:pPr>
          </w:p>
        </w:tc>
        <w:tc>
          <w:tcPr>
            <w:tcW w:w="4200" w:type="dxa"/>
            <w:vAlign w:val="bottom"/>
            <w:shd w:val="clear" w:color="auto" w:fill="62259D"/>
          </w:tcPr>
          <w:p>
            <w:pPr>
              <w:spacing w:after="0"/>
              <w:rPr>
                <w:sz w:val="18"/>
                <w:szCs w:val="18"/>
                <w:color w:val="auto"/>
              </w:rPr>
            </w:pPr>
          </w:p>
        </w:tc>
        <w:tc>
          <w:tcPr>
            <w:tcW w:w="180" w:type="dxa"/>
            <w:vAlign w:val="bottom"/>
            <w:shd w:val="clear" w:color="auto" w:fill="62259D"/>
          </w:tcPr>
          <w:p>
            <w:pPr>
              <w:spacing w:after="0"/>
              <w:rPr>
                <w:sz w:val="18"/>
                <w:szCs w:val="18"/>
                <w:color w:val="auto"/>
              </w:rPr>
            </w:pPr>
          </w:p>
        </w:tc>
        <w:tc>
          <w:tcPr>
            <w:tcW w:w="220" w:type="dxa"/>
            <w:vAlign w:val="bottom"/>
            <w:shd w:val="clear" w:color="auto" w:fill="62259D"/>
          </w:tcPr>
          <w:p>
            <w:pPr>
              <w:spacing w:after="0"/>
              <w:rPr>
                <w:sz w:val="18"/>
                <w:szCs w:val="18"/>
                <w:color w:val="auto"/>
              </w:rPr>
            </w:pPr>
          </w:p>
        </w:tc>
        <w:tc>
          <w:tcPr>
            <w:tcW w:w="200" w:type="dxa"/>
            <w:vAlign w:val="bottom"/>
            <w:shd w:val="clear" w:color="auto" w:fill="62259D"/>
          </w:tcPr>
          <w:p>
            <w:pPr>
              <w:spacing w:after="0"/>
              <w:rPr>
                <w:sz w:val="18"/>
                <w:szCs w:val="18"/>
                <w:color w:val="auto"/>
              </w:rPr>
            </w:pPr>
          </w:p>
        </w:tc>
        <w:tc>
          <w:tcPr>
            <w:tcW w:w="3480" w:type="dxa"/>
            <w:vAlign w:val="bottom"/>
            <w:gridSpan w:val="9"/>
            <w:shd w:val="clear" w:color="auto" w:fill="62259D"/>
          </w:tcPr>
          <w:p>
            <w:pPr>
              <w:jc w:val="right"/>
              <w:ind w:right="439"/>
              <w:spacing w:after="0"/>
              <w:rPr>
                <w:sz w:val="20"/>
                <w:szCs w:val="20"/>
                <w:color w:val="auto"/>
              </w:rPr>
            </w:pPr>
            <w:r>
              <w:rPr>
                <w:rFonts w:ascii="Arial" w:cs="Arial" w:eastAsia="Arial" w:hAnsi="Arial"/>
                <w:sz w:val="16"/>
                <w:szCs w:val="16"/>
                <w:b w:val="1"/>
                <w:bCs w:val="1"/>
                <w:color w:val="FEFEFE"/>
              </w:rPr>
              <w:t>Year Ended December 31, 2024</w:t>
            </w:r>
          </w:p>
        </w:tc>
        <w:tc>
          <w:tcPr>
            <w:tcW w:w="480" w:type="dxa"/>
            <w:vAlign w:val="bottom"/>
            <w:shd w:val="clear" w:color="auto" w:fill="62259D"/>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gridSpan w:val="2"/>
            <w:shd w:val="clear" w:color="auto" w:fill="62259D"/>
          </w:tcPr>
          <w:p>
            <w:pPr>
              <w:spacing w:after="0"/>
              <w:rPr>
                <w:sz w:val="20"/>
                <w:szCs w:val="20"/>
                <w:color w:val="auto"/>
              </w:rPr>
            </w:pPr>
            <w:r>
              <w:rPr>
                <w:rFonts w:ascii="Arial" w:cs="Arial" w:eastAsia="Arial" w:hAnsi="Arial"/>
                <w:sz w:val="16"/>
                <w:szCs w:val="16"/>
                <w:b w:val="1"/>
                <w:bCs w:val="1"/>
                <w:color w:val="FEFEFE"/>
              </w:rPr>
              <w:t>​</w:t>
            </w:r>
          </w:p>
        </w:tc>
        <w:tc>
          <w:tcPr>
            <w:tcW w:w="4200" w:type="dxa"/>
            <w:vAlign w:val="bottom"/>
            <w:shd w:val="clear" w:color="auto" w:fill="62259D"/>
          </w:tcPr>
          <w:p>
            <w:pPr>
              <w:jc w:val="right"/>
              <w:ind w:right="4079"/>
              <w:spacing w:after="0"/>
              <w:rPr>
                <w:sz w:val="20"/>
                <w:szCs w:val="20"/>
                <w:color w:val="auto"/>
              </w:rPr>
            </w:pPr>
            <w:r>
              <w:rPr>
                <w:rFonts w:ascii="Arial" w:cs="Arial" w:eastAsia="Arial" w:hAnsi="Arial"/>
                <w:sz w:val="16"/>
                <w:szCs w:val="16"/>
                <w:b w:val="1"/>
                <w:bCs w:val="1"/>
                <w:color w:val="FEFEFE"/>
              </w:rPr>
              <w:t>​</w:t>
            </w:r>
          </w:p>
        </w:tc>
        <w:tc>
          <w:tcPr>
            <w:tcW w:w="180" w:type="dxa"/>
            <w:vAlign w:val="bottom"/>
            <w:shd w:val="clear" w:color="auto" w:fill="62259D"/>
          </w:tcPr>
          <w:p>
            <w:pPr>
              <w:spacing w:after="0"/>
              <w:rPr>
                <w:sz w:val="20"/>
                <w:szCs w:val="20"/>
                <w:color w:val="auto"/>
              </w:rPr>
            </w:pPr>
            <w:r>
              <w:rPr>
                <w:rFonts w:ascii="Arial" w:cs="Arial" w:eastAsia="Arial" w:hAnsi="Arial"/>
                <w:sz w:val="16"/>
                <w:szCs w:val="16"/>
                <w:b w:val="1"/>
                <w:bCs w:val="1"/>
                <w:color w:val="FEFEFE"/>
              </w:rPr>
              <w:t>​</w:t>
            </w:r>
          </w:p>
        </w:tc>
        <w:tc>
          <w:tcPr>
            <w:tcW w:w="220" w:type="dxa"/>
            <w:vAlign w:val="bottom"/>
            <w:shd w:val="clear" w:color="auto" w:fill="62259D"/>
          </w:tcPr>
          <w:p>
            <w:pPr>
              <w:ind w:left="20"/>
              <w:spacing w:after="0"/>
              <w:rPr>
                <w:sz w:val="20"/>
                <w:szCs w:val="20"/>
                <w:color w:val="auto"/>
              </w:rPr>
            </w:pPr>
            <w:r>
              <w:rPr>
                <w:rFonts w:ascii="Arial" w:cs="Arial" w:eastAsia="Arial" w:hAnsi="Arial"/>
                <w:sz w:val="16"/>
                <w:szCs w:val="16"/>
                <w:b w:val="1"/>
                <w:bCs w:val="1"/>
                <w:color w:val="FEFEFE"/>
              </w:rPr>
              <w:t>​</w:t>
            </w:r>
          </w:p>
        </w:tc>
        <w:tc>
          <w:tcPr>
            <w:tcW w:w="200" w:type="dxa"/>
            <w:vAlign w:val="bottom"/>
            <w:shd w:val="clear" w:color="auto" w:fill="62259D"/>
          </w:tcPr>
          <w:p>
            <w:pPr>
              <w:spacing w:after="0"/>
              <w:rPr>
                <w:sz w:val="20"/>
                <w:szCs w:val="20"/>
                <w:color w:val="auto"/>
              </w:rPr>
            </w:pPr>
          </w:p>
        </w:tc>
        <w:tc>
          <w:tcPr>
            <w:tcW w:w="680" w:type="dxa"/>
            <w:vAlign w:val="bottom"/>
            <w:shd w:val="clear" w:color="auto" w:fill="62259D"/>
          </w:tcPr>
          <w:p>
            <w:pPr>
              <w:spacing w:after="0"/>
              <w:rPr>
                <w:sz w:val="20"/>
                <w:szCs w:val="20"/>
                <w:color w:val="auto"/>
              </w:rPr>
            </w:pPr>
          </w:p>
        </w:tc>
        <w:tc>
          <w:tcPr>
            <w:tcW w:w="120" w:type="dxa"/>
            <w:vAlign w:val="bottom"/>
            <w:shd w:val="clear" w:color="auto" w:fill="62259D"/>
          </w:tcPr>
          <w:p>
            <w:pPr>
              <w:spacing w:after="0"/>
              <w:rPr>
                <w:sz w:val="20"/>
                <w:szCs w:val="20"/>
                <w:color w:val="auto"/>
              </w:rPr>
            </w:pPr>
          </w:p>
        </w:tc>
        <w:tc>
          <w:tcPr>
            <w:tcW w:w="200" w:type="dxa"/>
            <w:vAlign w:val="bottom"/>
            <w:shd w:val="clear" w:color="auto" w:fill="62259D"/>
          </w:tcPr>
          <w:p>
            <w:pPr>
              <w:spacing w:after="0"/>
              <w:rPr>
                <w:sz w:val="20"/>
                <w:szCs w:val="20"/>
                <w:color w:val="auto"/>
              </w:rPr>
            </w:pPr>
          </w:p>
        </w:tc>
        <w:tc>
          <w:tcPr>
            <w:tcW w:w="1300" w:type="dxa"/>
            <w:vAlign w:val="bottom"/>
            <w:gridSpan w:val="4"/>
            <w:shd w:val="clear" w:color="auto" w:fill="62259D"/>
          </w:tcPr>
          <w:p>
            <w:pPr>
              <w:ind w:left="100"/>
              <w:spacing w:after="0"/>
              <w:rPr>
                <w:sz w:val="20"/>
                <w:szCs w:val="20"/>
                <w:color w:val="auto"/>
              </w:rPr>
            </w:pPr>
            <w:r>
              <w:rPr>
                <w:rFonts w:ascii="Arial" w:cs="Arial" w:eastAsia="Arial" w:hAnsi="Arial"/>
                <w:sz w:val="16"/>
                <w:szCs w:val="16"/>
                <w:b w:val="1"/>
                <w:bCs w:val="1"/>
                <w:color w:val="FEFEFE"/>
              </w:rPr>
              <w:t>($ in millions)</w:t>
            </w:r>
          </w:p>
        </w:tc>
        <w:tc>
          <w:tcPr>
            <w:tcW w:w="460" w:type="dxa"/>
            <w:vAlign w:val="bottom"/>
            <w:shd w:val="clear" w:color="auto" w:fill="62259D"/>
          </w:tcPr>
          <w:p>
            <w:pPr>
              <w:spacing w:after="0"/>
              <w:rPr>
                <w:sz w:val="20"/>
                <w:szCs w:val="20"/>
                <w:color w:val="auto"/>
              </w:rPr>
            </w:pPr>
          </w:p>
        </w:tc>
        <w:tc>
          <w:tcPr>
            <w:tcW w:w="720" w:type="dxa"/>
            <w:vAlign w:val="bottom"/>
            <w:shd w:val="clear" w:color="auto" w:fill="62259D"/>
          </w:tcPr>
          <w:p>
            <w:pPr>
              <w:spacing w:after="0"/>
              <w:rPr>
                <w:sz w:val="20"/>
                <w:szCs w:val="20"/>
                <w:color w:val="auto"/>
              </w:rPr>
            </w:pPr>
          </w:p>
        </w:tc>
        <w:tc>
          <w:tcPr>
            <w:tcW w:w="480" w:type="dxa"/>
            <w:vAlign w:val="bottom"/>
            <w:shd w:val="clear" w:color="auto" w:fill="62259D"/>
          </w:tcPr>
          <w:p>
            <w:pPr>
              <w:jc w:val="right"/>
              <w:ind w:right="279"/>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FEFEFE"/>
              </w:rPr>
              <w:t>Cloud and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FEFEFE"/>
              </w:rPr>
              <w:t>IP Optical</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240" w:type="dxa"/>
            <w:vAlign w:val="bottom"/>
            <w:gridSpan w:val="2"/>
          </w:tcPr>
          <w:p>
            <w:pPr>
              <w:jc w:val="right"/>
              <w:ind w:right="4079"/>
              <w:spacing w:after="0"/>
              <w:rPr>
                <w:sz w:val="20"/>
                <w:szCs w:val="20"/>
                <w:color w:val="auto"/>
              </w:rPr>
            </w:pPr>
            <w:r>
              <w:rPr>
                <w:rFonts w:ascii="Arial" w:cs="Arial" w:eastAsia="Arial" w:hAnsi="Arial"/>
                <w:sz w:val="16"/>
                <w:szCs w:val="16"/>
                <w:b w:val="1"/>
                <w:bCs w:val="1"/>
                <w:color w:val="FEFEFE"/>
              </w:rPr>
              <w:t>​​</w:t>
            </w:r>
          </w:p>
        </w:tc>
        <w:tc>
          <w:tcPr>
            <w:tcW w:w="180" w:type="dxa"/>
            <w:vAlign w:val="bottom"/>
          </w:tcPr>
          <w:p>
            <w:pPr>
              <w:ind w:left="100"/>
              <w:spacing w:after="0"/>
              <w:rPr>
                <w:sz w:val="20"/>
                <w:szCs w:val="20"/>
                <w:color w:val="auto"/>
              </w:rPr>
            </w:pPr>
            <w:r>
              <w:rPr>
                <w:rFonts w:ascii="Arial" w:cs="Arial" w:eastAsia="Arial" w:hAnsi="Arial"/>
                <w:sz w:val="16"/>
                <w:szCs w:val="16"/>
                <w:b w:val="1"/>
                <w:bCs w:val="1"/>
                <w:color w:val="FEFEFE"/>
              </w:rPr>
              <w:t>​</w:t>
            </w:r>
          </w:p>
        </w:tc>
        <w:tc>
          <w:tcPr>
            <w:tcW w:w="220" w:type="dxa"/>
            <w:vAlign w:val="bottom"/>
          </w:tcPr>
          <w:p>
            <w:pPr>
              <w:ind w:left="120"/>
              <w:spacing w:after="0"/>
              <w:rPr>
                <w:sz w:val="20"/>
                <w:szCs w:val="20"/>
                <w:color w:val="auto"/>
              </w:rPr>
            </w:pPr>
            <w:r>
              <w:rPr>
                <w:rFonts w:ascii="Arial" w:cs="Arial" w:eastAsia="Arial" w:hAnsi="Arial"/>
                <w:sz w:val="16"/>
                <w:szCs w:val="16"/>
                <w:b w:val="1"/>
                <w:bCs w:val="1"/>
                <w:color w:val="FEFEFE"/>
              </w:rPr>
              <w:t>​</w:t>
            </w:r>
          </w:p>
        </w:tc>
        <w:tc>
          <w:tcPr>
            <w:tcW w:w="200" w:type="dxa"/>
            <w:vAlign w:val="bottom"/>
          </w:tcPr>
          <w:p>
            <w:pPr>
              <w:spacing w:after="0"/>
              <w:rPr>
                <w:sz w:val="17"/>
                <w:szCs w:val="17"/>
                <w:color w:val="auto"/>
              </w:rPr>
            </w:pPr>
          </w:p>
        </w:tc>
        <w:tc>
          <w:tcPr>
            <w:tcW w:w="680" w:type="dxa"/>
            <w:vAlign w:val="bottom"/>
          </w:tcPr>
          <w:p>
            <w:pPr>
              <w:jc w:val="right"/>
              <w:ind w:right="139"/>
              <w:spacing w:after="0"/>
              <w:rPr>
                <w:sz w:val="20"/>
                <w:szCs w:val="20"/>
                <w:color w:val="auto"/>
              </w:rPr>
            </w:pPr>
            <w:r>
              <w:rPr>
                <w:rFonts w:ascii="Arial" w:cs="Arial" w:eastAsia="Arial" w:hAnsi="Arial"/>
                <w:sz w:val="16"/>
                <w:szCs w:val="16"/>
                <w:b w:val="1"/>
                <w:bCs w:val="1"/>
                <w:color w:val="FEFEFE"/>
              </w:rPr>
              <w:t>Edge</w:t>
            </w:r>
          </w:p>
        </w:tc>
        <w:tc>
          <w:tcPr>
            <w:tcW w:w="12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6"/>
                <w:szCs w:val="16"/>
                <w:b w:val="1"/>
                <w:bCs w:val="1"/>
                <w:color w:val="FEFEFE"/>
              </w:rPr>
              <w:t>​</w:t>
            </w: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FEFEFE"/>
              </w:rPr>
              <w:t>​ Networks</w:t>
            </w:r>
          </w:p>
        </w:tc>
        <w:tc>
          <w:tcPr>
            <w:tcW w:w="100" w:type="dxa"/>
            <w:vAlign w:val="bottom"/>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FEFEFE"/>
              </w:rPr>
              <w:t>​</w:t>
            </w:r>
          </w:p>
        </w:tc>
        <w:tc>
          <w:tcPr>
            <w:tcW w:w="1660" w:type="dxa"/>
            <w:vAlign w:val="bottom"/>
            <w:gridSpan w:val="3"/>
          </w:tcPr>
          <w:p>
            <w:pPr>
              <w:jc w:val="right"/>
              <w:ind w:right="79"/>
              <w:spacing w:after="0"/>
              <w:rPr>
                <w:sz w:val="20"/>
                <w:szCs w:val="20"/>
                <w:color w:val="auto"/>
              </w:rPr>
            </w:pPr>
            <w:r>
              <w:rPr>
                <w:rFonts w:ascii="Arial" w:cs="Arial" w:eastAsia="Arial" w:hAnsi="Arial"/>
                <w:sz w:val="16"/>
                <w:szCs w:val="16"/>
                <w:b w:val="1"/>
                <w:bCs w:val="1"/>
                <w:color w:val="FEFEFE"/>
              </w:rPr>
              <w:t>​ Consolidated   ​</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E7417A"/>
            </w:tcBorders>
            <w:gridSpan w:val="3"/>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Revenue</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7417A"/>
            </w:tcBorders>
            <w:gridSpan w:val="2"/>
          </w:tcPr>
          <w:p>
            <w:pPr>
              <w:jc w:val="right"/>
              <w:ind w:right="19"/>
              <w:spacing w:after="0"/>
              <w:rPr>
                <w:sz w:val="20"/>
                <w:szCs w:val="20"/>
                <w:color w:val="auto"/>
              </w:rPr>
            </w:pPr>
            <w:r>
              <w:rPr>
                <w:rFonts w:ascii="Arial" w:cs="Arial" w:eastAsia="Arial" w:hAnsi="Arial"/>
                <w:sz w:val="16"/>
                <w:szCs w:val="16"/>
                <w:color w:val="auto"/>
              </w:rPr>
              <w:t>​​ 505,157</w:t>
            </w:r>
          </w:p>
        </w:tc>
        <w:tc>
          <w:tcPr>
            <w:tcW w:w="12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7417A"/>
            </w:tcBorders>
            <w:gridSpan w:val="2"/>
          </w:tcPr>
          <w:p>
            <w:pPr>
              <w:jc w:val="right"/>
              <w:spacing w:after="0"/>
              <w:rPr>
                <w:sz w:val="20"/>
                <w:szCs w:val="20"/>
                <w:color w:val="auto"/>
              </w:rPr>
            </w:pPr>
            <w:r>
              <w:rPr>
                <w:rFonts w:ascii="Arial" w:cs="Arial" w:eastAsia="Arial" w:hAnsi="Arial"/>
                <w:sz w:val="16"/>
                <w:szCs w:val="16"/>
                <w:color w:val="auto"/>
              </w:rPr>
              <w:t>​ 328,724</w:t>
            </w:r>
          </w:p>
        </w:tc>
        <w:tc>
          <w:tcPr>
            <w:tcW w:w="10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7417A"/>
            </w:tcBorders>
            <w:gridSpan w:val="2"/>
          </w:tcPr>
          <w:p>
            <w:pPr>
              <w:jc w:val="right"/>
              <w:ind w:right="99"/>
              <w:spacing w:after="0"/>
              <w:rPr>
                <w:sz w:val="20"/>
                <w:szCs w:val="20"/>
                <w:color w:val="auto"/>
              </w:rPr>
            </w:pPr>
            <w:r>
              <w:rPr>
                <w:rFonts w:ascii="Arial" w:cs="Arial" w:eastAsia="Arial" w:hAnsi="Arial"/>
                <w:sz w:val="16"/>
                <w:szCs w:val="16"/>
                <w:color w:val="auto"/>
              </w:rPr>
              <w:t>​​833,881</w:t>
            </w:r>
          </w:p>
        </w:tc>
        <w:tc>
          <w:tcPr>
            <w:tcW w:w="480" w:type="dxa"/>
            <w:vAlign w:val="bottom"/>
            <w:tcBorders>
              <w:bottom w:val="single" w:sz="8" w:color="E7417A"/>
            </w:tcBorders>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1"/>
        </w:trPr>
        <w:tc>
          <w:tcPr>
            <w:tcW w:w="4300" w:type="dxa"/>
            <w:vAlign w:val="bottom"/>
            <w:tcBorders>
              <w:bottom w:val="single" w:sz="8" w:color="E7417A"/>
            </w:tcBorders>
            <w:gridSpan w:val="3"/>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GAAP Gross profit</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7417A"/>
            </w:tcBorders>
            <w:gridSpan w:val="2"/>
          </w:tcPr>
          <w:p>
            <w:pPr>
              <w:jc w:val="right"/>
              <w:ind w:right="19"/>
              <w:spacing w:after="0"/>
              <w:rPr>
                <w:sz w:val="20"/>
                <w:szCs w:val="20"/>
                <w:color w:val="auto"/>
              </w:rPr>
            </w:pPr>
            <w:r>
              <w:rPr>
                <w:rFonts w:ascii="Arial" w:cs="Arial" w:eastAsia="Arial" w:hAnsi="Arial"/>
                <w:sz w:val="16"/>
                <w:szCs w:val="16"/>
                <w:color w:val="auto"/>
              </w:rPr>
              <w:t>​​ 329,217</w:t>
            </w:r>
          </w:p>
        </w:tc>
        <w:tc>
          <w:tcPr>
            <w:tcW w:w="12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7417A"/>
            </w:tcBorders>
          </w:tcPr>
          <w:p>
            <w:pPr>
              <w:ind w:left="2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110,295</w:t>
            </w:r>
          </w:p>
        </w:tc>
        <w:tc>
          <w:tcPr>
            <w:tcW w:w="10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7417A"/>
            </w:tcBorders>
            <w:gridSpan w:val="2"/>
          </w:tcPr>
          <w:p>
            <w:pPr>
              <w:jc w:val="right"/>
              <w:ind w:right="99"/>
              <w:spacing w:after="0"/>
              <w:rPr>
                <w:sz w:val="20"/>
                <w:szCs w:val="20"/>
                <w:color w:val="auto"/>
              </w:rPr>
            </w:pPr>
            <w:r>
              <w:rPr>
                <w:rFonts w:ascii="Arial" w:cs="Arial" w:eastAsia="Arial" w:hAnsi="Arial"/>
                <w:sz w:val="16"/>
                <w:szCs w:val="16"/>
                <w:color w:val="auto"/>
              </w:rPr>
              <w:t>​​439,512</w:t>
            </w:r>
          </w:p>
        </w:tc>
        <w:tc>
          <w:tcPr>
            <w:tcW w:w="480" w:type="dxa"/>
            <w:vAlign w:val="bottom"/>
            <w:tcBorders>
              <w:bottom w:val="single" w:sz="8" w:color="E7417A"/>
            </w:tcBorders>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1"/>
        </w:trPr>
        <w:tc>
          <w:tcPr>
            <w:tcW w:w="4300" w:type="dxa"/>
            <w:vAlign w:val="bottom"/>
            <w:tcBorders>
              <w:bottom w:val="single" w:sz="8" w:color="E7417A"/>
            </w:tcBorders>
            <w:gridSpan w:val="3"/>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GAAP Gross margin (Gross profit/Revenue)</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7417A"/>
            </w:tcBorders>
            <w:gridSpan w:val="2"/>
          </w:tcPr>
          <w:p>
            <w:pPr>
              <w:jc w:val="right"/>
              <w:spacing w:after="0"/>
              <w:rPr>
                <w:sz w:val="20"/>
                <w:szCs w:val="20"/>
                <w:color w:val="auto"/>
              </w:rPr>
            </w:pPr>
            <w:r>
              <w:rPr>
                <w:rFonts w:ascii="Arial" w:cs="Arial" w:eastAsia="Arial" w:hAnsi="Arial"/>
                <w:sz w:val="16"/>
                <w:szCs w:val="16"/>
                <w:color w:val="auto"/>
              </w:rPr>
              <w:t>65.2%​​</w:t>
            </w:r>
          </w:p>
        </w:tc>
        <w:tc>
          <w:tcPr>
            <w:tcW w:w="2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7417A"/>
            </w:tcBorders>
          </w:tcPr>
          <w:p>
            <w:pPr>
              <w:ind w:lef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7417A"/>
            </w:tcBorders>
            <w:gridSpan w:val="2"/>
          </w:tcPr>
          <w:p>
            <w:pPr>
              <w:jc w:val="right"/>
              <w:spacing w:after="0"/>
              <w:rPr>
                <w:sz w:val="20"/>
                <w:szCs w:val="20"/>
                <w:color w:val="auto"/>
              </w:rPr>
            </w:pPr>
            <w:r>
              <w:rPr>
                <w:rFonts w:ascii="Arial" w:cs="Arial" w:eastAsia="Arial" w:hAnsi="Arial"/>
                <w:sz w:val="16"/>
                <w:szCs w:val="16"/>
                <w:color w:val="auto"/>
              </w:rPr>
              <w:t>33.6%​​</w:t>
            </w:r>
          </w:p>
        </w:tc>
        <w:tc>
          <w:tcPr>
            <w:tcW w:w="22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52.7%</w:t>
            </w:r>
          </w:p>
        </w:tc>
        <w:tc>
          <w:tcPr>
            <w:tcW w:w="480" w:type="dxa"/>
            <w:vAlign w:val="bottom"/>
            <w:tcBorders>
              <w:bottom w:val="single" w:sz="8" w:color="E7417A"/>
            </w:tcBorders>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4200" w:type="dxa"/>
            <w:vAlign w:val="bottom"/>
          </w:tcPr>
          <w:p>
            <w:pPr>
              <w:spacing w:after="0" w:line="169" w:lineRule="exact"/>
              <w:rPr>
                <w:sz w:val="20"/>
                <w:szCs w:val="20"/>
                <w:color w:val="auto"/>
              </w:rPr>
            </w:pPr>
            <w:r>
              <w:rPr>
                <w:rFonts w:ascii="Arial" w:cs="Arial" w:eastAsia="Arial" w:hAnsi="Arial"/>
                <w:sz w:val="16"/>
                <w:szCs w:val="16"/>
                <w:color w:val="auto"/>
              </w:rPr>
              <w:t>Stock-based compensation</w:t>
            </w: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
              <w:spacing w:after="0" w:line="169" w:lineRule="exact"/>
              <w:rPr>
                <w:sz w:val="20"/>
                <w:szCs w:val="20"/>
                <w:color w:val="auto"/>
              </w:rPr>
            </w:pPr>
            <w:r>
              <w:rPr>
                <w:rFonts w:ascii="Arial" w:cs="Arial" w:eastAsia="Arial" w:hAnsi="Arial"/>
                <w:sz w:val="16"/>
                <w:szCs w:val="16"/>
                <w:color w:val="auto"/>
              </w:rPr>
              <w:t>0.2%</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ind w:left="220"/>
              <w:spacing w:after="0" w:line="169" w:lineRule="exact"/>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0.1%</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6"/>
                <w:szCs w:val="16"/>
                <w:color w:val="auto"/>
              </w:rPr>
              <w:t>0.2%</w:t>
            </w:r>
          </w:p>
        </w:tc>
        <w:tc>
          <w:tcPr>
            <w:tcW w:w="48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60" w:type="dxa"/>
            <w:vAlign w:val="bottom"/>
            <w:tcBorders>
              <w:bottom w:val="single" w:sz="8" w:color="E7417A"/>
            </w:tcBorders>
            <w:vMerge w:val="continue"/>
          </w:tcPr>
          <w:p>
            <w:pPr>
              <w:spacing w:after="0"/>
              <w:rPr>
                <w:sz w:val="4"/>
                <w:szCs w:val="4"/>
                <w:color w:val="auto"/>
              </w:rPr>
            </w:pPr>
          </w:p>
        </w:tc>
        <w:tc>
          <w:tcPr>
            <w:tcW w:w="40" w:type="dxa"/>
            <w:vAlign w:val="bottom"/>
            <w:tcBorders>
              <w:bottom w:val="single" w:sz="8" w:color="E7417A"/>
            </w:tcBorders>
          </w:tcPr>
          <w:p>
            <w:pPr>
              <w:spacing w:after="0"/>
              <w:rPr>
                <w:sz w:val="4"/>
                <w:szCs w:val="4"/>
                <w:color w:val="auto"/>
              </w:rPr>
            </w:pPr>
          </w:p>
        </w:tc>
        <w:tc>
          <w:tcPr>
            <w:tcW w:w="4200" w:type="dxa"/>
            <w:vAlign w:val="bottom"/>
            <w:tcBorders>
              <w:bottom w:val="single" w:sz="8" w:color="E7417A"/>
            </w:tcBorders>
          </w:tcPr>
          <w:p>
            <w:pPr>
              <w:spacing w:after="0"/>
              <w:rPr>
                <w:sz w:val="4"/>
                <w:szCs w:val="4"/>
                <w:color w:val="auto"/>
              </w:rPr>
            </w:pPr>
          </w:p>
        </w:tc>
        <w:tc>
          <w:tcPr>
            <w:tcW w:w="180" w:type="dxa"/>
            <w:vAlign w:val="bottom"/>
            <w:tcBorders>
              <w:bottom w:val="single" w:sz="8" w:color="E7417A"/>
            </w:tcBorders>
            <w:vMerge w:val="continue"/>
          </w:tcPr>
          <w:p>
            <w:pPr>
              <w:spacing w:after="0"/>
              <w:rPr>
                <w:sz w:val="4"/>
                <w:szCs w:val="4"/>
                <w:color w:val="auto"/>
              </w:rPr>
            </w:pPr>
          </w:p>
        </w:tc>
        <w:tc>
          <w:tcPr>
            <w:tcW w:w="220" w:type="dxa"/>
            <w:vAlign w:val="bottom"/>
            <w:tcBorders>
              <w:bottom w:val="single" w:sz="8" w:color="E7417A"/>
            </w:tcBorders>
            <w:vMerge w:val="continue"/>
          </w:tcPr>
          <w:p>
            <w:pPr>
              <w:spacing w:after="0"/>
              <w:rPr>
                <w:sz w:val="4"/>
                <w:szCs w:val="4"/>
                <w:color w:val="auto"/>
              </w:rPr>
            </w:pPr>
          </w:p>
        </w:tc>
        <w:tc>
          <w:tcPr>
            <w:tcW w:w="200" w:type="dxa"/>
            <w:vAlign w:val="bottom"/>
            <w:tcBorders>
              <w:bottom w:val="single" w:sz="8" w:color="E7417A"/>
            </w:tcBorders>
          </w:tcPr>
          <w:p>
            <w:pPr>
              <w:jc w:val="right"/>
              <w:spacing w:after="0" w:line="54" w:lineRule="exact"/>
              <w:rPr>
                <w:sz w:val="20"/>
                <w:szCs w:val="20"/>
                <w:color w:val="auto"/>
              </w:rPr>
            </w:pPr>
            <w:r>
              <w:rPr>
                <w:rFonts w:ascii="Arial" w:cs="Arial" w:eastAsia="Arial" w:hAnsi="Arial"/>
                <w:sz w:val="6"/>
                <w:szCs w:val="6"/>
                <w:color w:val="auto"/>
              </w:rPr>
              <w:t>​</w:t>
            </w:r>
          </w:p>
        </w:tc>
        <w:tc>
          <w:tcPr>
            <w:tcW w:w="680" w:type="dxa"/>
            <w:vAlign w:val="bottom"/>
            <w:tcBorders>
              <w:bottom w:val="single" w:sz="8" w:color="E7417A"/>
            </w:tcBorders>
          </w:tcPr>
          <w:p>
            <w:pPr>
              <w:spacing w:after="0"/>
              <w:rPr>
                <w:sz w:val="4"/>
                <w:szCs w:val="4"/>
                <w:color w:val="auto"/>
              </w:rPr>
            </w:pPr>
          </w:p>
        </w:tc>
        <w:tc>
          <w:tcPr>
            <w:tcW w:w="120" w:type="dxa"/>
            <w:vAlign w:val="bottom"/>
            <w:tcBorders>
              <w:bottom w:val="single" w:sz="8" w:color="E7417A"/>
            </w:tcBorders>
          </w:tcPr>
          <w:p>
            <w:pPr>
              <w:jc w:val="right"/>
              <w:spacing w:after="0" w:line="54" w:lineRule="exact"/>
              <w:rPr>
                <w:sz w:val="20"/>
                <w:szCs w:val="20"/>
                <w:color w:val="auto"/>
              </w:rPr>
            </w:pPr>
            <w:r>
              <w:rPr>
                <w:rFonts w:ascii="Arial" w:cs="Arial" w:eastAsia="Arial" w:hAnsi="Arial"/>
                <w:sz w:val="6"/>
                <w:szCs w:val="6"/>
                <w:color w:val="auto"/>
              </w:rPr>
              <w:t>​​</w:t>
            </w:r>
          </w:p>
        </w:tc>
        <w:tc>
          <w:tcPr>
            <w:tcW w:w="200" w:type="dxa"/>
            <w:vAlign w:val="bottom"/>
            <w:tcBorders>
              <w:bottom w:val="single" w:sz="8" w:color="E7417A"/>
            </w:tcBorders>
            <w:vMerge w:val="continue"/>
          </w:tcPr>
          <w:p>
            <w:pPr>
              <w:spacing w:after="0"/>
              <w:rPr>
                <w:sz w:val="4"/>
                <w:szCs w:val="4"/>
                <w:color w:val="auto"/>
              </w:rPr>
            </w:pPr>
          </w:p>
        </w:tc>
        <w:tc>
          <w:tcPr>
            <w:tcW w:w="300" w:type="dxa"/>
            <w:vAlign w:val="bottom"/>
            <w:tcBorders>
              <w:bottom w:val="single" w:sz="8" w:color="E7417A"/>
            </w:tcBorders>
          </w:tcPr>
          <w:p>
            <w:pPr>
              <w:spacing w:after="0"/>
              <w:rPr>
                <w:sz w:val="4"/>
                <w:szCs w:val="4"/>
                <w:color w:val="auto"/>
              </w:rPr>
            </w:pPr>
          </w:p>
        </w:tc>
        <w:tc>
          <w:tcPr>
            <w:tcW w:w="680" w:type="dxa"/>
            <w:vAlign w:val="bottom"/>
            <w:tcBorders>
              <w:bottom w:val="single" w:sz="8" w:color="E7417A"/>
            </w:tcBorders>
          </w:tcPr>
          <w:p>
            <w:pPr>
              <w:spacing w:after="0"/>
              <w:rPr>
                <w:sz w:val="4"/>
                <w:szCs w:val="4"/>
                <w:color w:val="auto"/>
              </w:rPr>
            </w:pPr>
          </w:p>
        </w:tc>
        <w:tc>
          <w:tcPr>
            <w:tcW w:w="100" w:type="dxa"/>
            <w:vAlign w:val="bottom"/>
            <w:tcBorders>
              <w:bottom w:val="single" w:sz="8" w:color="E7417A"/>
            </w:tcBorders>
          </w:tcPr>
          <w:p>
            <w:pPr>
              <w:jc w:val="right"/>
              <w:spacing w:after="0" w:line="54" w:lineRule="exact"/>
              <w:rPr>
                <w:sz w:val="20"/>
                <w:szCs w:val="20"/>
                <w:color w:val="auto"/>
              </w:rPr>
            </w:pPr>
            <w:r>
              <w:rPr>
                <w:rFonts w:ascii="Arial" w:cs="Arial" w:eastAsia="Arial" w:hAnsi="Arial"/>
                <w:sz w:val="6"/>
                <w:szCs w:val="6"/>
                <w:color w:val="auto"/>
              </w:rPr>
              <w:t>​​</w:t>
            </w:r>
          </w:p>
        </w:tc>
        <w:tc>
          <w:tcPr>
            <w:tcW w:w="220" w:type="dxa"/>
            <w:vAlign w:val="bottom"/>
            <w:tcBorders>
              <w:bottom w:val="single" w:sz="8" w:color="E7417A"/>
            </w:tcBorders>
            <w:vMerge w:val="continue"/>
          </w:tcPr>
          <w:p>
            <w:pPr>
              <w:spacing w:after="0"/>
              <w:rPr>
                <w:sz w:val="4"/>
                <w:szCs w:val="4"/>
                <w:color w:val="auto"/>
              </w:rPr>
            </w:pPr>
          </w:p>
        </w:tc>
        <w:tc>
          <w:tcPr>
            <w:tcW w:w="460" w:type="dxa"/>
            <w:vAlign w:val="bottom"/>
            <w:tcBorders>
              <w:bottom w:val="single" w:sz="8" w:color="E7417A"/>
            </w:tcBorders>
          </w:tcPr>
          <w:p>
            <w:pPr>
              <w:jc w:val="right"/>
              <w:spacing w:after="0" w:line="54" w:lineRule="exact"/>
              <w:rPr>
                <w:sz w:val="20"/>
                <w:szCs w:val="20"/>
                <w:color w:val="auto"/>
              </w:rPr>
            </w:pPr>
            <w:r>
              <w:rPr>
                <w:rFonts w:ascii="Arial" w:cs="Arial" w:eastAsia="Arial" w:hAnsi="Arial"/>
                <w:sz w:val="6"/>
                <w:szCs w:val="6"/>
                <w:color w:val="auto"/>
              </w:rPr>
              <w:t>​</w:t>
            </w:r>
          </w:p>
        </w:tc>
        <w:tc>
          <w:tcPr>
            <w:tcW w:w="720" w:type="dxa"/>
            <w:vAlign w:val="bottom"/>
            <w:tcBorders>
              <w:bottom w:val="single" w:sz="8" w:color="E7417A"/>
            </w:tcBorders>
          </w:tcPr>
          <w:p>
            <w:pPr>
              <w:spacing w:after="0"/>
              <w:rPr>
                <w:sz w:val="4"/>
                <w:szCs w:val="4"/>
                <w:color w:val="auto"/>
              </w:rPr>
            </w:pPr>
          </w:p>
        </w:tc>
        <w:tc>
          <w:tcPr>
            <w:tcW w:w="480" w:type="dxa"/>
            <w:vAlign w:val="bottom"/>
            <w:tcBorders>
              <w:bottom w:val="single" w:sz="8" w:color="E7417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4200" w:type="dxa"/>
            <w:vAlign w:val="bottom"/>
          </w:tcPr>
          <w:p>
            <w:pPr>
              <w:spacing w:after="0" w:line="169" w:lineRule="exact"/>
              <w:rPr>
                <w:sz w:val="20"/>
                <w:szCs w:val="20"/>
                <w:color w:val="auto"/>
              </w:rPr>
            </w:pPr>
            <w:r>
              <w:rPr>
                <w:rFonts w:ascii="Arial" w:cs="Arial" w:eastAsia="Arial" w:hAnsi="Arial"/>
                <w:sz w:val="16"/>
                <w:szCs w:val="16"/>
                <w:color w:val="auto"/>
              </w:rPr>
              <w:t>Amortization of acquired technology</w:t>
            </w: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
              <w:spacing w:after="0" w:line="169" w:lineRule="exact"/>
              <w:rPr>
                <w:sz w:val="20"/>
                <w:szCs w:val="20"/>
                <w:color w:val="auto"/>
              </w:rPr>
            </w:pPr>
            <w:r>
              <w:rPr>
                <w:rFonts w:ascii="Arial" w:cs="Arial" w:eastAsia="Arial" w:hAnsi="Arial"/>
                <w:sz w:val="16"/>
                <w:szCs w:val="16"/>
                <w:color w:val="auto"/>
              </w:rPr>
              <w:t>1.5%</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ind w:left="220"/>
              <w:spacing w:after="0" w:line="169" w:lineRule="exact"/>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5.2%</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6"/>
                <w:szCs w:val="16"/>
                <w:color w:val="auto"/>
              </w:rPr>
              <w:t>3.0%</w:t>
            </w:r>
          </w:p>
        </w:tc>
        <w:tc>
          <w:tcPr>
            <w:tcW w:w="48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60" w:type="dxa"/>
            <w:vAlign w:val="bottom"/>
            <w:tcBorders>
              <w:bottom w:val="single" w:sz="8" w:color="E7417A"/>
            </w:tcBorders>
            <w:vMerge w:val="continue"/>
          </w:tcPr>
          <w:p>
            <w:pPr>
              <w:spacing w:after="0"/>
              <w:rPr>
                <w:sz w:val="4"/>
                <w:szCs w:val="4"/>
                <w:color w:val="auto"/>
              </w:rPr>
            </w:pPr>
          </w:p>
        </w:tc>
        <w:tc>
          <w:tcPr>
            <w:tcW w:w="40" w:type="dxa"/>
            <w:vAlign w:val="bottom"/>
            <w:tcBorders>
              <w:bottom w:val="single" w:sz="8" w:color="E7417A"/>
            </w:tcBorders>
          </w:tcPr>
          <w:p>
            <w:pPr>
              <w:spacing w:after="0"/>
              <w:rPr>
                <w:sz w:val="4"/>
                <w:szCs w:val="4"/>
                <w:color w:val="auto"/>
              </w:rPr>
            </w:pPr>
          </w:p>
        </w:tc>
        <w:tc>
          <w:tcPr>
            <w:tcW w:w="4200" w:type="dxa"/>
            <w:vAlign w:val="bottom"/>
            <w:tcBorders>
              <w:bottom w:val="single" w:sz="8" w:color="E7417A"/>
            </w:tcBorders>
          </w:tcPr>
          <w:p>
            <w:pPr>
              <w:spacing w:after="0"/>
              <w:rPr>
                <w:sz w:val="4"/>
                <w:szCs w:val="4"/>
                <w:color w:val="auto"/>
              </w:rPr>
            </w:pPr>
          </w:p>
        </w:tc>
        <w:tc>
          <w:tcPr>
            <w:tcW w:w="180" w:type="dxa"/>
            <w:vAlign w:val="bottom"/>
            <w:tcBorders>
              <w:bottom w:val="single" w:sz="8" w:color="E7417A"/>
            </w:tcBorders>
            <w:vMerge w:val="continue"/>
          </w:tcPr>
          <w:p>
            <w:pPr>
              <w:spacing w:after="0"/>
              <w:rPr>
                <w:sz w:val="4"/>
                <w:szCs w:val="4"/>
                <w:color w:val="auto"/>
              </w:rPr>
            </w:pPr>
          </w:p>
        </w:tc>
        <w:tc>
          <w:tcPr>
            <w:tcW w:w="220" w:type="dxa"/>
            <w:vAlign w:val="bottom"/>
            <w:tcBorders>
              <w:bottom w:val="single" w:sz="8" w:color="E7417A"/>
            </w:tcBorders>
            <w:vMerge w:val="continue"/>
          </w:tcPr>
          <w:p>
            <w:pPr>
              <w:spacing w:after="0"/>
              <w:rPr>
                <w:sz w:val="4"/>
                <w:szCs w:val="4"/>
                <w:color w:val="auto"/>
              </w:rPr>
            </w:pPr>
          </w:p>
        </w:tc>
        <w:tc>
          <w:tcPr>
            <w:tcW w:w="200" w:type="dxa"/>
            <w:vAlign w:val="bottom"/>
            <w:tcBorders>
              <w:bottom w:val="single" w:sz="8" w:color="E7417A"/>
            </w:tcBorders>
          </w:tcPr>
          <w:p>
            <w:pPr>
              <w:jc w:val="right"/>
              <w:spacing w:after="0" w:line="54" w:lineRule="exact"/>
              <w:rPr>
                <w:sz w:val="20"/>
                <w:szCs w:val="20"/>
                <w:color w:val="auto"/>
              </w:rPr>
            </w:pPr>
            <w:r>
              <w:rPr>
                <w:rFonts w:ascii="Arial" w:cs="Arial" w:eastAsia="Arial" w:hAnsi="Arial"/>
                <w:sz w:val="6"/>
                <w:szCs w:val="6"/>
                <w:color w:val="auto"/>
              </w:rPr>
              <w:t>​</w:t>
            </w:r>
          </w:p>
        </w:tc>
        <w:tc>
          <w:tcPr>
            <w:tcW w:w="680" w:type="dxa"/>
            <w:vAlign w:val="bottom"/>
            <w:tcBorders>
              <w:bottom w:val="single" w:sz="8" w:color="E7417A"/>
            </w:tcBorders>
          </w:tcPr>
          <w:p>
            <w:pPr>
              <w:spacing w:after="0"/>
              <w:rPr>
                <w:sz w:val="4"/>
                <w:szCs w:val="4"/>
                <w:color w:val="auto"/>
              </w:rPr>
            </w:pPr>
          </w:p>
        </w:tc>
        <w:tc>
          <w:tcPr>
            <w:tcW w:w="120" w:type="dxa"/>
            <w:vAlign w:val="bottom"/>
            <w:tcBorders>
              <w:bottom w:val="single" w:sz="8" w:color="E7417A"/>
            </w:tcBorders>
          </w:tcPr>
          <w:p>
            <w:pPr>
              <w:jc w:val="right"/>
              <w:spacing w:after="0" w:line="54" w:lineRule="exact"/>
              <w:rPr>
                <w:sz w:val="20"/>
                <w:szCs w:val="20"/>
                <w:color w:val="auto"/>
              </w:rPr>
            </w:pPr>
            <w:r>
              <w:rPr>
                <w:rFonts w:ascii="Arial" w:cs="Arial" w:eastAsia="Arial" w:hAnsi="Arial"/>
                <w:sz w:val="6"/>
                <w:szCs w:val="6"/>
                <w:color w:val="auto"/>
              </w:rPr>
              <w:t>​​</w:t>
            </w:r>
          </w:p>
        </w:tc>
        <w:tc>
          <w:tcPr>
            <w:tcW w:w="200" w:type="dxa"/>
            <w:vAlign w:val="bottom"/>
            <w:tcBorders>
              <w:bottom w:val="single" w:sz="8" w:color="E7417A"/>
            </w:tcBorders>
            <w:vMerge w:val="continue"/>
          </w:tcPr>
          <w:p>
            <w:pPr>
              <w:spacing w:after="0"/>
              <w:rPr>
                <w:sz w:val="4"/>
                <w:szCs w:val="4"/>
                <w:color w:val="auto"/>
              </w:rPr>
            </w:pPr>
          </w:p>
        </w:tc>
        <w:tc>
          <w:tcPr>
            <w:tcW w:w="300" w:type="dxa"/>
            <w:vAlign w:val="bottom"/>
            <w:tcBorders>
              <w:bottom w:val="single" w:sz="8" w:color="E7417A"/>
            </w:tcBorders>
          </w:tcPr>
          <w:p>
            <w:pPr>
              <w:spacing w:after="0"/>
              <w:rPr>
                <w:sz w:val="4"/>
                <w:szCs w:val="4"/>
                <w:color w:val="auto"/>
              </w:rPr>
            </w:pPr>
          </w:p>
        </w:tc>
        <w:tc>
          <w:tcPr>
            <w:tcW w:w="680" w:type="dxa"/>
            <w:vAlign w:val="bottom"/>
            <w:tcBorders>
              <w:bottom w:val="single" w:sz="8" w:color="E7417A"/>
            </w:tcBorders>
          </w:tcPr>
          <w:p>
            <w:pPr>
              <w:spacing w:after="0"/>
              <w:rPr>
                <w:sz w:val="4"/>
                <w:szCs w:val="4"/>
                <w:color w:val="auto"/>
              </w:rPr>
            </w:pPr>
          </w:p>
        </w:tc>
        <w:tc>
          <w:tcPr>
            <w:tcW w:w="100" w:type="dxa"/>
            <w:vAlign w:val="bottom"/>
            <w:tcBorders>
              <w:bottom w:val="single" w:sz="8" w:color="E7417A"/>
            </w:tcBorders>
          </w:tcPr>
          <w:p>
            <w:pPr>
              <w:jc w:val="right"/>
              <w:spacing w:after="0" w:line="54" w:lineRule="exact"/>
              <w:rPr>
                <w:sz w:val="20"/>
                <w:szCs w:val="20"/>
                <w:color w:val="auto"/>
              </w:rPr>
            </w:pPr>
            <w:r>
              <w:rPr>
                <w:rFonts w:ascii="Arial" w:cs="Arial" w:eastAsia="Arial" w:hAnsi="Arial"/>
                <w:sz w:val="6"/>
                <w:szCs w:val="6"/>
                <w:color w:val="auto"/>
              </w:rPr>
              <w:t>​​</w:t>
            </w:r>
          </w:p>
        </w:tc>
        <w:tc>
          <w:tcPr>
            <w:tcW w:w="220" w:type="dxa"/>
            <w:vAlign w:val="bottom"/>
            <w:tcBorders>
              <w:bottom w:val="single" w:sz="8" w:color="E7417A"/>
            </w:tcBorders>
            <w:vMerge w:val="continue"/>
          </w:tcPr>
          <w:p>
            <w:pPr>
              <w:spacing w:after="0"/>
              <w:rPr>
                <w:sz w:val="4"/>
                <w:szCs w:val="4"/>
                <w:color w:val="auto"/>
              </w:rPr>
            </w:pPr>
          </w:p>
        </w:tc>
        <w:tc>
          <w:tcPr>
            <w:tcW w:w="460" w:type="dxa"/>
            <w:vAlign w:val="bottom"/>
            <w:tcBorders>
              <w:bottom w:val="single" w:sz="8" w:color="E7417A"/>
            </w:tcBorders>
          </w:tcPr>
          <w:p>
            <w:pPr>
              <w:jc w:val="right"/>
              <w:spacing w:after="0" w:line="54" w:lineRule="exact"/>
              <w:rPr>
                <w:sz w:val="20"/>
                <w:szCs w:val="20"/>
                <w:color w:val="auto"/>
              </w:rPr>
            </w:pPr>
            <w:r>
              <w:rPr>
                <w:rFonts w:ascii="Arial" w:cs="Arial" w:eastAsia="Arial" w:hAnsi="Arial"/>
                <w:sz w:val="6"/>
                <w:szCs w:val="6"/>
                <w:color w:val="auto"/>
              </w:rPr>
              <w:t>​</w:t>
            </w:r>
          </w:p>
        </w:tc>
        <w:tc>
          <w:tcPr>
            <w:tcW w:w="720" w:type="dxa"/>
            <w:vAlign w:val="bottom"/>
            <w:tcBorders>
              <w:bottom w:val="single" w:sz="8" w:color="E7417A"/>
            </w:tcBorders>
          </w:tcPr>
          <w:p>
            <w:pPr>
              <w:spacing w:after="0"/>
              <w:rPr>
                <w:sz w:val="4"/>
                <w:szCs w:val="4"/>
                <w:color w:val="auto"/>
              </w:rPr>
            </w:pPr>
          </w:p>
        </w:tc>
        <w:tc>
          <w:tcPr>
            <w:tcW w:w="480" w:type="dxa"/>
            <w:vAlign w:val="bottom"/>
            <w:tcBorders>
              <w:bottom w:val="single" w:sz="8" w:color="E7417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EE7AA2"/>
            </w:tcBorders>
            <w:gridSpan w:val="3"/>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Non-GAAP Gross margin</w:t>
            </w:r>
          </w:p>
        </w:tc>
        <w:tc>
          <w:tcPr>
            <w:tcW w:w="180" w:type="dxa"/>
            <w:vAlign w:val="bottom"/>
            <w:tcBorders>
              <w:bottom w:val="single" w:sz="8" w:color="EE7AA2"/>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E7AA2"/>
            </w:tcBorders>
          </w:tcPr>
          <w:p>
            <w:pPr>
              <w:ind w:lef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E7AA2"/>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E7AA2"/>
            </w:tcBorders>
            <w:gridSpan w:val="2"/>
          </w:tcPr>
          <w:p>
            <w:pPr>
              <w:jc w:val="right"/>
              <w:spacing w:after="0"/>
              <w:rPr>
                <w:sz w:val="20"/>
                <w:szCs w:val="20"/>
                <w:color w:val="auto"/>
              </w:rPr>
            </w:pPr>
            <w:r>
              <w:rPr>
                <w:rFonts w:ascii="Arial" w:cs="Arial" w:eastAsia="Arial" w:hAnsi="Arial"/>
                <w:sz w:val="16"/>
                <w:szCs w:val="16"/>
                <w:color w:val="auto"/>
              </w:rPr>
              <w:t>66.9%​​</w:t>
            </w:r>
          </w:p>
        </w:tc>
        <w:tc>
          <w:tcPr>
            <w:tcW w:w="200" w:type="dxa"/>
            <w:vAlign w:val="bottom"/>
            <w:tcBorders>
              <w:bottom w:val="single" w:sz="8" w:color="EE7AA2"/>
            </w:tcBorders>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E7AA2"/>
            </w:tcBorders>
          </w:tcPr>
          <w:p>
            <w:pPr>
              <w:ind w:lef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E7AA2"/>
            </w:tcBorders>
            <w:gridSpan w:val="2"/>
          </w:tcPr>
          <w:p>
            <w:pPr>
              <w:jc w:val="right"/>
              <w:spacing w:after="0"/>
              <w:rPr>
                <w:sz w:val="20"/>
                <w:szCs w:val="20"/>
                <w:color w:val="auto"/>
              </w:rPr>
            </w:pPr>
            <w:r>
              <w:rPr>
                <w:rFonts w:ascii="Arial" w:cs="Arial" w:eastAsia="Arial" w:hAnsi="Arial"/>
                <w:sz w:val="16"/>
                <w:szCs w:val="16"/>
                <w:color w:val="auto"/>
              </w:rPr>
              <w:t>38.9%​​</w:t>
            </w:r>
          </w:p>
        </w:tc>
        <w:tc>
          <w:tcPr>
            <w:tcW w:w="220" w:type="dxa"/>
            <w:vAlign w:val="bottom"/>
            <w:tcBorders>
              <w:bottom w:val="single" w:sz="8" w:color="EE7AA2"/>
            </w:tcBorders>
          </w:tcPr>
          <w:p>
            <w:pPr>
              <w:ind w:left="1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E7AA2"/>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E7AA2"/>
            </w:tcBorders>
          </w:tcPr>
          <w:p>
            <w:pPr>
              <w:jc w:val="right"/>
              <w:spacing w:after="0"/>
              <w:rPr>
                <w:sz w:val="20"/>
                <w:szCs w:val="20"/>
                <w:color w:val="auto"/>
              </w:rPr>
            </w:pPr>
            <w:r>
              <w:rPr>
                <w:rFonts w:ascii="Arial" w:cs="Arial" w:eastAsia="Arial" w:hAnsi="Arial"/>
                <w:sz w:val="16"/>
                <w:szCs w:val="16"/>
                <w:color w:val="auto"/>
              </w:rPr>
              <w:t>55.9%</w:t>
            </w:r>
          </w:p>
        </w:tc>
        <w:tc>
          <w:tcPr>
            <w:tcW w:w="480" w:type="dxa"/>
            <w:vAlign w:val="bottom"/>
            <w:tcBorders>
              <w:bottom w:val="single" w:sz="8" w:color="EE7AA2"/>
            </w:tcBorders>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00" w:type="dxa"/>
            <w:vAlign w:val="bottom"/>
            <w:tcBorders>
              <w:bottom w:val="single" w:sz="8" w:color="EE7AA2"/>
            </w:tcBorders>
            <w:gridSpan w:val="3"/>
          </w:tcPr>
          <w:p>
            <w:pPr>
              <w:spacing w:after="0" w:line="20" w:lineRule="exact"/>
              <w:rPr>
                <w:sz w:val="1"/>
                <w:szCs w:val="1"/>
                <w:color w:val="auto"/>
              </w:rPr>
            </w:pPr>
          </w:p>
        </w:tc>
        <w:tc>
          <w:tcPr>
            <w:tcW w:w="180" w:type="dxa"/>
            <w:vAlign w:val="bottom"/>
            <w:tcBorders>
              <w:bottom w:val="single" w:sz="8" w:color="EE7AA2"/>
            </w:tcBorders>
          </w:tcPr>
          <w:p>
            <w:pPr>
              <w:spacing w:after="0" w:line="20" w:lineRule="exact"/>
              <w:rPr>
                <w:sz w:val="1"/>
                <w:szCs w:val="1"/>
                <w:color w:val="auto"/>
              </w:rPr>
            </w:pPr>
          </w:p>
        </w:tc>
        <w:tc>
          <w:tcPr>
            <w:tcW w:w="220" w:type="dxa"/>
            <w:vAlign w:val="bottom"/>
            <w:tcBorders>
              <w:bottom w:val="single" w:sz="8" w:color="EE7AA2"/>
            </w:tcBorders>
          </w:tcPr>
          <w:p>
            <w:pPr>
              <w:spacing w:after="0" w:line="20" w:lineRule="exact"/>
              <w:rPr>
                <w:sz w:val="1"/>
                <w:szCs w:val="1"/>
                <w:color w:val="auto"/>
              </w:rPr>
            </w:pPr>
          </w:p>
        </w:tc>
        <w:tc>
          <w:tcPr>
            <w:tcW w:w="200" w:type="dxa"/>
            <w:vAlign w:val="bottom"/>
            <w:tcBorders>
              <w:bottom w:val="single" w:sz="8" w:color="EE7AA2"/>
            </w:tcBorders>
          </w:tcPr>
          <w:p>
            <w:pPr>
              <w:spacing w:after="0" w:line="20" w:lineRule="exact"/>
              <w:rPr>
                <w:sz w:val="1"/>
                <w:szCs w:val="1"/>
                <w:color w:val="auto"/>
              </w:rPr>
            </w:pPr>
          </w:p>
        </w:tc>
        <w:tc>
          <w:tcPr>
            <w:tcW w:w="680" w:type="dxa"/>
            <w:vAlign w:val="bottom"/>
            <w:tcBorders>
              <w:bottom w:val="single" w:sz="8" w:color="EE7AA2"/>
            </w:tcBorders>
          </w:tcPr>
          <w:p>
            <w:pPr>
              <w:spacing w:after="0" w:line="20" w:lineRule="exact"/>
              <w:rPr>
                <w:sz w:val="1"/>
                <w:szCs w:val="1"/>
                <w:color w:val="auto"/>
              </w:rPr>
            </w:pPr>
          </w:p>
        </w:tc>
        <w:tc>
          <w:tcPr>
            <w:tcW w:w="120" w:type="dxa"/>
            <w:vAlign w:val="bottom"/>
            <w:tcBorders>
              <w:bottom w:val="single" w:sz="8" w:color="EE7AA2"/>
            </w:tcBorders>
          </w:tcPr>
          <w:p>
            <w:pPr>
              <w:spacing w:after="0" w:line="20" w:lineRule="exact"/>
              <w:rPr>
                <w:sz w:val="1"/>
                <w:szCs w:val="1"/>
                <w:color w:val="auto"/>
              </w:rPr>
            </w:pPr>
          </w:p>
        </w:tc>
        <w:tc>
          <w:tcPr>
            <w:tcW w:w="200" w:type="dxa"/>
            <w:vAlign w:val="bottom"/>
            <w:tcBorders>
              <w:bottom w:val="single" w:sz="8" w:color="EE7AA2"/>
            </w:tcBorders>
          </w:tcPr>
          <w:p>
            <w:pPr>
              <w:spacing w:after="0" w:line="20" w:lineRule="exact"/>
              <w:rPr>
                <w:sz w:val="1"/>
                <w:szCs w:val="1"/>
                <w:color w:val="auto"/>
              </w:rPr>
            </w:pPr>
          </w:p>
        </w:tc>
        <w:tc>
          <w:tcPr>
            <w:tcW w:w="300" w:type="dxa"/>
            <w:vAlign w:val="bottom"/>
            <w:tcBorders>
              <w:bottom w:val="single" w:sz="8" w:color="EE7AA2"/>
            </w:tcBorders>
          </w:tcPr>
          <w:p>
            <w:pPr>
              <w:spacing w:after="0" w:line="20" w:lineRule="exact"/>
              <w:rPr>
                <w:sz w:val="1"/>
                <w:szCs w:val="1"/>
                <w:color w:val="auto"/>
              </w:rPr>
            </w:pPr>
          </w:p>
        </w:tc>
        <w:tc>
          <w:tcPr>
            <w:tcW w:w="780" w:type="dxa"/>
            <w:vAlign w:val="bottom"/>
            <w:tcBorders>
              <w:bottom w:val="single" w:sz="8" w:color="EE7AA2"/>
            </w:tcBorders>
            <w:gridSpan w:val="2"/>
          </w:tcPr>
          <w:p>
            <w:pPr>
              <w:spacing w:after="0" w:line="20" w:lineRule="exact"/>
              <w:rPr>
                <w:sz w:val="1"/>
                <w:szCs w:val="1"/>
                <w:color w:val="auto"/>
              </w:rPr>
            </w:pPr>
          </w:p>
        </w:tc>
        <w:tc>
          <w:tcPr>
            <w:tcW w:w="220" w:type="dxa"/>
            <w:vAlign w:val="bottom"/>
            <w:tcBorders>
              <w:bottom w:val="single" w:sz="8" w:color="EE7AA2"/>
            </w:tcBorders>
          </w:tcPr>
          <w:p>
            <w:pPr>
              <w:spacing w:after="0" w:line="20" w:lineRule="exact"/>
              <w:rPr>
                <w:sz w:val="1"/>
                <w:szCs w:val="1"/>
                <w:color w:val="auto"/>
              </w:rPr>
            </w:pPr>
          </w:p>
        </w:tc>
        <w:tc>
          <w:tcPr>
            <w:tcW w:w="460" w:type="dxa"/>
            <w:vAlign w:val="bottom"/>
            <w:tcBorders>
              <w:bottom w:val="single" w:sz="8" w:color="EE7AA2"/>
            </w:tcBorders>
          </w:tcPr>
          <w:p>
            <w:pPr>
              <w:spacing w:after="0" w:line="20" w:lineRule="exact"/>
              <w:rPr>
                <w:sz w:val="1"/>
                <w:szCs w:val="1"/>
                <w:color w:val="auto"/>
              </w:rPr>
            </w:pPr>
          </w:p>
        </w:tc>
        <w:tc>
          <w:tcPr>
            <w:tcW w:w="720" w:type="dxa"/>
            <w:vAlign w:val="bottom"/>
            <w:tcBorders>
              <w:bottom w:val="single" w:sz="8" w:color="EE7AA2"/>
            </w:tcBorders>
          </w:tcPr>
          <w:p>
            <w:pPr>
              <w:spacing w:after="0" w:line="20" w:lineRule="exact"/>
              <w:rPr>
                <w:sz w:val="1"/>
                <w:szCs w:val="1"/>
                <w:color w:val="auto"/>
              </w:rPr>
            </w:pPr>
          </w:p>
        </w:tc>
        <w:tc>
          <w:tcPr>
            <w:tcW w:w="480" w:type="dxa"/>
            <w:vAlign w:val="bottom"/>
            <w:tcBorders>
              <w:bottom w:val="single" w:sz="8" w:color="EE7AA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300" w:type="dxa"/>
            <w:vAlign w:val="bottom"/>
            <w:tcBorders>
              <w:bottom w:val="single" w:sz="8" w:color="E7417A"/>
            </w:tcBorders>
            <w:gridSpan w:val="3"/>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GAAP Income (loss) from operations</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7417A"/>
            </w:tcBorders>
          </w:tcPr>
          <w:p>
            <w:pPr>
              <w:jc w:val="right"/>
              <w:ind w:right="19"/>
              <w:spacing w:after="0"/>
              <w:rPr>
                <w:sz w:val="20"/>
                <w:szCs w:val="20"/>
                <w:color w:val="auto"/>
              </w:rPr>
            </w:pPr>
            <w:r>
              <w:rPr>
                <w:rFonts w:ascii="Arial" w:cs="Arial" w:eastAsia="Arial" w:hAnsi="Arial"/>
                <w:sz w:val="16"/>
                <w:szCs w:val="16"/>
                <w:color w:val="auto"/>
              </w:rPr>
              <w:t>84,092</w:t>
            </w:r>
          </w:p>
        </w:tc>
        <w:tc>
          <w:tcPr>
            <w:tcW w:w="12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7417A"/>
            </w:tcBorders>
          </w:tcPr>
          <w:p>
            <w:pPr>
              <w:ind w:lef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7417A"/>
            </w:tcBorders>
            <w:gridSpan w:val="2"/>
          </w:tcPr>
          <w:p>
            <w:pPr>
              <w:jc w:val="right"/>
              <w:spacing w:after="0"/>
              <w:rPr>
                <w:sz w:val="20"/>
                <w:szCs w:val="20"/>
                <w:color w:val="auto"/>
              </w:rPr>
            </w:pPr>
            <w:r>
              <w:rPr>
                <w:rFonts w:ascii="Arial" w:cs="Arial" w:eastAsia="Arial" w:hAnsi="Arial"/>
                <w:sz w:val="16"/>
                <w:szCs w:val="16"/>
                <w:color w:val="auto"/>
              </w:rPr>
              <w:t>(67,220) ​​</w:t>
            </w:r>
          </w:p>
        </w:tc>
        <w:tc>
          <w:tcPr>
            <w:tcW w:w="22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7417A"/>
            </w:tcBorders>
          </w:tcPr>
          <w:p>
            <w:pPr>
              <w:jc w:val="right"/>
              <w:ind w:right="99"/>
              <w:spacing w:after="0"/>
              <w:rPr>
                <w:sz w:val="20"/>
                <w:szCs w:val="20"/>
                <w:color w:val="auto"/>
              </w:rPr>
            </w:pPr>
            <w:r>
              <w:rPr>
                <w:rFonts w:ascii="Arial" w:cs="Arial" w:eastAsia="Arial" w:hAnsi="Arial"/>
                <w:sz w:val="16"/>
                <w:szCs w:val="16"/>
                <w:color w:val="auto"/>
              </w:rPr>
              <w:t>16,872</w:t>
            </w:r>
          </w:p>
        </w:tc>
        <w:tc>
          <w:tcPr>
            <w:tcW w:w="480" w:type="dxa"/>
            <w:vAlign w:val="bottom"/>
            <w:tcBorders>
              <w:bottom w:val="single" w:sz="8" w:color="E7417A"/>
            </w:tcBorders>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E7417A"/>
            </w:tcBorders>
            <w:gridSpan w:val="3"/>
          </w:tcPr>
          <w:p>
            <w:pPr>
              <w:spacing w:after="0"/>
              <w:rPr>
                <w:sz w:val="20"/>
                <w:szCs w:val="20"/>
                <w:color w:val="auto"/>
              </w:rPr>
            </w:pPr>
            <w:r>
              <w:rPr>
                <w:rFonts w:ascii="Arial" w:cs="Arial" w:eastAsia="Arial" w:hAnsi="Arial"/>
                <w:sz w:val="16"/>
                <w:szCs w:val="16"/>
                <w:color w:val="auto"/>
              </w:rPr>
              <w:t>​ Depreciation</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7417A"/>
            </w:tcBorders>
          </w:tcPr>
          <w:p>
            <w:pPr>
              <w:jc w:val="right"/>
              <w:ind w:right="19"/>
              <w:spacing w:after="0"/>
              <w:rPr>
                <w:sz w:val="20"/>
                <w:szCs w:val="20"/>
                <w:color w:val="auto"/>
              </w:rPr>
            </w:pPr>
            <w:r>
              <w:rPr>
                <w:rFonts w:ascii="Arial" w:cs="Arial" w:eastAsia="Arial" w:hAnsi="Arial"/>
                <w:sz w:val="16"/>
                <w:szCs w:val="16"/>
                <w:color w:val="auto"/>
              </w:rPr>
              <w:t>9,337</w:t>
            </w:r>
          </w:p>
        </w:tc>
        <w:tc>
          <w:tcPr>
            <w:tcW w:w="12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7417A"/>
            </w:tcBorders>
          </w:tcPr>
          <w:p>
            <w:pPr>
              <w:ind w:left="2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4,202</w:t>
            </w:r>
          </w:p>
        </w:tc>
        <w:tc>
          <w:tcPr>
            <w:tcW w:w="10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7417A"/>
            </w:tcBorders>
          </w:tcPr>
          <w:p>
            <w:pPr>
              <w:jc w:val="right"/>
              <w:ind w:right="99"/>
              <w:spacing w:after="0"/>
              <w:rPr>
                <w:sz w:val="20"/>
                <w:szCs w:val="20"/>
                <w:color w:val="auto"/>
              </w:rPr>
            </w:pPr>
            <w:r>
              <w:rPr>
                <w:rFonts w:ascii="Arial" w:cs="Arial" w:eastAsia="Arial" w:hAnsi="Arial"/>
                <w:sz w:val="16"/>
                <w:szCs w:val="16"/>
                <w:color w:val="auto"/>
              </w:rPr>
              <w:t>13,539</w:t>
            </w:r>
          </w:p>
        </w:tc>
        <w:tc>
          <w:tcPr>
            <w:tcW w:w="480" w:type="dxa"/>
            <w:vAlign w:val="bottom"/>
            <w:tcBorders>
              <w:bottom w:val="single" w:sz="8" w:color="E7417A"/>
            </w:tcBorders>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E7417A"/>
            </w:tcBorders>
            <w:gridSpan w:val="3"/>
          </w:tcPr>
          <w:p>
            <w:pPr>
              <w:spacing w:after="0"/>
              <w:rPr>
                <w:sz w:val="20"/>
                <w:szCs w:val="20"/>
                <w:color w:val="auto"/>
              </w:rPr>
            </w:pPr>
            <w:r>
              <w:rPr>
                <w:rFonts w:ascii="Arial" w:cs="Arial" w:eastAsia="Arial" w:hAnsi="Arial"/>
                <w:sz w:val="16"/>
                <w:szCs w:val="16"/>
                <w:color w:val="auto"/>
              </w:rPr>
              <w:t>​ Amortization of acquired intangible assets</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7417A"/>
            </w:tcBorders>
          </w:tcPr>
          <w:p>
            <w:pPr>
              <w:jc w:val="right"/>
              <w:ind w:right="19"/>
              <w:spacing w:after="0"/>
              <w:rPr>
                <w:sz w:val="20"/>
                <w:szCs w:val="20"/>
                <w:color w:val="auto"/>
              </w:rPr>
            </w:pPr>
            <w:r>
              <w:rPr>
                <w:rFonts w:ascii="Arial" w:cs="Arial" w:eastAsia="Arial" w:hAnsi="Arial"/>
                <w:sz w:val="16"/>
                <w:szCs w:val="16"/>
                <w:color w:val="auto"/>
              </w:rPr>
              <w:t>22,024</w:t>
            </w:r>
          </w:p>
        </w:tc>
        <w:tc>
          <w:tcPr>
            <w:tcW w:w="12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7417A"/>
            </w:tcBorders>
          </w:tcPr>
          <w:p>
            <w:pPr>
              <w:ind w:left="2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28,838</w:t>
            </w:r>
          </w:p>
        </w:tc>
        <w:tc>
          <w:tcPr>
            <w:tcW w:w="10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7417A"/>
            </w:tcBorders>
          </w:tcPr>
          <w:p>
            <w:pPr>
              <w:jc w:val="right"/>
              <w:ind w:right="99"/>
              <w:spacing w:after="0"/>
              <w:rPr>
                <w:sz w:val="20"/>
                <w:szCs w:val="20"/>
                <w:color w:val="auto"/>
              </w:rPr>
            </w:pPr>
            <w:r>
              <w:rPr>
                <w:rFonts w:ascii="Arial" w:cs="Arial" w:eastAsia="Arial" w:hAnsi="Arial"/>
                <w:sz w:val="16"/>
                <w:szCs w:val="16"/>
                <w:color w:val="auto"/>
              </w:rPr>
              <w:t>50,862</w:t>
            </w:r>
          </w:p>
        </w:tc>
        <w:tc>
          <w:tcPr>
            <w:tcW w:w="480" w:type="dxa"/>
            <w:vAlign w:val="bottom"/>
            <w:tcBorders>
              <w:bottom w:val="single" w:sz="8" w:color="E7417A"/>
            </w:tcBorders>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E7417A"/>
            </w:tcBorders>
            <w:gridSpan w:val="3"/>
          </w:tcPr>
          <w:p>
            <w:pPr>
              <w:spacing w:after="0"/>
              <w:rPr>
                <w:sz w:val="20"/>
                <w:szCs w:val="20"/>
                <w:color w:val="auto"/>
              </w:rPr>
            </w:pPr>
            <w:r>
              <w:rPr>
                <w:rFonts w:ascii="Arial" w:cs="Arial" w:eastAsia="Arial" w:hAnsi="Arial"/>
                <w:sz w:val="16"/>
                <w:szCs w:val="16"/>
                <w:color w:val="auto"/>
              </w:rPr>
              <w:t>​ Stock-based compensation</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7417A"/>
            </w:tcBorders>
          </w:tcPr>
          <w:p>
            <w:pPr>
              <w:jc w:val="right"/>
              <w:ind w:right="19"/>
              <w:spacing w:after="0"/>
              <w:rPr>
                <w:sz w:val="20"/>
                <w:szCs w:val="20"/>
                <w:color w:val="auto"/>
              </w:rPr>
            </w:pPr>
            <w:r>
              <w:rPr>
                <w:rFonts w:ascii="Arial" w:cs="Arial" w:eastAsia="Arial" w:hAnsi="Arial"/>
                <w:sz w:val="16"/>
                <w:szCs w:val="16"/>
                <w:color w:val="auto"/>
              </w:rPr>
              <w:t>11,390</w:t>
            </w:r>
          </w:p>
        </w:tc>
        <w:tc>
          <w:tcPr>
            <w:tcW w:w="12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7417A"/>
            </w:tcBorders>
          </w:tcPr>
          <w:p>
            <w:pPr>
              <w:ind w:left="2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4,696</w:t>
            </w:r>
          </w:p>
        </w:tc>
        <w:tc>
          <w:tcPr>
            <w:tcW w:w="10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7417A"/>
            </w:tcBorders>
          </w:tcPr>
          <w:p>
            <w:pPr>
              <w:jc w:val="right"/>
              <w:ind w:right="99"/>
              <w:spacing w:after="0"/>
              <w:rPr>
                <w:sz w:val="20"/>
                <w:szCs w:val="20"/>
                <w:color w:val="auto"/>
              </w:rPr>
            </w:pPr>
            <w:r>
              <w:rPr>
                <w:rFonts w:ascii="Arial" w:cs="Arial" w:eastAsia="Arial" w:hAnsi="Arial"/>
                <w:sz w:val="16"/>
                <w:szCs w:val="16"/>
                <w:color w:val="auto"/>
              </w:rPr>
              <w:t>16,086</w:t>
            </w:r>
          </w:p>
        </w:tc>
        <w:tc>
          <w:tcPr>
            <w:tcW w:w="480" w:type="dxa"/>
            <w:vAlign w:val="bottom"/>
            <w:tcBorders>
              <w:bottom w:val="single" w:sz="8" w:color="E7417A"/>
            </w:tcBorders>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E7417A"/>
            </w:tcBorders>
            <w:gridSpan w:val="3"/>
          </w:tcPr>
          <w:p>
            <w:pPr>
              <w:spacing w:after="0"/>
              <w:rPr>
                <w:sz w:val="20"/>
                <w:szCs w:val="20"/>
                <w:color w:val="auto"/>
              </w:rPr>
            </w:pPr>
            <w:r>
              <w:rPr>
                <w:rFonts w:ascii="Arial" w:cs="Arial" w:eastAsia="Arial" w:hAnsi="Arial"/>
                <w:sz w:val="16"/>
                <w:szCs w:val="16"/>
                <w:color w:val="auto"/>
              </w:rPr>
              <w:t>​ Litigation costs</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7417A"/>
            </w:tcBorders>
          </w:tcPr>
          <w:p>
            <w:pPr>
              <w:jc w:val="right"/>
              <w:ind w:right="19"/>
              <w:spacing w:after="0"/>
              <w:rPr>
                <w:sz w:val="20"/>
                <w:szCs w:val="20"/>
                <w:color w:val="auto"/>
              </w:rPr>
            </w:pPr>
            <w:r>
              <w:rPr>
                <w:rFonts w:ascii="Arial" w:cs="Arial" w:eastAsia="Arial" w:hAnsi="Arial"/>
                <w:sz w:val="16"/>
                <w:szCs w:val="16"/>
                <w:color w:val="auto"/>
              </w:rPr>
              <w:t>8,174</w:t>
            </w:r>
          </w:p>
        </w:tc>
        <w:tc>
          <w:tcPr>
            <w:tcW w:w="12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7417A"/>
            </w:tcBorders>
          </w:tcPr>
          <w:p>
            <w:pPr>
              <w:ind w:left="2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3,024</w:t>
            </w:r>
          </w:p>
        </w:tc>
        <w:tc>
          <w:tcPr>
            <w:tcW w:w="10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7417A"/>
            </w:tcBorders>
          </w:tcPr>
          <w:p>
            <w:pPr>
              <w:jc w:val="right"/>
              <w:ind w:right="99"/>
              <w:spacing w:after="0"/>
              <w:rPr>
                <w:sz w:val="20"/>
                <w:szCs w:val="20"/>
                <w:color w:val="auto"/>
              </w:rPr>
            </w:pPr>
            <w:r>
              <w:rPr>
                <w:rFonts w:ascii="Arial" w:cs="Arial" w:eastAsia="Arial" w:hAnsi="Arial"/>
                <w:sz w:val="16"/>
                <w:szCs w:val="16"/>
                <w:color w:val="auto"/>
              </w:rPr>
              <w:t>11,198</w:t>
            </w:r>
          </w:p>
        </w:tc>
        <w:tc>
          <w:tcPr>
            <w:tcW w:w="480" w:type="dxa"/>
            <w:vAlign w:val="bottom"/>
            <w:tcBorders>
              <w:bottom w:val="single" w:sz="8" w:color="E7417A"/>
            </w:tcBorders>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E7417A"/>
            </w:tcBorders>
            <w:gridSpan w:val="3"/>
          </w:tcPr>
          <w:p>
            <w:pPr>
              <w:spacing w:after="0"/>
              <w:rPr>
                <w:sz w:val="20"/>
                <w:szCs w:val="20"/>
                <w:color w:val="auto"/>
              </w:rPr>
            </w:pPr>
            <w:r>
              <w:rPr>
                <w:rFonts w:ascii="Arial" w:cs="Arial" w:eastAsia="Arial" w:hAnsi="Arial"/>
                <w:sz w:val="16"/>
                <w:szCs w:val="16"/>
                <w:color w:val="auto"/>
              </w:rPr>
              <w:t>​ Acquisition-, disposal- and integration-related</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7417A"/>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7417A"/>
            </w:tcBorders>
          </w:tcPr>
          <w:p>
            <w:pPr>
              <w:ind w:left="2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7417A"/>
            </w:tcBorders>
          </w:tcPr>
          <w:p>
            <w:pPr>
              <w:jc w:val="right"/>
              <w:ind w:right="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E7417A"/>
            </w:tcBorders>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E7417A"/>
            </w:tcBorders>
            <w:gridSpan w:val="3"/>
          </w:tcPr>
          <w:p>
            <w:pPr>
              <w:spacing w:after="0"/>
              <w:rPr>
                <w:sz w:val="20"/>
                <w:szCs w:val="20"/>
                <w:color w:val="auto"/>
              </w:rPr>
            </w:pPr>
            <w:r>
              <w:rPr>
                <w:rFonts w:ascii="Arial" w:cs="Arial" w:eastAsia="Arial" w:hAnsi="Arial"/>
                <w:sz w:val="16"/>
                <w:szCs w:val="16"/>
                <w:color w:val="auto"/>
              </w:rPr>
              <w:t>​ Restructuring and related</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7417A"/>
            </w:tcBorders>
          </w:tcPr>
          <w:p>
            <w:pPr>
              <w:jc w:val="right"/>
              <w:ind w:right="19"/>
              <w:spacing w:after="0"/>
              <w:rPr>
                <w:sz w:val="20"/>
                <w:szCs w:val="20"/>
                <w:color w:val="auto"/>
              </w:rPr>
            </w:pPr>
            <w:r>
              <w:rPr>
                <w:rFonts w:ascii="Arial" w:cs="Arial" w:eastAsia="Arial" w:hAnsi="Arial"/>
                <w:sz w:val="16"/>
                <w:szCs w:val="16"/>
                <w:color w:val="auto"/>
              </w:rPr>
              <w:t>5,818</w:t>
            </w:r>
          </w:p>
        </w:tc>
        <w:tc>
          <w:tcPr>
            <w:tcW w:w="12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7417A"/>
            </w:tcBorders>
          </w:tcPr>
          <w:p>
            <w:pPr>
              <w:ind w:left="2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4,342</w:t>
            </w:r>
          </w:p>
        </w:tc>
        <w:tc>
          <w:tcPr>
            <w:tcW w:w="10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7417A"/>
            </w:tcBorders>
          </w:tcPr>
          <w:p>
            <w:pPr>
              <w:jc w:val="right"/>
              <w:ind w:right="99"/>
              <w:spacing w:after="0"/>
              <w:rPr>
                <w:sz w:val="20"/>
                <w:szCs w:val="20"/>
                <w:color w:val="auto"/>
              </w:rPr>
            </w:pPr>
            <w:r>
              <w:rPr>
                <w:rFonts w:ascii="Arial" w:cs="Arial" w:eastAsia="Arial" w:hAnsi="Arial"/>
                <w:sz w:val="16"/>
                <w:szCs w:val="16"/>
                <w:color w:val="auto"/>
              </w:rPr>
              <w:t>10,160</w:t>
            </w:r>
          </w:p>
        </w:tc>
        <w:tc>
          <w:tcPr>
            <w:tcW w:w="480" w:type="dxa"/>
            <w:vAlign w:val="bottom"/>
            <w:tcBorders>
              <w:bottom w:val="single" w:sz="8" w:color="E7417A"/>
            </w:tcBorders>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EE7AA2"/>
            </w:tcBorders>
            <w:gridSpan w:val="3"/>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Non-GAAP Adjusted EBITDA</w:t>
            </w:r>
          </w:p>
        </w:tc>
        <w:tc>
          <w:tcPr>
            <w:tcW w:w="180" w:type="dxa"/>
            <w:vAlign w:val="bottom"/>
            <w:tcBorders>
              <w:bottom w:val="single" w:sz="8" w:color="EE7AA2"/>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E7AA2"/>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E7AA2"/>
            </w:tcBorders>
            <w:gridSpan w:val="2"/>
          </w:tcPr>
          <w:p>
            <w:pPr>
              <w:jc w:val="right"/>
              <w:ind w:right="19"/>
              <w:spacing w:after="0"/>
              <w:rPr>
                <w:sz w:val="20"/>
                <w:szCs w:val="20"/>
                <w:color w:val="auto"/>
              </w:rPr>
            </w:pPr>
            <w:r>
              <w:rPr>
                <w:rFonts w:ascii="Arial" w:cs="Arial" w:eastAsia="Arial" w:hAnsi="Arial"/>
                <w:sz w:val="16"/>
                <w:szCs w:val="16"/>
                <w:color w:val="auto"/>
              </w:rPr>
              <w:t>​​ 140,835</w:t>
            </w:r>
          </w:p>
        </w:tc>
        <w:tc>
          <w:tcPr>
            <w:tcW w:w="120" w:type="dxa"/>
            <w:vAlign w:val="bottom"/>
            <w:tcBorders>
              <w:bottom w:val="single" w:sz="8" w:color="EE7AA2"/>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E7AA2"/>
            </w:tcBorders>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E7AA2"/>
            </w:tcBorders>
          </w:tcPr>
          <w:p>
            <w:pPr>
              <w:ind w:lef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E7AA2"/>
            </w:tcBorders>
            <w:gridSpan w:val="2"/>
          </w:tcPr>
          <w:p>
            <w:pPr>
              <w:jc w:val="right"/>
              <w:spacing w:after="0"/>
              <w:rPr>
                <w:sz w:val="20"/>
                <w:szCs w:val="20"/>
                <w:color w:val="auto"/>
              </w:rPr>
            </w:pPr>
            <w:r>
              <w:rPr>
                <w:rFonts w:ascii="Arial" w:cs="Arial" w:eastAsia="Arial" w:hAnsi="Arial"/>
                <w:sz w:val="16"/>
                <w:szCs w:val="16"/>
                <w:color w:val="auto"/>
              </w:rPr>
              <w:t>(22,118) ​​</w:t>
            </w:r>
          </w:p>
        </w:tc>
        <w:tc>
          <w:tcPr>
            <w:tcW w:w="220" w:type="dxa"/>
            <w:vAlign w:val="bottom"/>
            <w:tcBorders>
              <w:bottom w:val="single" w:sz="8" w:color="EE7AA2"/>
            </w:tcBorders>
          </w:tcPr>
          <w:p>
            <w:pPr>
              <w:ind w:left="1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E7AA2"/>
            </w:tcBorders>
            <w:gridSpan w:val="2"/>
          </w:tcPr>
          <w:p>
            <w:pPr>
              <w:jc w:val="right"/>
              <w:ind w:right="99"/>
              <w:spacing w:after="0"/>
              <w:rPr>
                <w:sz w:val="20"/>
                <w:szCs w:val="20"/>
                <w:color w:val="auto"/>
              </w:rPr>
            </w:pPr>
            <w:r>
              <w:rPr>
                <w:rFonts w:ascii="Arial" w:cs="Arial" w:eastAsia="Arial" w:hAnsi="Arial"/>
                <w:sz w:val="16"/>
                <w:szCs w:val="16"/>
                <w:color w:val="auto"/>
              </w:rPr>
              <w:t>​​118,717</w:t>
            </w:r>
          </w:p>
        </w:tc>
        <w:tc>
          <w:tcPr>
            <w:tcW w:w="480" w:type="dxa"/>
            <w:vAlign w:val="bottom"/>
            <w:tcBorders>
              <w:bottom w:val="single" w:sz="8" w:color="EE7AA2"/>
            </w:tcBorders>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0" w:type="dxa"/>
            <w:vAlign w:val="bottom"/>
            <w:tcBorders>
              <w:bottom w:val="single" w:sz="8" w:color="EE7AA2"/>
            </w:tcBorders>
          </w:tcPr>
          <w:p>
            <w:pPr>
              <w:spacing w:after="0" w:line="20" w:lineRule="exact"/>
              <w:rPr>
                <w:sz w:val="1"/>
                <w:szCs w:val="1"/>
                <w:color w:val="auto"/>
              </w:rPr>
            </w:pPr>
          </w:p>
        </w:tc>
        <w:tc>
          <w:tcPr>
            <w:tcW w:w="40" w:type="dxa"/>
            <w:vAlign w:val="bottom"/>
            <w:tcBorders>
              <w:bottom w:val="single" w:sz="8" w:color="EE7AA2"/>
            </w:tcBorders>
          </w:tcPr>
          <w:p>
            <w:pPr>
              <w:spacing w:after="0" w:line="20" w:lineRule="exact"/>
              <w:rPr>
                <w:sz w:val="1"/>
                <w:szCs w:val="1"/>
                <w:color w:val="auto"/>
              </w:rPr>
            </w:pPr>
          </w:p>
        </w:tc>
        <w:tc>
          <w:tcPr>
            <w:tcW w:w="4200" w:type="dxa"/>
            <w:vAlign w:val="bottom"/>
            <w:tcBorders>
              <w:bottom w:val="single" w:sz="8" w:color="EE7AA2"/>
            </w:tcBorders>
          </w:tcPr>
          <w:p>
            <w:pPr>
              <w:spacing w:after="0" w:line="20" w:lineRule="exact"/>
              <w:rPr>
                <w:sz w:val="1"/>
                <w:szCs w:val="1"/>
                <w:color w:val="auto"/>
              </w:rPr>
            </w:pPr>
          </w:p>
        </w:tc>
        <w:tc>
          <w:tcPr>
            <w:tcW w:w="180" w:type="dxa"/>
            <w:vAlign w:val="bottom"/>
            <w:tcBorders>
              <w:bottom w:val="single" w:sz="8" w:color="EE7AA2"/>
            </w:tcBorders>
          </w:tcPr>
          <w:p>
            <w:pPr>
              <w:spacing w:after="0" w:line="20" w:lineRule="exact"/>
              <w:rPr>
                <w:sz w:val="1"/>
                <w:szCs w:val="1"/>
                <w:color w:val="auto"/>
              </w:rPr>
            </w:pPr>
          </w:p>
        </w:tc>
        <w:tc>
          <w:tcPr>
            <w:tcW w:w="220" w:type="dxa"/>
            <w:vAlign w:val="bottom"/>
            <w:tcBorders>
              <w:bottom w:val="single" w:sz="8" w:color="EE7AA2"/>
            </w:tcBorders>
          </w:tcPr>
          <w:p>
            <w:pPr>
              <w:spacing w:after="0" w:line="20" w:lineRule="exact"/>
              <w:rPr>
                <w:sz w:val="1"/>
                <w:szCs w:val="1"/>
                <w:color w:val="auto"/>
              </w:rPr>
            </w:pPr>
          </w:p>
        </w:tc>
        <w:tc>
          <w:tcPr>
            <w:tcW w:w="200" w:type="dxa"/>
            <w:vAlign w:val="bottom"/>
            <w:tcBorders>
              <w:bottom w:val="single" w:sz="8" w:color="EE7AA2"/>
            </w:tcBorders>
          </w:tcPr>
          <w:p>
            <w:pPr>
              <w:spacing w:after="0" w:line="20" w:lineRule="exact"/>
              <w:rPr>
                <w:sz w:val="1"/>
                <w:szCs w:val="1"/>
                <w:color w:val="auto"/>
              </w:rPr>
            </w:pPr>
          </w:p>
        </w:tc>
        <w:tc>
          <w:tcPr>
            <w:tcW w:w="680" w:type="dxa"/>
            <w:vAlign w:val="bottom"/>
            <w:tcBorders>
              <w:bottom w:val="single" w:sz="8" w:color="EE7AA2"/>
            </w:tcBorders>
          </w:tcPr>
          <w:p>
            <w:pPr>
              <w:spacing w:after="0" w:line="20" w:lineRule="exact"/>
              <w:rPr>
                <w:sz w:val="1"/>
                <w:szCs w:val="1"/>
                <w:color w:val="auto"/>
              </w:rPr>
            </w:pPr>
          </w:p>
        </w:tc>
        <w:tc>
          <w:tcPr>
            <w:tcW w:w="120" w:type="dxa"/>
            <w:vAlign w:val="bottom"/>
            <w:tcBorders>
              <w:bottom w:val="single" w:sz="8" w:color="EE7AA2"/>
            </w:tcBorders>
          </w:tcPr>
          <w:p>
            <w:pPr>
              <w:spacing w:after="0" w:line="20" w:lineRule="exact"/>
              <w:rPr>
                <w:sz w:val="1"/>
                <w:szCs w:val="1"/>
                <w:color w:val="auto"/>
              </w:rPr>
            </w:pPr>
          </w:p>
        </w:tc>
        <w:tc>
          <w:tcPr>
            <w:tcW w:w="200" w:type="dxa"/>
            <w:vAlign w:val="bottom"/>
            <w:tcBorders>
              <w:bottom w:val="single" w:sz="8" w:color="EE7AA2"/>
            </w:tcBorders>
          </w:tcPr>
          <w:p>
            <w:pPr>
              <w:spacing w:after="0" w:line="20" w:lineRule="exact"/>
              <w:rPr>
                <w:sz w:val="1"/>
                <w:szCs w:val="1"/>
                <w:color w:val="auto"/>
              </w:rPr>
            </w:pPr>
          </w:p>
        </w:tc>
        <w:tc>
          <w:tcPr>
            <w:tcW w:w="300" w:type="dxa"/>
            <w:vAlign w:val="bottom"/>
            <w:tcBorders>
              <w:bottom w:val="single" w:sz="8" w:color="EE7AA2"/>
            </w:tcBorders>
          </w:tcPr>
          <w:p>
            <w:pPr>
              <w:spacing w:after="0" w:line="20" w:lineRule="exact"/>
              <w:rPr>
                <w:sz w:val="1"/>
                <w:szCs w:val="1"/>
                <w:color w:val="auto"/>
              </w:rPr>
            </w:pPr>
          </w:p>
        </w:tc>
        <w:tc>
          <w:tcPr>
            <w:tcW w:w="680" w:type="dxa"/>
            <w:vAlign w:val="bottom"/>
            <w:tcBorders>
              <w:bottom w:val="single" w:sz="8" w:color="EE7AA2"/>
            </w:tcBorders>
          </w:tcPr>
          <w:p>
            <w:pPr>
              <w:spacing w:after="0" w:line="20" w:lineRule="exact"/>
              <w:rPr>
                <w:sz w:val="1"/>
                <w:szCs w:val="1"/>
                <w:color w:val="auto"/>
              </w:rPr>
            </w:pPr>
          </w:p>
        </w:tc>
        <w:tc>
          <w:tcPr>
            <w:tcW w:w="100" w:type="dxa"/>
            <w:vAlign w:val="bottom"/>
            <w:tcBorders>
              <w:bottom w:val="single" w:sz="8" w:color="EE7AA2"/>
            </w:tcBorders>
          </w:tcPr>
          <w:p>
            <w:pPr>
              <w:spacing w:after="0" w:line="20" w:lineRule="exact"/>
              <w:rPr>
                <w:sz w:val="1"/>
                <w:szCs w:val="1"/>
                <w:color w:val="auto"/>
              </w:rPr>
            </w:pPr>
          </w:p>
        </w:tc>
        <w:tc>
          <w:tcPr>
            <w:tcW w:w="220" w:type="dxa"/>
            <w:vAlign w:val="bottom"/>
            <w:tcBorders>
              <w:bottom w:val="single" w:sz="8" w:color="EE7AA2"/>
            </w:tcBorders>
          </w:tcPr>
          <w:p>
            <w:pPr>
              <w:spacing w:after="0" w:line="20" w:lineRule="exact"/>
              <w:rPr>
                <w:sz w:val="1"/>
                <w:szCs w:val="1"/>
                <w:color w:val="auto"/>
              </w:rPr>
            </w:pPr>
          </w:p>
        </w:tc>
        <w:tc>
          <w:tcPr>
            <w:tcW w:w="460" w:type="dxa"/>
            <w:vAlign w:val="bottom"/>
            <w:tcBorders>
              <w:bottom w:val="single" w:sz="8" w:color="EE7AA2"/>
            </w:tcBorders>
          </w:tcPr>
          <w:p>
            <w:pPr>
              <w:spacing w:after="0" w:line="20" w:lineRule="exact"/>
              <w:rPr>
                <w:sz w:val="1"/>
                <w:szCs w:val="1"/>
                <w:color w:val="auto"/>
              </w:rPr>
            </w:pPr>
          </w:p>
        </w:tc>
        <w:tc>
          <w:tcPr>
            <w:tcW w:w="720" w:type="dxa"/>
            <w:vAlign w:val="bottom"/>
            <w:tcBorders>
              <w:bottom w:val="single" w:sz="8" w:color="EE7AA2"/>
            </w:tcBorders>
          </w:tcPr>
          <w:p>
            <w:pPr>
              <w:spacing w:after="0" w:line="20" w:lineRule="exact"/>
              <w:rPr>
                <w:sz w:val="1"/>
                <w:szCs w:val="1"/>
                <w:color w:val="auto"/>
              </w:rPr>
            </w:pPr>
          </w:p>
        </w:tc>
        <w:tc>
          <w:tcPr>
            <w:tcW w:w="480" w:type="dxa"/>
            <w:vAlign w:val="bottom"/>
            <w:tcBorders>
              <w:bottom w:val="single" w:sz="8" w:color="EE7AA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-2648585</wp:posOffset>
            </wp:positionV>
            <wp:extent cx="5563235" cy="26606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563235" cy="26606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16"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62259D"/>
        </w:rPr>
        <w:t>APPENDIX B</w:t>
      </w:r>
    </w:p>
    <w:p>
      <w:pPr>
        <w:spacing w:after="0" w:line="146" w:lineRule="exact"/>
        <w:rPr>
          <w:sz w:val="20"/>
          <w:szCs w:val="20"/>
          <w:color w:val="auto"/>
        </w:rPr>
      </w:pPr>
    </w:p>
    <w:p>
      <w:pPr>
        <w:ind w:left="3360"/>
        <w:spacing w:after="0"/>
        <w:rPr>
          <w:sz w:val="20"/>
          <w:szCs w:val="20"/>
          <w:color w:val="auto"/>
        </w:rPr>
      </w:pPr>
      <w:r>
        <w:rPr>
          <w:rFonts w:ascii="Arial" w:cs="Arial" w:eastAsia="Arial" w:hAnsi="Arial"/>
          <w:sz w:val="20"/>
          <w:szCs w:val="20"/>
          <w:b w:val="1"/>
          <w:bCs w:val="1"/>
          <w:color w:val="E7417A"/>
        </w:rPr>
        <w:t>THIRD CERTIFICATE OF AMENDMENT</w:t>
      </w:r>
    </w:p>
    <w:p>
      <w:pPr>
        <w:spacing w:after="0" w:line="33"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E7417A"/>
        </w:rPr>
        <w:t>OF</w:t>
      </w:r>
    </w:p>
    <w:p>
      <w:pPr>
        <w:jc w:val="center"/>
        <w:ind w:right="-740"/>
        <w:spacing w:after="0"/>
        <w:rPr>
          <w:sz w:val="20"/>
          <w:szCs w:val="20"/>
          <w:color w:val="auto"/>
        </w:rPr>
      </w:pPr>
      <w:r>
        <w:rPr>
          <w:rFonts w:ascii="Arial" w:cs="Arial" w:eastAsia="Arial" w:hAnsi="Arial"/>
          <w:sz w:val="20"/>
          <w:szCs w:val="20"/>
          <w:b w:val="1"/>
          <w:bCs w:val="1"/>
          <w:color w:val="E7417A"/>
        </w:rPr>
        <w:t>THE RESTATED CERTIFICATE OF INCORPORATION</w:t>
      </w:r>
    </w:p>
    <w:p>
      <w:pPr>
        <w:jc w:val="center"/>
        <w:ind w:right="-740"/>
        <w:spacing w:after="0"/>
        <w:rPr>
          <w:sz w:val="20"/>
          <w:szCs w:val="20"/>
          <w:color w:val="auto"/>
        </w:rPr>
      </w:pPr>
      <w:r>
        <w:rPr>
          <w:rFonts w:ascii="Arial" w:cs="Arial" w:eastAsia="Arial" w:hAnsi="Arial"/>
          <w:sz w:val="20"/>
          <w:szCs w:val="20"/>
          <w:b w:val="1"/>
          <w:bCs w:val="1"/>
          <w:color w:val="E7417A"/>
        </w:rPr>
        <w:t>OF</w:t>
      </w:r>
    </w:p>
    <w:p>
      <w:pPr>
        <w:spacing w:after="0" w:line="13" w:lineRule="exact"/>
        <w:rPr>
          <w:sz w:val="20"/>
          <w:szCs w:val="20"/>
          <w:color w:val="auto"/>
        </w:rPr>
      </w:pPr>
    </w:p>
    <w:p>
      <w:pPr>
        <w:jc w:val="center"/>
        <w:ind w:right="-820"/>
        <w:spacing w:after="0"/>
        <w:rPr>
          <w:sz w:val="20"/>
          <w:szCs w:val="20"/>
          <w:color w:val="auto"/>
        </w:rPr>
      </w:pPr>
      <w:r>
        <w:rPr>
          <w:rFonts w:ascii="Arial" w:cs="Arial" w:eastAsia="Arial" w:hAnsi="Arial"/>
          <w:sz w:val="20"/>
          <w:szCs w:val="20"/>
          <w:b w:val="1"/>
          <w:bCs w:val="1"/>
          <w:color w:val="E7417A"/>
        </w:rPr>
        <w:t>RIBBON COMMUNICATIONS INC.</w:t>
      </w:r>
    </w:p>
    <w:p>
      <w:pPr>
        <w:spacing w:after="0" w:line="133"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E7417A"/>
        </w:rPr>
        <w:t>(Pursuant to Section 242 of the General Corporation Law of the State of Delaware)</w:t>
      </w:r>
    </w:p>
    <w:p>
      <w:pPr>
        <w:spacing w:after="0" w:line="144" w:lineRule="exact"/>
        <w:rPr>
          <w:sz w:val="20"/>
          <w:szCs w:val="20"/>
          <w:color w:val="auto"/>
        </w:rPr>
      </w:pPr>
    </w:p>
    <w:p>
      <w:pPr>
        <w:ind w:left="920" w:right="319"/>
        <w:spacing w:after="0" w:line="271" w:lineRule="auto"/>
        <w:rPr>
          <w:sz w:val="20"/>
          <w:szCs w:val="20"/>
          <w:color w:val="auto"/>
        </w:rPr>
      </w:pPr>
      <w:r>
        <w:rPr>
          <w:rFonts w:ascii="Arial" w:cs="Arial" w:eastAsia="Arial" w:hAnsi="Arial"/>
          <w:sz w:val="18"/>
          <w:szCs w:val="18"/>
          <w:color w:val="auto"/>
        </w:rPr>
        <w:t>Ribbon Communications Inc., a Delaware corporation (hereinafter called the “</w:t>
      </w:r>
      <w:r>
        <w:rPr>
          <w:rFonts w:ascii="Arial" w:cs="Arial" w:eastAsia="Arial" w:hAnsi="Arial"/>
          <w:sz w:val="18"/>
          <w:szCs w:val="18"/>
          <w:u w:val="single" w:color="auto"/>
          <w:color w:val="auto"/>
        </w:rPr>
        <w:t>Corporation</w:t>
      </w:r>
      <w:r>
        <w:rPr>
          <w:rFonts w:ascii="Arial" w:cs="Arial" w:eastAsia="Arial" w:hAnsi="Arial"/>
          <w:sz w:val="18"/>
          <w:szCs w:val="18"/>
          <w:color w:val="auto"/>
        </w:rPr>
        <w:t>”), does hereby certify as follows:</w:t>
      </w:r>
    </w:p>
    <w:p>
      <w:pPr>
        <w:spacing w:after="0" w:line="86" w:lineRule="exact"/>
        <w:rPr>
          <w:sz w:val="20"/>
          <w:szCs w:val="20"/>
          <w:color w:val="auto"/>
        </w:rPr>
      </w:pPr>
    </w:p>
    <w:p>
      <w:pPr>
        <w:ind w:left="1280" w:right="159"/>
        <w:spacing w:after="0" w:line="248"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The Board of Directors of the Corporation duly adopted resolutions, pursuant to Section 242 of the General Corporation Law of the State of Delaware (“</w:t>
      </w:r>
      <w:r>
        <w:rPr>
          <w:rFonts w:ascii="Arial" w:cs="Arial" w:eastAsia="Arial" w:hAnsi="Arial"/>
          <w:sz w:val="18"/>
          <w:szCs w:val="18"/>
          <w:u w:val="single" w:color="auto"/>
          <w:color w:val="auto"/>
        </w:rPr>
        <w:t>DGCL</w:t>
      </w:r>
      <w:r>
        <w:rPr>
          <w:rFonts w:ascii="Arial" w:cs="Arial" w:eastAsia="Arial" w:hAnsi="Arial"/>
          <w:sz w:val="18"/>
          <w:szCs w:val="18"/>
          <w:color w:val="auto"/>
        </w:rPr>
        <w:t>”), setting forth a proposed amendment to the Restated Certificate of Incorporation, as amended, of the Corporation (the “</w:t>
      </w:r>
      <w:r>
        <w:rPr>
          <w:rFonts w:ascii="Arial" w:cs="Arial" w:eastAsia="Arial" w:hAnsi="Arial"/>
          <w:sz w:val="18"/>
          <w:szCs w:val="18"/>
          <w:u w:val="single" w:color="auto"/>
          <w:color w:val="auto"/>
        </w:rPr>
        <w:t>Certificate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Incorporation</w:t>
      </w:r>
      <w:r>
        <w:rPr>
          <w:rFonts w:ascii="Arial" w:cs="Arial" w:eastAsia="Arial" w:hAnsi="Arial"/>
          <w:sz w:val="18"/>
          <w:szCs w:val="18"/>
          <w:color w:val="auto"/>
        </w:rPr>
        <w:t>”) and declaring said amendment to be advisable and in the best interests of the Corporation and its stockholders and asking for the amendment to be submitted to the stockholders of the Corporation for consideration thereof. The amendment is as follows:</w:t>
      </w:r>
    </w:p>
    <w:p>
      <w:pPr>
        <w:spacing w:after="0" w:line="10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following paragraph hereby replaces the first paragraph of Article IV of the Certificate of</w:t>
      </w:r>
    </w:p>
    <w:p>
      <w:pPr>
        <w:spacing w:after="0" w:line="1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Incorporation:</w:t>
      </w:r>
    </w:p>
    <w:p>
      <w:pPr>
        <w:spacing w:after="0" w:line="126" w:lineRule="exact"/>
        <w:rPr>
          <w:sz w:val="20"/>
          <w:szCs w:val="20"/>
          <w:color w:val="auto"/>
        </w:rPr>
      </w:pPr>
    </w:p>
    <w:p>
      <w:pPr>
        <w:ind w:left="1640" w:right="219"/>
        <w:spacing w:after="0" w:line="271" w:lineRule="auto"/>
        <w:rPr>
          <w:sz w:val="20"/>
          <w:szCs w:val="20"/>
          <w:color w:val="auto"/>
        </w:rPr>
      </w:pPr>
      <w:r>
        <w:rPr>
          <w:rFonts w:ascii="Arial" w:cs="Arial" w:eastAsia="Arial" w:hAnsi="Arial"/>
          <w:sz w:val="18"/>
          <w:szCs w:val="18"/>
          <w:color w:val="auto"/>
        </w:rPr>
        <w:t>“The total number of shares of all classes of stock that the Corporation shall have the authority to issue is 400,000,000 shares, consisting solely of:</w:t>
      </w:r>
    </w:p>
    <w:p>
      <w:pPr>
        <w:spacing w:after="0" w:line="8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390,000,000 shares of common stock, par value $0.0001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w:t>
      </w:r>
    </w:p>
    <w:p>
      <w:pPr>
        <w:spacing w:after="0" w:line="14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10,000,000 shares of preferred stock, par value $0.01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144" w:lineRule="exact"/>
        <w:rPr>
          <w:sz w:val="20"/>
          <w:szCs w:val="20"/>
          <w:color w:val="auto"/>
        </w:rPr>
      </w:pPr>
    </w:p>
    <w:p>
      <w:pPr>
        <w:ind w:left="1280" w:right="339"/>
        <w:spacing w:after="0" w:line="271"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That the stockholders of the corporation have duly approved the foregoing amendment in accordance with the provisions of Section 242 of the DGCL.</w:t>
      </w:r>
    </w:p>
    <w:p>
      <w:pPr>
        <w:spacing w:after="0" w:line="86" w:lineRule="exact"/>
        <w:rPr>
          <w:sz w:val="20"/>
          <w:szCs w:val="20"/>
          <w:color w:val="auto"/>
        </w:rPr>
      </w:pPr>
    </w:p>
    <w:p>
      <w:pPr>
        <w:ind w:left="1280" w:right="159"/>
        <w:spacing w:after="0" w:line="287"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This Third Certificate of Amendment shall be effective at 5:00 p.m., Eastern Time, on May      , 2025.</w:t>
      </w:r>
    </w:p>
    <w:p>
      <w:pPr>
        <w:spacing w:after="0" w:line="72" w:lineRule="exact"/>
        <w:rPr>
          <w:sz w:val="20"/>
          <w:szCs w:val="20"/>
          <w:color w:val="auto"/>
        </w:rPr>
      </w:pPr>
    </w:p>
    <w:p>
      <w:pPr>
        <w:ind w:left="920" w:right="439"/>
        <w:spacing w:after="0" w:line="271" w:lineRule="auto"/>
        <w:rPr>
          <w:sz w:val="20"/>
          <w:szCs w:val="20"/>
          <w:color w:val="auto"/>
        </w:rPr>
      </w:pPr>
      <w:r>
        <w:rPr>
          <w:rFonts w:ascii="Arial" w:cs="Arial" w:eastAsia="Arial" w:hAnsi="Arial"/>
          <w:sz w:val="18"/>
          <w:szCs w:val="18"/>
          <w:color w:val="auto"/>
        </w:rPr>
        <w:t>IN WITNESS WHEREOF, the Corporation has caused this Second Certificate of Amendment to be duly executed in its corporate name this               day of May, 2025.</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680" w:type="dxa"/>
            <w:vAlign w:val="bottom"/>
            <w:gridSpan w:val="3"/>
          </w:tcPr>
          <w:p>
            <w:pPr>
              <w:ind w:left="2140"/>
              <w:spacing w:after="0"/>
              <w:rPr>
                <w:sz w:val="20"/>
                <w:szCs w:val="20"/>
                <w:color w:val="auto"/>
              </w:rPr>
            </w:pPr>
            <w:r>
              <w:rPr>
                <w:rFonts w:ascii="Arial" w:cs="Arial" w:eastAsia="Arial" w:hAnsi="Arial"/>
                <w:sz w:val="18"/>
                <w:szCs w:val="18"/>
                <w:b w:val="1"/>
                <w:bCs w:val="1"/>
                <w:color w:val="auto"/>
              </w:rPr>
              <w:t>​ ​ RIBBON COMMUNICATIONS INC.</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9"/>
        </w:trPr>
        <w:tc>
          <w:tcPr>
            <w:tcW w:w="218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tcPr>
          <w:p>
            <w:pPr>
              <w:ind w:left="214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180" w:type="dxa"/>
            <w:vAlign w:val="bottom"/>
            <w:vMerge w:val="restart"/>
          </w:tcPr>
          <w:p>
            <w:pPr>
              <w:spacing w:after="0"/>
              <w:rPr>
                <w:sz w:val="20"/>
                <w:szCs w:val="20"/>
                <w:color w:val="auto"/>
              </w:rPr>
            </w:pPr>
            <w:r>
              <w:rPr>
                <w:rFonts w:ascii="Arial" w:cs="Arial" w:eastAsia="Arial" w:hAnsi="Arial"/>
                <w:sz w:val="18"/>
                <w:szCs w:val="18"/>
                <w:color w:val="auto"/>
              </w:rPr>
              <w:t>​</w:t>
            </w:r>
          </w:p>
        </w:tc>
        <w:tc>
          <w:tcPr>
            <w:tcW w:w="2340" w:type="dxa"/>
            <w:vAlign w:val="bottom"/>
            <w:vMerge w:val="restart"/>
          </w:tcPr>
          <w:p>
            <w:pPr>
              <w:ind w:left="2140"/>
              <w:spacing w:after="0"/>
              <w:rPr>
                <w:sz w:val="20"/>
                <w:szCs w:val="20"/>
                <w:color w:val="auto"/>
              </w:rPr>
            </w:pPr>
            <w:r>
              <w:rPr>
                <w:rFonts w:ascii="Arial" w:cs="Arial" w:eastAsia="Arial" w:hAnsi="Arial"/>
                <w:sz w:val="18"/>
                <w:szCs w:val="18"/>
                <w:color w:val="auto"/>
              </w:rPr>
              <w:t>​ ​</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By: /s/ Patrick Macken</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2180" w:type="dxa"/>
            <w:vAlign w:val="bottom"/>
            <w:vMerge w:val="continue"/>
          </w:tcPr>
          <w:p>
            <w:pPr>
              <w:spacing w:after="0"/>
              <w:rPr>
                <w:sz w:val="2"/>
                <w:szCs w:val="2"/>
                <w:color w:val="auto"/>
              </w:rPr>
            </w:pPr>
          </w:p>
        </w:tc>
        <w:tc>
          <w:tcPr>
            <w:tcW w:w="234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180" w:type="dxa"/>
            <w:vAlign w:val="bottom"/>
            <w:vMerge w:val="continue"/>
          </w:tcPr>
          <w:p>
            <w:pPr>
              <w:spacing w:after="0"/>
              <w:rPr>
                <w:sz w:val="16"/>
                <w:szCs w:val="16"/>
                <w:color w:val="auto"/>
              </w:rPr>
            </w:pPr>
          </w:p>
        </w:tc>
        <w:tc>
          <w:tcPr>
            <w:tcW w:w="2340" w:type="dxa"/>
            <w:vAlign w:val="bottom"/>
            <w:vMerge w:val="continue"/>
          </w:tcPr>
          <w:p>
            <w:pPr>
              <w:spacing w:after="0"/>
              <w:rPr>
                <w:sz w:val="16"/>
                <w:szCs w:val="16"/>
                <w:color w:val="auto"/>
              </w:rPr>
            </w:pPr>
          </w:p>
        </w:tc>
        <w:tc>
          <w:tcPr>
            <w:tcW w:w="4340" w:type="dxa"/>
            <w:vAlign w:val="bottom"/>
            <w:gridSpan w:val="2"/>
            <w:vMerge w:val="restart"/>
          </w:tcPr>
          <w:p>
            <w:pPr>
              <w:ind w:left="380"/>
              <w:spacing w:after="0"/>
              <w:rPr>
                <w:sz w:val="20"/>
                <w:szCs w:val="20"/>
                <w:color w:val="auto"/>
              </w:rPr>
            </w:pPr>
            <w:r>
              <w:rPr>
                <w:rFonts w:ascii="Arial" w:cs="Arial" w:eastAsia="Arial" w:hAnsi="Arial"/>
                <w:sz w:val="18"/>
                <w:szCs w:val="18"/>
                <w:color w:val="auto"/>
              </w:rPr>
              <w:t>Name: Patrick W. Macken</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180" w:type="dxa"/>
            <w:vAlign w:val="bottom"/>
            <w:vMerge w:val="restart"/>
          </w:tcPr>
          <w:p>
            <w:pPr>
              <w:spacing w:after="0"/>
              <w:rPr>
                <w:sz w:val="20"/>
                <w:szCs w:val="20"/>
                <w:color w:val="auto"/>
              </w:rPr>
            </w:pPr>
            <w:r>
              <w:rPr>
                <w:rFonts w:ascii="Arial" w:cs="Arial" w:eastAsia="Arial" w:hAnsi="Arial"/>
                <w:sz w:val="18"/>
                <w:szCs w:val="18"/>
                <w:color w:val="auto"/>
              </w:rPr>
              <w:t>​</w:t>
            </w:r>
          </w:p>
        </w:tc>
        <w:tc>
          <w:tcPr>
            <w:tcW w:w="2340" w:type="dxa"/>
            <w:vAlign w:val="bottom"/>
            <w:vMerge w:val="restart"/>
          </w:tcPr>
          <w:p>
            <w:pPr>
              <w:ind w:left="2140"/>
              <w:spacing w:after="0"/>
              <w:rPr>
                <w:sz w:val="20"/>
                <w:szCs w:val="20"/>
                <w:color w:val="auto"/>
              </w:rPr>
            </w:pPr>
            <w:r>
              <w:rPr>
                <w:rFonts w:ascii="Arial" w:cs="Arial" w:eastAsia="Arial" w:hAnsi="Arial"/>
                <w:sz w:val="18"/>
                <w:szCs w:val="18"/>
                <w:color w:val="auto"/>
              </w:rPr>
              <w:t>​ ​</w:t>
            </w:r>
          </w:p>
        </w:tc>
        <w:tc>
          <w:tcPr>
            <w:tcW w:w="4340" w:type="dxa"/>
            <w:vAlign w:val="bottom"/>
            <w:gridSpan w:val="2"/>
            <w:vMerge w:val="continue"/>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180" w:type="dxa"/>
            <w:vAlign w:val="bottom"/>
            <w:vMerge w:val="continue"/>
          </w:tcPr>
          <w:p>
            <w:pPr>
              <w:spacing w:after="0"/>
              <w:rPr>
                <w:sz w:val="20"/>
                <w:szCs w:val="20"/>
                <w:color w:val="auto"/>
              </w:rPr>
            </w:pPr>
          </w:p>
        </w:tc>
        <w:tc>
          <w:tcPr>
            <w:tcW w:w="2340" w:type="dxa"/>
            <w:vAlign w:val="bottom"/>
            <w:vMerge w:val="continue"/>
          </w:tcPr>
          <w:p>
            <w:pPr>
              <w:spacing w:after="0"/>
              <w:rPr>
                <w:sz w:val="20"/>
                <w:szCs w:val="20"/>
                <w:color w:val="auto"/>
              </w:rPr>
            </w:pPr>
          </w:p>
        </w:tc>
        <w:tc>
          <w:tcPr>
            <w:tcW w:w="4340" w:type="dxa"/>
            <w:vAlign w:val="bottom"/>
            <w:gridSpan w:val="2"/>
          </w:tcPr>
          <w:p>
            <w:pPr>
              <w:ind w:left="380"/>
              <w:spacing w:after="0"/>
              <w:rPr>
                <w:sz w:val="20"/>
                <w:szCs w:val="20"/>
                <w:color w:val="auto"/>
              </w:rPr>
            </w:pPr>
            <w:r>
              <w:rPr>
                <w:rFonts w:ascii="Arial" w:cs="Arial" w:eastAsia="Arial" w:hAnsi="Arial"/>
                <w:sz w:val="18"/>
                <w:szCs w:val="18"/>
                <w:color w:val="auto"/>
              </w:rPr>
              <w:t>Title:   Executive Vice President, Chief Legal</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1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960" w:type="dxa"/>
            <w:vAlign w:val="bottom"/>
          </w:tcPr>
          <w:p>
            <w:pPr>
              <w:ind w:left="640"/>
              <w:spacing w:after="0"/>
              <w:rPr>
                <w:sz w:val="20"/>
                <w:szCs w:val="20"/>
                <w:color w:val="auto"/>
              </w:rPr>
            </w:pPr>
            <w:r>
              <w:rPr>
                <w:rFonts w:ascii="Arial" w:cs="Arial" w:eastAsia="Arial" w:hAnsi="Arial"/>
                <w:sz w:val="18"/>
                <w:szCs w:val="18"/>
                <w:color w:val="auto"/>
              </w:rPr>
              <w:t>Officer and Corporate Secretary</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16"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62259D"/>
        </w:rPr>
        <w:t>APPENDIX C</w:t>
      </w:r>
    </w:p>
    <w:p>
      <w:pPr>
        <w:spacing w:after="0" w:line="146" w:lineRule="exact"/>
        <w:rPr>
          <w:sz w:val="20"/>
          <w:szCs w:val="20"/>
          <w:color w:val="auto"/>
        </w:rPr>
      </w:pPr>
    </w:p>
    <w:p>
      <w:pPr>
        <w:jc w:val="right"/>
        <w:ind w:right="2879"/>
        <w:spacing w:after="0"/>
        <w:rPr>
          <w:sz w:val="20"/>
          <w:szCs w:val="20"/>
          <w:color w:val="auto"/>
        </w:rPr>
      </w:pPr>
      <w:r>
        <w:rPr>
          <w:rFonts w:ascii="Arial" w:cs="Arial" w:eastAsia="Arial" w:hAnsi="Arial"/>
          <w:sz w:val="20"/>
          <w:szCs w:val="20"/>
          <w:b w:val="1"/>
          <w:bCs w:val="1"/>
          <w:color w:val="E7417A"/>
        </w:rPr>
        <w:t>RIBBON COMMUNICATIONS INC.</w:t>
      </w:r>
    </w:p>
    <w:p>
      <w:pPr>
        <w:spacing w:after="0" w:line="20" w:lineRule="exact"/>
        <w:rPr>
          <w:sz w:val="20"/>
          <w:szCs w:val="20"/>
          <w:color w:val="auto"/>
        </w:rPr>
      </w:pPr>
    </w:p>
    <w:p>
      <w:pPr>
        <w:jc w:val="right"/>
        <w:ind w:right="2939"/>
        <w:spacing w:after="0"/>
        <w:rPr>
          <w:sz w:val="20"/>
          <w:szCs w:val="20"/>
          <w:color w:val="auto"/>
        </w:rPr>
      </w:pPr>
      <w:r>
        <w:rPr>
          <w:rFonts w:ascii="Arial" w:cs="Arial" w:eastAsia="Arial" w:hAnsi="Arial"/>
          <w:sz w:val="20"/>
          <w:szCs w:val="20"/>
          <w:b w:val="1"/>
          <w:bCs w:val="1"/>
          <w:color w:val="E7417A"/>
        </w:rPr>
        <w:t>2025 INCENTIVE AWARD PLAN</w:t>
      </w:r>
    </w:p>
    <w:p>
      <w:pPr>
        <w:spacing w:after="0" w:line="135" w:lineRule="exact"/>
        <w:rPr>
          <w:sz w:val="20"/>
          <w:szCs w:val="20"/>
          <w:color w:val="auto"/>
        </w:rPr>
      </w:pPr>
    </w:p>
    <w:p>
      <w:pPr>
        <w:ind w:left="1280" w:hanging="356"/>
        <w:spacing w:after="0"/>
        <w:tabs>
          <w:tab w:leader="none" w:pos="1280" w:val="left"/>
        </w:tabs>
        <w:numPr>
          <w:ilvl w:val="0"/>
          <w:numId w:val="157"/>
        </w:numPr>
        <w:rPr>
          <w:rFonts w:ascii="Arial" w:cs="Arial" w:eastAsia="Arial" w:hAnsi="Arial"/>
          <w:sz w:val="18"/>
          <w:szCs w:val="18"/>
          <w:i w:val="1"/>
          <w:iCs w:val="1"/>
          <w:color w:val="auto"/>
        </w:rPr>
      </w:pPr>
      <w:r>
        <w:rPr>
          <w:rFonts w:ascii="Arial" w:cs="Arial" w:eastAsia="Arial" w:hAnsi="Arial"/>
          <w:sz w:val="18"/>
          <w:szCs w:val="18"/>
          <w:i w:val="1"/>
          <w:iCs w:val="1"/>
          <w:color w:val="auto"/>
        </w:rPr>
        <w:t>Purpose; Effective Date.</w:t>
      </w:r>
    </w:p>
    <w:p>
      <w:pPr>
        <w:spacing w:after="0" w:line="142" w:lineRule="exact"/>
        <w:rPr>
          <w:rFonts w:ascii="Arial" w:cs="Arial" w:eastAsia="Arial" w:hAnsi="Arial"/>
          <w:sz w:val="18"/>
          <w:szCs w:val="18"/>
          <w:i w:val="1"/>
          <w:iCs w:val="1"/>
          <w:color w:val="auto"/>
        </w:rPr>
      </w:pPr>
    </w:p>
    <w:p>
      <w:pPr>
        <w:ind w:left="1640" w:right="99" w:hanging="356"/>
        <w:spacing w:after="0" w:line="242" w:lineRule="auto"/>
        <w:tabs>
          <w:tab w:leader="none" w:pos="1640" w:val="left"/>
        </w:tabs>
        <w:numPr>
          <w:ilvl w:val="1"/>
          <w:numId w:val="157"/>
        </w:numPr>
        <w:rPr>
          <w:rFonts w:ascii="Arial" w:cs="Arial" w:eastAsia="Arial" w:hAnsi="Arial"/>
          <w:sz w:val="18"/>
          <w:szCs w:val="18"/>
          <w:color w:val="auto"/>
        </w:rPr>
      </w:pPr>
      <w:r>
        <w:rPr>
          <w:rFonts w:ascii="Arial" w:cs="Arial" w:eastAsia="Arial" w:hAnsi="Arial"/>
          <w:sz w:val="18"/>
          <w:szCs w:val="18"/>
          <w:i w:val="1"/>
          <w:iCs w:val="1"/>
          <w:color w:val="auto"/>
        </w:rPr>
        <w:t>Purpose of the Plan</w:t>
      </w:r>
      <w:r>
        <w:rPr>
          <w:rFonts w:ascii="Arial" w:cs="Arial" w:eastAsia="Arial" w:hAnsi="Arial"/>
          <w:sz w:val="18"/>
          <w:szCs w:val="18"/>
          <w:color w:val="auto"/>
        </w:rPr>
        <w:t>. The purpose of this Ribbon Communications Inc. 2025 Incentive Award</w:t>
      </w:r>
      <w:r>
        <w:rPr>
          <w:rFonts w:ascii="Arial" w:cs="Arial" w:eastAsia="Arial" w:hAnsi="Arial"/>
          <w:sz w:val="18"/>
          <w:szCs w:val="18"/>
          <w:i w:val="1"/>
          <w:iCs w:val="1"/>
          <w:color w:val="auto"/>
        </w:rPr>
        <w:t xml:space="preserve"> </w:t>
      </w:r>
      <w:r>
        <w:rPr>
          <w:rFonts w:ascii="Arial" w:cs="Arial" w:eastAsia="Arial" w:hAnsi="Arial"/>
          <w:sz w:val="18"/>
          <w:szCs w:val="18"/>
          <w:color w:val="auto"/>
        </w:rPr>
        <w:t>Plan (as may be further amended from time to time, the “Plan”) is to advance the interests of the stockholders of Ribbon Communications Inc., a Delaware corporation (the “Company”), by enhancing the Company’s ability to attract, retain and motivate persons who are expected to make important contributions to the Company and by providing such persons with equity ownership opportunities and performance-based incentives that are intended to align their interests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parent or subsidiary of the Company as defined and interpreted for purposes of Form S-8 under the Securities Act of 1933, as amended (the “Securities Act”) or any successor form).</w:t>
      </w:r>
    </w:p>
    <w:p>
      <w:pPr>
        <w:spacing w:after="0" w:line="114" w:lineRule="exact"/>
        <w:rPr>
          <w:rFonts w:ascii="Arial" w:cs="Arial" w:eastAsia="Arial" w:hAnsi="Arial"/>
          <w:sz w:val="18"/>
          <w:szCs w:val="18"/>
          <w:color w:val="auto"/>
        </w:rPr>
      </w:pPr>
    </w:p>
    <w:p>
      <w:pPr>
        <w:ind w:left="1640" w:right="199" w:hanging="356"/>
        <w:spacing w:after="0" w:line="242" w:lineRule="auto"/>
        <w:tabs>
          <w:tab w:leader="none" w:pos="1640" w:val="left"/>
        </w:tabs>
        <w:numPr>
          <w:ilvl w:val="1"/>
          <w:numId w:val="157"/>
        </w:numPr>
        <w:rPr>
          <w:rFonts w:ascii="Arial" w:cs="Arial" w:eastAsia="Arial" w:hAnsi="Arial"/>
          <w:sz w:val="18"/>
          <w:szCs w:val="18"/>
          <w:color w:val="auto"/>
        </w:rPr>
      </w:pPr>
      <w:r>
        <w:rPr>
          <w:rFonts w:ascii="Arial" w:cs="Arial" w:eastAsia="Arial" w:hAnsi="Arial"/>
          <w:sz w:val="18"/>
          <w:szCs w:val="18"/>
          <w:i w:val="1"/>
          <w:iCs w:val="1"/>
          <w:color w:val="auto"/>
        </w:rPr>
        <w:t>Effective Date</w:t>
      </w:r>
      <w:r>
        <w:rPr>
          <w:rFonts w:ascii="Arial" w:cs="Arial" w:eastAsia="Arial" w:hAnsi="Arial"/>
          <w:sz w:val="18"/>
          <w:szCs w:val="18"/>
          <w:color w:val="auto"/>
        </w:rPr>
        <w:t>. The Board of Directors of the Company (the “Board”) adopted the Plan on</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19, 2025 (the “Effective Date”), subject to approval by the stockholders of the Company within twelve (12) months after the Board’s adoption of the Plan. The terms of the Plan are set forth herein. Awards, other than Restricted Stock or similar Awards under which shares of Common Stock are issued as of the grant date of the Award, may be granted on and after the Effective Date; but no such Awards may be exercised, vested, paid or otherwise settled, or any shares of Common Stock issued with respect thereto, until the stockholders of the Company approve the Plan. Restricted Stock and similar Awards under which shares of Common Stock are issued as of the grant date of the Award may only be granted if and after the stockholders of the Company approve the Plan. No awards may be granted under the Company’s Amended and Restated Stock Incentive Plan, the Company’s 2008 Stock Incentive Plan, the Company’s 2012 Amended Performance Technologies, Incorporated Omnibus Incentive Plan or the Company’s Amended and Restated 2019 Incentive Award Plan (collectively, the “Prior Plans”) on or after the Effective Date. To the extent the Plan is not approved by the Company’s stockholders at its 2025 annual meeting of stockholders, however, the Plan shall not become effective, the Company’s 2019 Incentive Award Plan, as approved by the Company’s stockholders on April 27, 2020, will remain in effect in accordance with its terms, and awards may be granted under the Company’s 2019 Incentive Award Plan, to the extent available thereunder, as so approved, on and after the date of the 2025 annual meeting of stockholders without regard for the terms herein. Notwithstanding anything herein to the contrary, the adoption of the Plan will not affect the terms and conditions of any award outstanding as of the Effective Date under any of the Prior Plans.</w:t>
      </w:r>
    </w:p>
    <w:p>
      <w:pPr>
        <w:spacing w:after="0" w:line="101" w:lineRule="exact"/>
        <w:rPr>
          <w:rFonts w:ascii="Arial" w:cs="Arial" w:eastAsia="Arial" w:hAnsi="Arial"/>
          <w:sz w:val="18"/>
          <w:szCs w:val="18"/>
          <w:color w:val="auto"/>
        </w:rPr>
      </w:pPr>
    </w:p>
    <w:p>
      <w:pPr>
        <w:ind w:left="1280" w:hanging="356"/>
        <w:spacing w:after="0"/>
        <w:tabs>
          <w:tab w:leader="none" w:pos="1280" w:val="left"/>
        </w:tabs>
        <w:numPr>
          <w:ilvl w:val="0"/>
          <w:numId w:val="157"/>
        </w:numPr>
        <w:rPr>
          <w:rFonts w:ascii="Arial" w:cs="Arial" w:eastAsia="Arial" w:hAnsi="Arial"/>
          <w:sz w:val="18"/>
          <w:szCs w:val="18"/>
          <w:i w:val="1"/>
          <w:iCs w:val="1"/>
          <w:color w:val="auto"/>
        </w:rPr>
      </w:pPr>
      <w:r>
        <w:rPr>
          <w:rFonts w:ascii="Arial" w:cs="Arial" w:eastAsia="Arial" w:hAnsi="Arial"/>
          <w:sz w:val="18"/>
          <w:szCs w:val="18"/>
          <w:i w:val="1"/>
          <w:iCs w:val="1"/>
          <w:color w:val="auto"/>
        </w:rPr>
        <w:t>Eligibility.</w:t>
      </w:r>
    </w:p>
    <w:p>
      <w:pPr>
        <w:spacing w:after="0" w:line="128" w:lineRule="exact"/>
        <w:rPr>
          <w:rFonts w:ascii="Arial" w:cs="Arial" w:eastAsia="Arial" w:hAnsi="Arial"/>
          <w:sz w:val="18"/>
          <w:szCs w:val="18"/>
          <w:i w:val="1"/>
          <w:iCs w:val="1"/>
          <w:color w:val="auto"/>
        </w:rPr>
      </w:pPr>
    </w:p>
    <w:p>
      <w:pPr>
        <w:ind w:left="1280" w:right="139"/>
        <w:spacing w:after="0" w:line="236" w:lineRule="auto"/>
        <w:rPr>
          <w:rFonts w:ascii="Arial" w:cs="Arial" w:eastAsia="Arial" w:hAnsi="Arial"/>
          <w:sz w:val="18"/>
          <w:szCs w:val="18"/>
          <w:i w:val="1"/>
          <w:iCs w:val="1"/>
          <w:color w:val="auto"/>
        </w:rPr>
      </w:pPr>
      <w:r>
        <w:rPr>
          <w:rFonts w:ascii="Arial" w:cs="Arial" w:eastAsia="Arial" w:hAnsi="Arial"/>
          <w:sz w:val="18"/>
          <w:szCs w:val="18"/>
          <w:color w:val="auto"/>
        </w:rPr>
        <w:t>All of the Company’s employees, officers, and non-employee directors (each, a “Director”), as well as consultants and advisors to the Company (as the terms consultants and advisors are defined and interpreted for purposes of Form S-8 under the Securities Act or any successor form) (each, an “Eligible Individual”) are eligible to receive options, stock appreciation rights (“SARs”), restricted stock, restricted stock units (including, without limitation, performance stock units), and other stock- or cash-based awards (each, an “Award”) under the Plan. Each Eligible Individual who receives an Award under the Plan is deemed a “Participant” under the Plan with respect to such Award.</w:t>
      </w:r>
    </w:p>
    <w:p>
      <w:pPr>
        <w:spacing w:after="0" w:line="129" w:lineRule="exact"/>
        <w:rPr>
          <w:rFonts w:ascii="Arial" w:cs="Arial" w:eastAsia="Arial" w:hAnsi="Arial"/>
          <w:sz w:val="18"/>
          <w:szCs w:val="18"/>
          <w:i w:val="1"/>
          <w:iCs w:val="1"/>
          <w:color w:val="auto"/>
        </w:rPr>
      </w:pPr>
    </w:p>
    <w:p>
      <w:pPr>
        <w:ind w:left="1280" w:hanging="356"/>
        <w:spacing w:after="0"/>
        <w:tabs>
          <w:tab w:leader="none" w:pos="1280" w:val="left"/>
        </w:tabs>
        <w:numPr>
          <w:ilvl w:val="0"/>
          <w:numId w:val="157"/>
        </w:numPr>
        <w:rPr>
          <w:rFonts w:ascii="Arial" w:cs="Arial" w:eastAsia="Arial" w:hAnsi="Arial"/>
          <w:sz w:val="18"/>
          <w:szCs w:val="18"/>
          <w:i w:val="1"/>
          <w:iCs w:val="1"/>
          <w:color w:val="auto"/>
        </w:rPr>
      </w:pPr>
      <w:r>
        <w:rPr>
          <w:rFonts w:ascii="Arial" w:cs="Arial" w:eastAsia="Arial" w:hAnsi="Arial"/>
          <w:sz w:val="18"/>
          <w:szCs w:val="18"/>
          <w:i w:val="1"/>
          <w:iCs w:val="1"/>
          <w:color w:val="auto"/>
        </w:rPr>
        <w:t>Administration and Delegation.</w:t>
      </w:r>
    </w:p>
    <w:p>
      <w:pPr>
        <w:spacing w:after="0" w:line="128" w:lineRule="exact"/>
        <w:rPr>
          <w:rFonts w:ascii="Arial" w:cs="Arial" w:eastAsia="Arial" w:hAnsi="Arial"/>
          <w:sz w:val="18"/>
          <w:szCs w:val="18"/>
          <w:i w:val="1"/>
          <w:iCs w:val="1"/>
          <w:color w:val="auto"/>
        </w:rPr>
      </w:pPr>
    </w:p>
    <w:p>
      <w:pPr>
        <w:ind w:left="1640" w:hanging="356"/>
        <w:spacing w:after="0"/>
        <w:tabs>
          <w:tab w:leader="none" w:pos="1640" w:val="left"/>
        </w:tabs>
        <w:numPr>
          <w:ilvl w:val="1"/>
          <w:numId w:val="157"/>
        </w:numPr>
        <w:rPr>
          <w:rFonts w:ascii="Arial" w:cs="Arial" w:eastAsia="Arial" w:hAnsi="Arial"/>
          <w:sz w:val="18"/>
          <w:szCs w:val="18"/>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Subject to any delegation pursuant to Sections 3(b) and (c), the Plan will</w:t>
      </w: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158115</wp:posOffset>
            </wp:positionV>
            <wp:extent cx="683196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be administered by the Board of Directors of the Company (the “Board”). The Board shall have</w:t>
      </w:r>
    </w:p>
    <w:p>
      <w:pPr>
        <w:spacing w:after="0" w:line="14" w:lineRule="exact"/>
        <w:rPr>
          <w:sz w:val="20"/>
          <w:szCs w:val="20"/>
          <w:color w:val="auto"/>
        </w:rPr>
      </w:pPr>
    </w:p>
    <w:p>
      <w:pPr>
        <w:ind w:left="1640" w:right="399"/>
        <w:spacing w:after="0" w:line="226" w:lineRule="auto"/>
        <w:rPr>
          <w:sz w:val="20"/>
          <w:szCs w:val="20"/>
          <w:color w:val="auto"/>
        </w:rPr>
      </w:pPr>
      <w:r>
        <w:rPr>
          <w:rFonts w:ascii="Arial" w:cs="Arial" w:eastAsia="Arial" w:hAnsi="Arial"/>
          <w:sz w:val="18"/>
          <w:szCs w:val="18"/>
          <w:color w:val="auto"/>
        </w:rPr>
        <w:t>authority to grant Awards and to adopt, amend and repeal such administrative rules, guidelines and practices relating to the Plan as it shall deem advisable. The Board may construe and</w:t>
      </w:r>
    </w:p>
    <w:p>
      <w:pPr>
        <w:ind w:left="1640"/>
        <w:spacing w:after="0" w:line="236" w:lineRule="auto"/>
        <w:rPr>
          <w:sz w:val="20"/>
          <w:szCs w:val="20"/>
          <w:color w:val="auto"/>
        </w:rPr>
      </w:pPr>
      <w:r>
        <w:rPr>
          <w:rFonts w:ascii="Arial" w:cs="Arial" w:eastAsia="Arial" w:hAnsi="Arial"/>
          <w:sz w:val="18"/>
          <w:szCs w:val="18"/>
          <w:color w:val="auto"/>
        </w:rPr>
        <w:t>interpret the terms of the Plan and any Award agreements entered into under the Plan. The Board</w:t>
      </w:r>
    </w:p>
    <w:p>
      <w:pPr>
        <w:spacing w:after="0" w:line="1" w:lineRule="exact"/>
        <w:rPr>
          <w:sz w:val="20"/>
          <w:szCs w:val="20"/>
          <w:color w:val="auto"/>
        </w:rPr>
      </w:pPr>
    </w:p>
    <w:p>
      <w:pPr>
        <w:ind w:left="1640" w:right="299"/>
        <w:spacing w:after="0" w:line="226" w:lineRule="auto"/>
        <w:rPr>
          <w:sz w:val="20"/>
          <w:szCs w:val="20"/>
          <w:color w:val="auto"/>
        </w:rPr>
      </w:pPr>
      <w:r>
        <w:rPr>
          <w:rFonts w:ascii="Arial" w:cs="Arial" w:eastAsia="Arial" w:hAnsi="Arial"/>
          <w:sz w:val="18"/>
          <w:szCs w:val="18"/>
          <w:color w:val="auto"/>
        </w:rPr>
        <w:t>may correct any defect, supply any omission or reconcile any inconsistency in the Plan or any Award in the manner and to the extent it shall deem expedient to carry the Plan into effect and it</w:t>
      </w:r>
    </w:p>
    <w:p>
      <w:pPr>
        <w:ind w:left="1640"/>
        <w:spacing w:after="0" w:line="236" w:lineRule="auto"/>
        <w:rPr>
          <w:sz w:val="20"/>
          <w:szCs w:val="20"/>
          <w:color w:val="auto"/>
        </w:rPr>
      </w:pPr>
      <w:r>
        <w:rPr>
          <w:rFonts w:ascii="Arial" w:cs="Arial" w:eastAsia="Arial" w:hAnsi="Arial"/>
          <w:sz w:val="18"/>
          <w:szCs w:val="18"/>
          <w:color w:val="auto"/>
        </w:rPr>
        <w:t>shall be the sole and final judge of such expediency. All decisions by the Board shall be made in</w:t>
      </w:r>
    </w:p>
    <w:p>
      <w:pPr>
        <w:spacing w:after="0" w:line="1" w:lineRule="exact"/>
        <w:rPr>
          <w:sz w:val="20"/>
          <w:szCs w:val="20"/>
          <w:color w:val="auto"/>
        </w:rPr>
      </w:pPr>
    </w:p>
    <w:p>
      <w:pPr>
        <w:ind w:left="1640" w:right="419"/>
        <w:spacing w:after="0" w:line="226" w:lineRule="auto"/>
        <w:rPr>
          <w:sz w:val="20"/>
          <w:szCs w:val="20"/>
          <w:color w:val="auto"/>
        </w:rPr>
      </w:pPr>
      <w:r>
        <w:rPr>
          <w:rFonts w:ascii="Arial" w:cs="Arial" w:eastAsia="Arial" w:hAnsi="Arial"/>
          <w:sz w:val="18"/>
          <w:szCs w:val="18"/>
          <w:color w:val="auto"/>
        </w:rPr>
        <w:t>the Board’s sole discretion and shall be final and binding on all persons having or claiming any interest in the Plan or in any Award. No director or person acting pursuant to the authority</w:t>
      </w:r>
    </w:p>
    <w:p>
      <w:pPr>
        <w:spacing w:after="0" w:line="2" w:lineRule="exact"/>
        <w:rPr>
          <w:sz w:val="20"/>
          <w:szCs w:val="20"/>
          <w:color w:val="auto"/>
        </w:rPr>
      </w:pPr>
    </w:p>
    <w:p>
      <w:pPr>
        <w:ind w:left="1640" w:right="159"/>
        <w:spacing w:after="0" w:line="250" w:lineRule="auto"/>
        <w:rPr>
          <w:sz w:val="20"/>
          <w:szCs w:val="20"/>
          <w:color w:val="auto"/>
        </w:rPr>
      </w:pPr>
      <w:r>
        <w:rPr>
          <w:rFonts w:ascii="Arial" w:cs="Arial" w:eastAsia="Arial" w:hAnsi="Arial"/>
          <w:sz w:val="18"/>
          <w:szCs w:val="18"/>
          <w:color w:val="auto"/>
        </w:rPr>
        <w:t>delegated by the Board shall be liable for any action or determination relating to or under the Plan or any Award, to the extent such action or determination is made in good faith.</w:t>
      </w:r>
    </w:p>
    <w:p>
      <w:pPr>
        <w:spacing w:after="0" w:line="104" w:lineRule="exact"/>
        <w:rPr>
          <w:sz w:val="20"/>
          <w:szCs w:val="20"/>
          <w:color w:val="auto"/>
        </w:rPr>
      </w:pPr>
    </w:p>
    <w:p>
      <w:pPr>
        <w:ind w:left="1640" w:right="99" w:hanging="356"/>
        <w:spacing w:after="0" w:line="242" w:lineRule="auto"/>
        <w:tabs>
          <w:tab w:leader="none" w:pos="1640" w:val="left"/>
        </w:tabs>
        <w:numPr>
          <w:ilvl w:val="1"/>
          <w:numId w:val="158"/>
        </w:numPr>
        <w:rPr>
          <w:rFonts w:ascii="Arial" w:cs="Arial" w:eastAsia="Arial" w:hAnsi="Arial"/>
          <w:sz w:val="18"/>
          <w:szCs w:val="18"/>
          <w:color w:val="auto"/>
        </w:rPr>
      </w:pPr>
      <w:r>
        <w:rPr>
          <w:rFonts w:ascii="Arial" w:cs="Arial" w:eastAsia="Arial" w:hAnsi="Arial"/>
          <w:sz w:val="18"/>
          <w:szCs w:val="18"/>
          <w:i w:val="1"/>
          <w:iCs w:val="1"/>
          <w:color w:val="auto"/>
        </w:rPr>
        <w:t xml:space="preserve">Appointment of Committees. </w:t>
      </w:r>
      <w:r>
        <w:rPr>
          <w:rFonts w:ascii="Arial" w:cs="Arial" w:eastAsia="Arial" w:hAnsi="Arial"/>
          <w:sz w:val="18"/>
          <w:szCs w:val="18"/>
          <w:color w:val="auto"/>
        </w:rPr>
        <w:t>To the extent permitted by applicable law, the Board may delegate</w:t>
      </w:r>
      <w:r>
        <w:rPr>
          <w:rFonts w:ascii="Arial" w:cs="Arial" w:eastAsia="Arial" w:hAnsi="Arial"/>
          <w:sz w:val="18"/>
          <w:szCs w:val="18"/>
          <w:i w:val="1"/>
          <w:iCs w:val="1"/>
          <w:color w:val="auto"/>
        </w:rPr>
        <w:t xml:space="preserve"> </w:t>
      </w:r>
      <w:r>
        <w:rPr>
          <w:rFonts w:ascii="Arial" w:cs="Arial" w:eastAsia="Arial" w:hAnsi="Arial"/>
          <w:sz w:val="18"/>
          <w:szCs w:val="18"/>
          <w:color w:val="auto"/>
        </w:rPr>
        <w:t>any or all of its powers under the Plan to one or more committees or subcommittees of the Board (each, a “Committee”). All references in the Plan to the “Board” shall mean the Board or a Committee or the officers referred to in Section 3(c) to the extent that the Board’s powers or authority under the Plan have been delegated to such Committee or officers. The Board may revoke or amend the terms of any such delegation at any time but such action shall not invalidate any prior actions of the Committee or the officers referred to in Section 3(c) that were consistent with the terms of the Plan and the Board’s prior delegation. Notwithstanding the foregoing, however, (i) only the Board may act with respect to Awards to Directors of the Company, and any authority or discretion exercised with respect to a specific Director shall be approved by the affirmative vote of a majority of the members of the Board, even if not a quorum, but excluding the Director with respect to whom such authority or discretion is exercised, and (ii) for purposes of Awards intended to comply with Rule 16b-3 under the Securities Exchange Act of 1934, as amended (the “Exchange Act”), any Committee who is delegated authority or discretion under the Plan shall consist of two or more directors of the Company, all of whom qualify as “independent directors” within the meaning of The NASDAQ Stock Market (“NASDAQ”) listing rules and as “non-employee directors” under Rule 16b-3 of the Exchange Act.</w:t>
      </w:r>
    </w:p>
    <w:p>
      <w:pPr>
        <w:spacing w:after="0" w:line="319" w:lineRule="exact"/>
        <w:rPr>
          <w:rFonts w:ascii="Arial" w:cs="Arial" w:eastAsia="Arial" w:hAnsi="Arial"/>
          <w:sz w:val="18"/>
          <w:szCs w:val="18"/>
          <w:color w:val="auto"/>
        </w:rPr>
      </w:pPr>
    </w:p>
    <w:p>
      <w:pPr>
        <w:ind w:left="1640" w:right="99" w:hanging="356"/>
        <w:spacing w:after="0" w:line="243" w:lineRule="auto"/>
        <w:tabs>
          <w:tab w:leader="none" w:pos="1640" w:val="left"/>
        </w:tabs>
        <w:numPr>
          <w:ilvl w:val="1"/>
          <w:numId w:val="158"/>
        </w:numPr>
        <w:rPr>
          <w:rFonts w:ascii="Arial" w:cs="Arial" w:eastAsia="Arial" w:hAnsi="Arial"/>
          <w:sz w:val="18"/>
          <w:szCs w:val="18"/>
          <w:color w:val="auto"/>
        </w:rPr>
      </w:pPr>
      <w:r>
        <w:rPr>
          <w:rFonts w:ascii="Arial" w:cs="Arial" w:eastAsia="Arial" w:hAnsi="Arial"/>
          <w:sz w:val="18"/>
          <w:szCs w:val="18"/>
          <w:i w:val="1"/>
          <w:iCs w:val="1"/>
          <w:color w:val="auto"/>
        </w:rPr>
        <w:t xml:space="preserve">Delegation to Officers. </w:t>
      </w:r>
      <w:r>
        <w:rPr>
          <w:rFonts w:ascii="Arial" w:cs="Arial" w:eastAsia="Arial" w:hAnsi="Arial"/>
          <w:sz w:val="18"/>
          <w:szCs w:val="18"/>
          <w:color w:val="auto"/>
        </w:rPr>
        <w:t>Subject to any requirements of applicable law (including as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Sections 152 and 157(c) of the General Corporation Law of the State of Delaware), the Board may delegate to one or more officers of the Company the power to grant Awards (subject to any limitations under the Plan) to Eligible Individuals and to exercise such other powers under the Plan as the Board may determine, provided that the Board shall fix the maximum number of shares subject to Awards that the officers may grant, and the time period in which the Awards may be granted; and provided further, that no officer shall be authorized to grant Awards to any “executive officer” of the Company (as defined by Rule 3b-7 under the Exchange Act or to any “officer” of the Company (as defined by Rule 16a-1(f) under the Exchange Act).</w:t>
      </w:r>
    </w:p>
    <w:p>
      <w:pPr>
        <w:spacing w:after="0" w:line="111" w:lineRule="exact"/>
        <w:rPr>
          <w:rFonts w:ascii="Arial" w:cs="Arial" w:eastAsia="Arial" w:hAnsi="Arial"/>
          <w:sz w:val="18"/>
          <w:szCs w:val="18"/>
          <w:color w:val="auto"/>
        </w:rPr>
      </w:pPr>
    </w:p>
    <w:p>
      <w:pPr>
        <w:ind w:left="1640" w:hanging="356"/>
        <w:spacing w:after="0"/>
        <w:tabs>
          <w:tab w:leader="none" w:pos="1640" w:val="left"/>
        </w:tabs>
        <w:numPr>
          <w:ilvl w:val="1"/>
          <w:numId w:val="158"/>
        </w:numPr>
        <w:rPr>
          <w:rFonts w:ascii="Arial" w:cs="Arial" w:eastAsia="Arial" w:hAnsi="Arial"/>
          <w:sz w:val="18"/>
          <w:szCs w:val="18"/>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Company shall bear all expenses of administering the Plan.</w:t>
      </w:r>
    </w:p>
    <w:p>
      <w:pPr>
        <w:spacing w:after="0" w:line="146" w:lineRule="exact"/>
        <w:rPr>
          <w:rFonts w:ascii="Arial" w:cs="Arial" w:eastAsia="Arial" w:hAnsi="Arial"/>
          <w:sz w:val="18"/>
          <w:szCs w:val="18"/>
          <w:color w:val="auto"/>
        </w:rPr>
      </w:pPr>
    </w:p>
    <w:p>
      <w:pPr>
        <w:ind w:left="1280" w:hanging="356"/>
        <w:spacing w:after="0"/>
        <w:tabs>
          <w:tab w:leader="none" w:pos="1280" w:val="left"/>
        </w:tabs>
        <w:numPr>
          <w:ilvl w:val="0"/>
          <w:numId w:val="159"/>
        </w:numPr>
        <w:rPr>
          <w:rFonts w:ascii="Arial" w:cs="Arial" w:eastAsia="Arial" w:hAnsi="Arial"/>
          <w:sz w:val="18"/>
          <w:szCs w:val="18"/>
          <w:i w:val="1"/>
          <w:iCs w:val="1"/>
          <w:color w:val="auto"/>
        </w:rPr>
      </w:pPr>
      <w:r>
        <w:rPr>
          <w:rFonts w:ascii="Arial" w:cs="Arial" w:eastAsia="Arial" w:hAnsi="Arial"/>
          <w:sz w:val="18"/>
          <w:szCs w:val="18"/>
          <w:i w:val="1"/>
          <w:iCs w:val="1"/>
          <w:color w:val="auto"/>
        </w:rPr>
        <w:t>Stock Available for Awards.</w:t>
      </w:r>
    </w:p>
    <w:p>
      <w:pPr>
        <w:spacing w:after="0" w:line="128" w:lineRule="exact"/>
        <w:rPr>
          <w:rFonts w:ascii="Arial" w:cs="Arial" w:eastAsia="Arial" w:hAnsi="Arial"/>
          <w:sz w:val="18"/>
          <w:szCs w:val="18"/>
          <w:i w:val="1"/>
          <w:iCs w:val="1"/>
          <w:color w:val="auto"/>
        </w:rPr>
      </w:pPr>
    </w:p>
    <w:p>
      <w:pPr>
        <w:ind w:left="1640" w:hanging="356"/>
        <w:spacing w:after="0"/>
        <w:tabs>
          <w:tab w:leader="none" w:pos="1640" w:val="left"/>
        </w:tabs>
        <w:numPr>
          <w:ilvl w:val="1"/>
          <w:numId w:val="159"/>
        </w:numPr>
        <w:rPr>
          <w:rFonts w:ascii="Arial" w:cs="Arial" w:eastAsia="Arial" w:hAnsi="Arial"/>
          <w:sz w:val="18"/>
          <w:szCs w:val="18"/>
          <w:color w:val="auto"/>
        </w:rPr>
      </w:pPr>
      <w:r>
        <w:rPr>
          <w:rFonts w:ascii="Arial" w:cs="Arial" w:eastAsia="Arial" w:hAnsi="Arial"/>
          <w:sz w:val="18"/>
          <w:szCs w:val="18"/>
          <w:i w:val="1"/>
          <w:iCs w:val="1"/>
          <w:color w:val="auto"/>
        </w:rPr>
        <w:t xml:space="preserve">Number of Shares.  </w:t>
      </w:r>
      <w:r>
        <w:rPr>
          <w:rFonts w:ascii="Arial" w:cs="Arial" w:eastAsia="Arial" w:hAnsi="Arial"/>
          <w:sz w:val="18"/>
          <w:szCs w:val="18"/>
          <w:color w:val="auto"/>
        </w:rPr>
        <w:t>Subject to Section 4(b) and adjustment under Section 10, the aggregate</w:t>
      </w:r>
    </w:p>
    <w:p>
      <w:pPr>
        <w:spacing w:after="0" w:line="27" w:lineRule="exact"/>
        <w:rPr>
          <w:sz w:val="20"/>
          <w:szCs w:val="20"/>
          <w:color w:val="auto"/>
        </w:rPr>
      </w:pPr>
    </w:p>
    <w:p>
      <w:pPr>
        <w:ind w:left="1640" w:right="359"/>
        <w:spacing w:after="0" w:line="234" w:lineRule="auto"/>
        <w:rPr>
          <w:sz w:val="20"/>
          <w:szCs w:val="20"/>
          <w:color w:val="auto"/>
        </w:rPr>
      </w:pPr>
      <w:r>
        <w:rPr>
          <w:rFonts w:ascii="Arial" w:cs="Arial" w:eastAsia="Arial" w:hAnsi="Arial"/>
          <w:sz w:val="18"/>
          <w:szCs w:val="18"/>
          <w:color w:val="auto"/>
        </w:rPr>
        <w:t>number of shares of Common Stock reserved for Awards under the Plan is equal to 16,180,307 shares of Common Stock, consisting of (i) 14,000,000 new shares of Common Stock, plus</w:t>
      </w:r>
    </w:p>
    <w:p>
      <w:pPr>
        <w:spacing w:after="0" w:line="1" w:lineRule="exact"/>
        <w:rPr>
          <w:sz w:val="20"/>
          <w:szCs w:val="20"/>
          <w:color w:val="auto"/>
        </w:rPr>
      </w:pPr>
    </w:p>
    <w:p>
      <w:pPr>
        <w:ind w:left="1640" w:right="99" w:firstLine="4"/>
        <w:spacing w:after="0" w:line="241" w:lineRule="auto"/>
        <w:tabs>
          <w:tab w:leader="none" w:pos="190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2,180,307 shares of Common Stock previously reserved for issuance under the Company’s Amended and Restated 2019 Incentive Award that remain available for grant as of the Effective Date, plus that number of shares of Common Stock subject to awards granted under the Prior Plans which become available in accordance with the provisions below after the Effective Date. Notwithstanding anything to the contrary herein, no more than 16,180,307 shares of Common Stock may be issued as Incentive Stock Options (as defined below) under the Plan. Shares issued under the Plan may consist in whole or in part of authorized but unissued shares or treasury shares (if any). The proceeds that the Company receives in connection with Awards granted under the Plan, if any, shall be used for general corporate purposes and shall be added to the general funds of the Company.</w:t>
      </w:r>
    </w:p>
    <w:p>
      <w:pPr>
        <w:spacing w:after="0" w:line="200" w:lineRule="exact"/>
        <w:rPr>
          <w:sz w:val="20"/>
          <w:szCs w:val="20"/>
          <w:color w:val="auto"/>
        </w:rPr>
      </w:pPr>
    </w:p>
    <w:p>
      <w:pPr>
        <w:spacing w:after="0" w:line="20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C-2</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1640" w:right="119" w:hanging="356"/>
        <w:spacing w:after="0" w:line="242" w:lineRule="auto"/>
        <w:tabs>
          <w:tab w:leader="none" w:pos="164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 xml:space="preserve">Share Count. </w:t>
      </w:r>
      <w:r>
        <w:rPr>
          <w:rFonts w:ascii="Arial" w:cs="Arial" w:eastAsia="Arial" w:hAnsi="Arial"/>
          <w:sz w:val="18"/>
          <w:szCs w:val="18"/>
          <w:color w:val="auto"/>
        </w:rPr>
        <w:t>Except as otherwise set forth below, shares of Common Stock issued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Awards will count against the shares of Common Stock available for issuance under the Plan as one (1) share for each one (1) share issued in connection with the Award. If any Award (or award under a Prior Plan) expires or is terminated, surrendered or canceled without having been fully exercised, is cash-settled, is forfeited in whole or in part (including as the result of shares of Common Stock subject to such Award (or award under a Prior Plan) being repurchased by the Company at the original issuance price pursuant to a contractual repurchase right), then the shares of Common Stock covered by such Award (or award under a Prior Plan) shall, to the extent of such termination, surrender, cancellation, cash-settlement or forfeiture, again become available for the grant of Awards under the Plan. Notwithstanding the foregoing, (i) shares tendered by the Participant or withheld by the Company in payment of the exercise price of an Option (or an option</w:t>
      </w:r>
    </w:p>
    <w:p>
      <w:pPr>
        <w:spacing w:after="0" w:line="4" w:lineRule="exact"/>
        <w:rPr>
          <w:sz w:val="20"/>
          <w:szCs w:val="20"/>
          <w:color w:val="auto"/>
        </w:rPr>
      </w:pPr>
    </w:p>
    <w:p>
      <w:pPr>
        <w:ind w:left="1640" w:right="279"/>
        <w:spacing w:after="0" w:line="234" w:lineRule="auto"/>
        <w:rPr>
          <w:sz w:val="20"/>
          <w:szCs w:val="20"/>
          <w:color w:val="auto"/>
        </w:rPr>
      </w:pPr>
      <w:r>
        <w:rPr>
          <w:rFonts w:ascii="Arial" w:cs="Arial" w:eastAsia="Arial" w:hAnsi="Arial"/>
          <w:sz w:val="18"/>
          <w:szCs w:val="18"/>
          <w:color w:val="auto"/>
        </w:rPr>
        <w:t>under a Prior Plan), (ii) shares tendered by the Participant or withheld by the Company to satisfy any tax withholding obligation with respect to an Award (or an award under a Prior Plan),</w:t>
      </w:r>
    </w:p>
    <w:p>
      <w:pPr>
        <w:spacing w:after="0" w:line="1" w:lineRule="exact"/>
        <w:rPr>
          <w:sz w:val="20"/>
          <w:szCs w:val="20"/>
          <w:color w:val="auto"/>
        </w:rPr>
      </w:pPr>
    </w:p>
    <w:p>
      <w:pPr>
        <w:ind w:left="1640" w:right="139"/>
        <w:spacing w:after="0"/>
        <w:rPr>
          <w:sz w:val="20"/>
          <w:szCs w:val="20"/>
          <w:color w:val="auto"/>
        </w:rPr>
      </w:pPr>
      <w:r>
        <w:rPr>
          <w:rFonts w:ascii="Arial" w:cs="Arial" w:eastAsia="Arial" w:hAnsi="Arial"/>
          <w:sz w:val="18"/>
          <w:szCs w:val="18"/>
          <w:color w:val="auto"/>
        </w:rPr>
        <w:t>(iii) shares subject to a SAR (including a SAR issued under a Prior Plan) that are not issued in connection with its share settlement on exercise thereof, and (iv) shares of Common Stock repurchased by the Company on the open market using the proceeds from the exercise of an Award (or an award under a Prior Plan), shall not increase the number of shares of Common Stock available for the future grant of Awards. In the case of Incentive Stock Options, the foregoing provisions shall be subject to any limitations under the Code. Additionally, in the event that a company acquired by the Company or any subsidiary thereof or with which the Company or any subsidiary thereof combines has shares available under a pre-existing 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grant under the Plan (and shares of Common Stock subject to such Awards shall not be added to the shares available for Awards under the Plan as provided in Section 4(a) above); provided that Awards using such available shares of Common Stock shall not be made after the date awards or grants could have been made under the terms of the pre-existing plan, absent the acquisition or combination, and shall only be made to individuals who were not employed by or providing services to the Company or its subsidiaries immediately prior to such acquisition or combination.</w:t>
      </w:r>
    </w:p>
    <w:p>
      <w:pPr>
        <w:spacing w:after="0" w:line="121" w:lineRule="exact"/>
        <w:rPr>
          <w:sz w:val="20"/>
          <w:szCs w:val="20"/>
          <w:color w:val="auto"/>
        </w:rPr>
      </w:pPr>
    </w:p>
    <w:p>
      <w:pPr>
        <w:ind w:left="1640" w:right="239" w:hanging="356"/>
        <w:spacing w:after="0" w:line="245" w:lineRule="auto"/>
        <w:tabs>
          <w:tab w:leader="none" w:pos="1640"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 xml:space="preserve">Limit on Awards to Directors. </w:t>
      </w:r>
      <w:r>
        <w:rPr>
          <w:rFonts w:ascii="Arial" w:cs="Arial" w:eastAsia="Arial" w:hAnsi="Arial"/>
          <w:sz w:val="18"/>
          <w:szCs w:val="18"/>
          <w:color w:val="auto"/>
        </w:rPr>
        <w:t>Notwithstanding any provision to the contrary in the Plan, during</w:t>
      </w:r>
      <w:r>
        <w:rPr>
          <w:rFonts w:ascii="Arial" w:cs="Arial" w:eastAsia="Arial" w:hAnsi="Arial"/>
          <w:sz w:val="18"/>
          <w:szCs w:val="18"/>
          <w:i w:val="1"/>
          <w:iCs w:val="1"/>
          <w:color w:val="auto"/>
        </w:rPr>
        <w:t xml:space="preserve"> </w:t>
      </w:r>
      <w:r>
        <w:rPr>
          <w:rFonts w:ascii="Arial" w:cs="Arial" w:eastAsia="Arial" w:hAnsi="Arial"/>
          <w:sz w:val="18"/>
          <w:szCs w:val="18"/>
          <w:color w:val="auto"/>
        </w:rPr>
        <w:t>any calendar year, the sum of the grant date fair value (determined in accordance with Financial Accounting Standards Board Accounting Standards Codification Topic 718, or any successor thereto) of Awards and the amount of any cash fees granted or paid to a Director, in respect of such Director’s services as a non-employee director for such year, shall not exceed $800,000. The Board may make exceptions to this limit for individual Directors in extraordinary circumstances, as the Board may determine in its discretion, provided that the Director receiving such additional compensation may not participate in the decision to award such compensation or in other contemporaneous compensation decisions involving Directors.</w:t>
      </w:r>
    </w:p>
    <w:p>
      <w:pPr>
        <w:spacing w:after="0" w:line="109" w:lineRule="exact"/>
        <w:rPr>
          <w:rFonts w:ascii="Arial" w:cs="Arial" w:eastAsia="Arial" w:hAnsi="Arial"/>
          <w:sz w:val="18"/>
          <w:szCs w:val="18"/>
          <w:color w:val="auto"/>
        </w:rPr>
      </w:pPr>
    </w:p>
    <w:p>
      <w:pPr>
        <w:ind w:left="1640" w:right="219" w:hanging="356"/>
        <w:spacing w:after="0" w:line="243" w:lineRule="auto"/>
        <w:tabs>
          <w:tab w:leader="none" w:pos="1640"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 xml:space="preserve">Substitute Awards. </w:t>
      </w:r>
      <w:r>
        <w:rPr>
          <w:rFonts w:ascii="Arial" w:cs="Arial" w:eastAsia="Arial" w:hAnsi="Arial"/>
          <w:sz w:val="18"/>
          <w:szCs w:val="18"/>
          <w:color w:val="auto"/>
        </w:rPr>
        <w:t>In connection with a corporate transaction with another entity, such as a</w:t>
      </w:r>
      <w:r>
        <w:rPr>
          <w:rFonts w:ascii="Arial" w:cs="Arial" w:eastAsia="Arial" w:hAnsi="Arial"/>
          <w:sz w:val="18"/>
          <w:szCs w:val="18"/>
          <w:i w:val="1"/>
          <w:iCs w:val="1"/>
          <w:color w:val="auto"/>
        </w:rPr>
        <w:t xml:space="preserve"> </w:t>
      </w:r>
      <w:r>
        <w:rPr>
          <w:rFonts w:ascii="Arial" w:cs="Arial" w:eastAsia="Arial" w:hAnsi="Arial"/>
          <w:sz w:val="18"/>
          <w:szCs w:val="18"/>
          <w:color w:val="auto"/>
        </w:rPr>
        <w:t>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(subject to compliance with the applicable requirements of Section 424 of the Code and Section 409A of the Code (together with the Department of Treasury regulations and other interpretive guidance issued thereunder, “Section 409A”)). Substitute Awards shall not count against the overall share limit set forth in Section 4(a), except as may be required by reason of Section 422 and related provisions of the Code.</w:t>
      </w:r>
    </w:p>
    <w:p>
      <w:pPr>
        <w:spacing w:after="0" w:line="375"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6" w:lineRule="exact"/>
        <w:rPr>
          <w:sz w:val="20"/>
          <w:szCs w:val="20"/>
          <w:color w:val="auto"/>
        </w:rPr>
      </w:pPr>
    </w:p>
    <w:p>
      <w:pPr>
        <w:ind w:left="1140" w:hanging="216"/>
        <w:spacing w:after="0"/>
        <w:tabs>
          <w:tab w:leader="none" w:pos="1140" w:val="left"/>
        </w:tabs>
        <w:numPr>
          <w:ilvl w:val="0"/>
          <w:numId w:val="163"/>
        </w:numPr>
        <w:rPr>
          <w:rFonts w:ascii="Arial" w:cs="Arial" w:eastAsia="Arial" w:hAnsi="Arial"/>
          <w:sz w:val="18"/>
          <w:szCs w:val="18"/>
          <w:i w:val="1"/>
          <w:iCs w:val="1"/>
          <w:color w:val="auto"/>
        </w:rPr>
      </w:pPr>
      <w:r>
        <w:rPr>
          <w:rFonts w:ascii="Arial" w:cs="Arial" w:eastAsia="Arial" w:hAnsi="Arial"/>
          <w:sz w:val="18"/>
          <w:szCs w:val="18"/>
          <w:i w:val="1"/>
          <w:iCs w:val="1"/>
          <w:color w:val="auto"/>
        </w:rPr>
        <w:t>Stock Options.</w:t>
      </w:r>
    </w:p>
    <w:p>
      <w:pPr>
        <w:spacing w:after="0" w:line="142" w:lineRule="exact"/>
        <w:rPr>
          <w:rFonts w:ascii="Arial" w:cs="Arial" w:eastAsia="Arial" w:hAnsi="Arial"/>
          <w:sz w:val="18"/>
          <w:szCs w:val="18"/>
          <w:i w:val="1"/>
          <w:iCs w:val="1"/>
          <w:color w:val="auto"/>
        </w:rPr>
      </w:pPr>
    </w:p>
    <w:p>
      <w:pPr>
        <w:ind w:left="1640" w:right="239" w:hanging="356"/>
        <w:spacing w:after="0" w:line="245" w:lineRule="auto"/>
        <w:tabs>
          <w:tab w:leader="none" w:pos="1640" w:val="left"/>
        </w:tabs>
        <w:numPr>
          <w:ilvl w:val="1"/>
          <w:numId w:val="163"/>
        </w:numPr>
        <w:rPr>
          <w:rFonts w:ascii="Arial" w:cs="Arial" w:eastAsia="Arial" w:hAnsi="Arial"/>
          <w:sz w:val="18"/>
          <w:szCs w:val="18"/>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Board may grant options to purchase Common Stock (each, an “Option”)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that is not an Incentive Stock Option shall be designated a “Nonstatutory Stock Option.”</w:t>
      </w:r>
    </w:p>
    <w:p>
      <w:pPr>
        <w:spacing w:after="0" w:line="109" w:lineRule="exact"/>
        <w:rPr>
          <w:rFonts w:ascii="Arial" w:cs="Arial" w:eastAsia="Arial" w:hAnsi="Arial"/>
          <w:sz w:val="18"/>
          <w:szCs w:val="18"/>
          <w:color w:val="auto"/>
        </w:rPr>
      </w:pPr>
    </w:p>
    <w:p>
      <w:pPr>
        <w:ind w:left="1640" w:right="99" w:hanging="356"/>
        <w:spacing w:after="0" w:line="243" w:lineRule="auto"/>
        <w:tabs>
          <w:tab w:leader="none" w:pos="1640" w:val="left"/>
        </w:tabs>
        <w:numPr>
          <w:ilvl w:val="1"/>
          <w:numId w:val="163"/>
        </w:numPr>
        <w:rPr>
          <w:rFonts w:ascii="Arial" w:cs="Arial" w:eastAsia="Arial" w:hAnsi="Arial"/>
          <w:sz w:val="18"/>
          <w:szCs w:val="18"/>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An Option that the Board intends to be an “incentive stock option”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Section 422 of the Code (an “Incentive Stock Option”) shall only be granted to employees of the Company, any of its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The Company shall have no liability to a Participant, or any other party, if an Option (or any part thereof) that is intended to be an Incentive Stock Option is not an Incentive Stock Option or for any action taken by the Board, including without limitation the conversion of an Incentive Stock Option to a Nonstatutory Stock Option. If an Incentive Stock Option or portion thereof fails to meet the requirements of Section 422 of the Code for an Incentive Stock Option, such Option or portion thereof shall be treated for all purposes of this Plan as a Nonstatutory Stock Option.</w:t>
      </w:r>
    </w:p>
    <w:p>
      <w:pPr>
        <w:spacing w:after="0" w:line="313" w:lineRule="exact"/>
        <w:rPr>
          <w:rFonts w:ascii="Arial" w:cs="Arial" w:eastAsia="Arial" w:hAnsi="Arial"/>
          <w:sz w:val="18"/>
          <w:szCs w:val="18"/>
          <w:color w:val="auto"/>
        </w:rPr>
      </w:pPr>
    </w:p>
    <w:p>
      <w:pPr>
        <w:ind w:left="1640" w:right="119" w:hanging="356"/>
        <w:spacing w:after="0" w:line="244" w:lineRule="auto"/>
        <w:tabs>
          <w:tab w:leader="none" w:pos="1640" w:val="left"/>
        </w:tabs>
        <w:numPr>
          <w:ilvl w:val="1"/>
          <w:numId w:val="163"/>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Board shall establish the exercise price of each Option and specify such</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in the applicable option agreement. Subject to Section 4(d), the exercise price shall be not less than 100% of the fair market value (as defined below) of a share of Common Stock on the date the Option is granted and shall not be less than the nominal value per share of Common Stock if required by applicable law; provided, however, an Incentive Stock Option granted to a person who owns capital stock (including stock treated as owned under Section 424(d) of the Code) possessing more than ten percent (10%) of the total combined voting power of all classes of capital stock of the Company (a “More Than Ten Percent (10%) Owner”), shall have an exercise price that is not less than 110% of the fair market value of a share of Common Stock on the date the Incentive Stock Option is granted.</w:t>
      </w:r>
    </w:p>
    <w:p>
      <w:pPr>
        <w:spacing w:after="0" w:line="109" w:lineRule="exact"/>
        <w:rPr>
          <w:rFonts w:ascii="Arial" w:cs="Arial" w:eastAsia="Arial" w:hAnsi="Arial"/>
          <w:sz w:val="18"/>
          <w:szCs w:val="18"/>
          <w:color w:val="auto"/>
        </w:rPr>
      </w:pPr>
    </w:p>
    <w:p>
      <w:pPr>
        <w:ind w:left="1640" w:right="159" w:hanging="356"/>
        <w:spacing w:after="0" w:line="245" w:lineRule="auto"/>
        <w:tabs>
          <w:tab w:leader="none" w:pos="1640" w:val="left"/>
        </w:tabs>
        <w:numPr>
          <w:ilvl w:val="1"/>
          <w:numId w:val="163"/>
        </w:numPr>
        <w:rPr>
          <w:rFonts w:ascii="Arial" w:cs="Arial" w:eastAsia="Arial" w:hAnsi="Arial"/>
          <w:sz w:val="18"/>
          <w:szCs w:val="18"/>
          <w:color w:val="auto"/>
        </w:rPr>
      </w:pPr>
      <w:r>
        <w:rPr>
          <w:rFonts w:ascii="Arial" w:cs="Arial" w:eastAsia="Arial" w:hAnsi="Arial"/>
          <w:sz w:val="18"/>
          <w:szCs w:val="18"/>
          <w:i w:val="1"/>
          <w:iCs w:val="1"/>
          <w:color w:val="auto"/>
        </w:rPr>
        <w:t xml:space="preserve">Duration of Options. </w:t>
      </w:r>
      <w:r>
        <w:rPr>
          <w:rFonts w:ascii="Arial" w:cs="Arial" w:eastAsia="Arial" w:hAnsi="Arial"/>
          <w:sz w:val="18"/>
          <w:szCs w:val="18"/>
          <w:color w:val="auto"/>
        </w:rPr>
        <w:t>Each Option shall be exercisable at such times and subject to such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as the Board may specify in the applicable option agreement; provided that, notwithstanding the foregoing and unless determined otherwise by the Company, in the event that on the last business day of the term of an Option (other than an Incentive Stock Option) (i) the exercise of the Option is prohibited by applicable law, as determined by the Company, or</w:t>
      </w:r>
    </w:p>
    <w:p>
      <w:pPr>
        <w:spacing w:after="0" w:line="1" w:lineRule="exact"/>
        <w:rPr>
          <w:rFonts w:ascii="Arial" w:cs="Arial" w:eastAsia="Arial" w:hAnsi="Arial"/>
          <w:sz w:val="18"/>
          <w:szCs w:val="18"/>
          <w:color w:val="auto"/>
        </w:rPr>
      </w:pPr>
    </w:p>
    <w:p>
      <w:pPr>
        <w:ind w:left="1640" w:right="199"/>
        <w:spacing w:after="0" w:line="241" w:lineRule="auto"/>
        <w:rPr>
          <w:rFonts w:ascii="Arial" w:cs="Arial" w:eastAsia="Arial" w:hAnsi="Arial"/>
          <w:sz w:val="18"/>
          <w:szCs w:val="18"/>
          <w:color w:val="auto"/>
        </w:rPr>
      </w:pPr>
      <w:r>
        <w:rPr>
          <w:rFonts w:ascii="Arial" w:cs="Arial" w:eastAsia="Arial" w:hAnsi="Arial"/>
          <w:sz w:val="18"/>
          <w:szCs w:val="18"/>
          <w:color w:val="auto"/>
        </w:rPr>
        <w:t>(ii) shares of Common Stock may not be purchased or sold by the applicable Participant due to any Company insider trading policy (including blackout periods) or a “lockup” agreement undertaken in connection with an issuance of securities by the Company, the term of the Option shall be extended until the date that is thirty (30) days after the end of the legal prohibition, black-out period or lock-up agreement, as determined by the Company; provided, however, in no event shall the extension last beyond the term of the applicable Option (which, in no event will exceed ten (10) years from the date of grant; five (5) years for an Incentive Stock Option granted to a More Than Ten Percent (10%) Owner).</w:t>
      </w:r>
    </w:p>
    <w:p>
      <w:pPr>
        <w:spacing w:after="0" w:line="114" w:lineRule="exact"/>
        <w:rPr>
          <w:rFonts w:ascii="Arial" w:cs="Arial" w:eastAsia="Arial" w:hAnsi="Arial"/>
          <w:sz w:val="18"/>
          <w:szCs w:val="18"/>
          <w:color w:val="auto"/>
        </w:rPr>
      </w:pPr>
    </w:p>
    <w:p>
      <w:pPr>
        <w:ind w:left="1640" w:right="99" w:hanging="356"/>
        <w:spacing w:after="0" w:line="243" w:lineRule="auto"/>
        <w:tabs>
          <w:tab w:leader="none" w:pos="1640" w:val="left"/>
        </w:tabs>
        <w:numPr>
          <w:ilvl w:val="1"/>
          <w:numId w:val="163"/>
        </w:numPr>
        <w:rPr>
          <w:rFonts w:ascii="Arial" w:cs="Arial" w:eastAsia="Arial" w:hAnsi="Arial"/>
          <w:sz w:val="18"/>
          <w:szCs w:val="18"/>
          <w:color w:val="auto"/>
        </w:rPr>
      </w:pPr>
      <w:r>
        <w:rPr>
          <w:rFonts w:ascii="Arial" w:cs="Arial" w:eastAsia="Arial" w:hAnsi="Arial"/>
          <w:sz w:val="18"/>
          <w:szCs w:val="18"/>
          <w:i w:val="1"/>
          <w:iCs w:val="1"/>
          <w:color w:val="auto"/>
        </w:rPr>
        <w:t xml:space="preserve">Exercise of Option. </w:t>
      </w:r>
      <w:r>
        <w:rPr>
          <w:rFonts w:ascii="Arial" w:cs="Arial" w:eastAsia="Arial" w:hAnsi="Arial"/>
          <w:sz w:val="18"/>
          <w:szCs w:val="18"/>
          <w:color w:val="auto"/>
        </w:rPr>
        <w:t>Options may be exercised by delivery to the Company of a written notice of</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signed by the proper person or by any other form of notice (including electronic notice) approved by the Company, together with payment in full as specified in Section 5(f) for the number of shares for which the Option is exercised and any other documentation required by the Board. The form of such notice of exercise shall be determined by the Company in its sole discretion. Shares of Common Stock subject to the Option will be delivered by the Company as soon as reasonably practicable following exercise. To qualify as an Incentive Stock Option, an Incentive Stock Option shall not have an aggregate fair market value (as of the date of grant) of shares of Common Stock with respect to which the Incentive Stock Options (whether granted under the Plan, any Prior Plan or any other plans of the Company) that are exercisable for the first time by the</w:t>
      </w:r>
    </w:p>
    <w:p>
      <w:pPr>
        <w:spacing w:after="0" w:line="38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C-4</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Participant during any calendar year, determined in accordance with the provisions of Section 422</w:t>
      </w:r>
    </w:p>
    <w:p>
      <w:pPr>
        <w:spacing w:after="0" w:line="14" w:lineRule="exact"/>
        <w:rPr>
          <w:sz w:val="20"/>
          <w:szCs w:val="20"/>
          <w:color w:val="auto"/>
        </w:rPr>
      </w:pPr>
    </w:p>
    <w:p>
      <w:pPr>
        <w:ind w:left="1640" w:right="179"/>
        <w:spacing w:after="0" w:line="237" w:lineRule="auto"/>
        <w:rPr>
          <w:sz w:val="20"/>
          <w:szCs w:val="20"/>
          <w:color w:val="auto"/>
        </w:rPr>
      </w:pPr>
      <w:r>
        <w:rPr>
          <w:rFonts w:ascii="Arial" w:cs="Arial" w:eastAsia="Arial" w:hAnsi="Arial"/>
          <w:sz w:val="18"/>
          <w:szCs w:val="18"/>
          <w:color w:val="auto"/>
        </w:rPr>
        <w:t>of the Code, which exceeds $100,000. Any portion of the Incentive Stock Option that exceeds the $100,000 limit may be exercisable as a separate Nonstatutory Stock Option.</w:t>
      </w:r>
    </w:p>
    <w:p>
      <w:pPr>
        <w:spacing w:after="0" w:line="113" w:lineRule="exact"/>
        <w:rPr>
          <w:sz w:val="20"/>
          <w:szCs w:val="20"/>
          <w:color w:val="auto"/>
        </w:rPr>
      </w:pPr>
    </w:p>
    <w:p>
      <w:pPr>
        <w:ind w:left="1640" w:right="499" w:hanging="356"/>
        <w:spacing w:after="0" w:line="287" w:lineRule="auto"/>
        <w:tabs>
          <w:tab w:leader="none" w:pos="1640"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 xml:space="preserve">Payment Upon Exercise. </w:t>
      </w:r>
      <w:r>
        <w:rPr>
          <w:rFonts w:ascii="Arial" w:cs="Arial" w:eastAsia="Arial" w:hAnsi="Arial"/>
          <w:sz w:val="18"/>
          <w:szCs w:val="18"/>
          <w:color w:val="auto"/>
        </w:rPr>
        <w:t>Common Stock purchased upon the exercise of an Option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shall be paid for as follows:</w:t>
      </w:r>
    </w:p>
    <w:p>
      <w:pPr>
        <w:spacing w:after="0" w:line="58" w:lineRule="exact"/>
        <w:rPr>
          <w:rFonts w:ascii="Arial" w:cs="Arial" w:eastAsia="Arial" w:hAnsi="Arial"/>
          <w:sz w:val="18"/>
          <w:szCs w:val="18"/>
          <w:color w:val="auto"/>
        </w:rPr>
      </w:pPr>
    </w:p>
    <w:p>
      <w:pPr>
        <w:ind w:left="2000" w:right="359" w:hanging="356"/>
        <w:spacing w:after="0" w:line="261" w:lineRule="auto"/>
        <w:tabs>
          <w:tab w:leader="none" w:pos="20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in cash or by check, payable to the order of the Company (or, to the extent determined appropriate by the Company in lieu of cash or check, through electronic payment through a stock plan administrator or other third party);</w:t>
      </w:r>
    </w:p>
    <w:p>
      <w:pPr>
        <w:spacing w:after="0" w:line="80" w:lineRule="exact"/>
        <w:rPr>
          <w:rFonts w:ascii="Arial" w:cs="Arial" w:eastAsia="Arial" w:hAnsi="Arial"/>
          <w:sz w:val="18"/>
          <w:szCs w:val="18"/>
          <w:color w:val="auto"/>
        </w:rPr>
      </w:pPr>
    </w:p>
    <w:p>
      <w:pPr>
        <w:ind w:left="2000" w:hanging="356"/>
        <w:spacing w:after="0"/>
        <w:tabs>
          <w:tab w:leader="none" w:pos="20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except as may otherwise be provided in the applicable option agreement, by (A) delivery of an</w:t>
      </w:r>
    </w:p>
    <w:p>
      <w:pPr>
        <w:spacing w:after="0" w:line="27" w:lineRule="exact"/>
        <w:rPr>
          <w:sz w:val="20"/>
          <w:szCs w:val="20"/>
          <w:color w:val="auto"/>
        </w:rPr>
      </w:pPr>
    </w:p>
    <w:p>
      <w:pPr>
        <w:ind w:left="2000" w:right="259"/>
        <w:spacing w:after="0" w:line="234" w:lineRule="auto"/>
        <w:rPr>
          <w:sz w:val="20"/>
          <w:szCs w:val="20"/>
          <w:color w:val="auto"/>
        </w:rPr>
      </w:pPr>
      <w:r>
        <w:rPr>
          <w:rFonts w:ascii="Arial" w:cs="Arial" w:eastAsia="Arial" w:hAnsi="Arial"/>
          <w:sz w:val="18"/>
          <w:szCs w:val="18"/>
          <w:color w:val="auto"/>
        </w:rPr>
        <w:t>irrevocable and unconditional undertaking by a creditworthy broker to deliver promptly to the Company sufficient funds to pay the exercise price and any required tax withholding and</w:t>
      </w:r>
    </w:p>
    <w:p>
      <w:pPr>
        <w:spacing w:after="0" w:line="1" w:lineRule="exact"/>
        <w:rPr>
          <w:sz w:val="20"/>
          <w:szCs w:val="20"/>
          <w:color w:val="auto"/>
        </w:rPr>
      </w:pPr>
    </w:p>
    <w:p>
      <w:pPr>
        <w:jc w:val="both"/>
        <w:ind w:left="2000" w:right="539"/>
        <w:spacing w:after="0" w:line="250" w:lineRule="auto"/>
        <w:rPr>
          <w:sz w:val="20"/>
          <w:szCs w:val="20"/>
          <w:color w:val="auto"/>
        </w:rPr>
      </w:pPr>
      <w:r>
        <w:rPr>
          <w:rFonts w:ascii="Arial" w:cs="Arial" w:eastAsia="Arial" w:hAnsi="Arial"/>
          <w:sz w:val="18"/>
          <w:szCs w:val="18"/>
          <w:color w:val="auto"/>
        </w:rPr>
        <w:t>(B)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04" w:lineRule="exact"/>
        <w:rPr>
          <w:sz w:val="20"/>
          <w:szCs w:val="20"/>
          <w:color w:val="auto"/>
        </w:rPr>
      </w:pPr>
    </w:p>
    <w:p>
      <w:pPr>
        <w:ind w:left="2000" w:right="119" w:hanging="356"/>
        <w:spacing w:after="0" w:line="242" w:lineRule="auto"/>
        <w:tabs>
          <w:tab w:leader="none" w:pos="2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the extent provided for in the applicable option agreement or approved by the Board, in its sole discretion, (A) by the withholding of shares of Common Stock otherwise issuable under an Award or (B) by delivery (either by actual delivery or attestation) of shares of Common Stock owned by the Participant valued in the manner determined by (or in a manner approved by) the Board, provided (x) such method of payment is then permitted under applicable law,</w:t>
      </w:r>
    </w:p>
    <w:p>
      <w:pPr>
        <w:ind w:left="2000" w:right="159"/>
        <w:spacing w:after="0" w:line="245" w:lineRule="auto"/>
        <w:rPr>
          <w:rFonts w:ascii="Arial" w:cs="Arial" w:eastAsia="Arial" w:hAnsi="Arial"/>
          <w:sz w:val="18"/>
          <w:szCs w:val="18"/>
          <w:color w:val="auto"/>
        </w:rPr>
      </w:pPr>
      <w:r>
        <w:rPr>
          <w:rFonts w:ascii="Arial" w:cs="Arial" w:eastAsia="Arial" w:hAnsi="Arial"/>
          <w:sz w:val="18"/>
          <w:szCs w:val="18"/>
          <w:color w:val="auto"/>
        </w:rPr>
        <w:t>(y) such Common Stock, if acquired directly from the Company, was owned by the Participant for such minimum period of time, if any, as may be established by the Board in its sole discretion, and (z) such Common Stock is not subject to any repurchase, forfeiture, unfulfilled vesting or other similar requirements;</w:t>
      </w:r>
    </w:p>
    <w:p>
      <w:pPr>
        <w:spacing w:after="0" w:line="109" w:lineRule="exact"/>
        <w:rPr>
          <w:sz w:val="20"/>
          <w:szCs w:val="20"/>
          <w:color w:val="auto"/>
        </w:rPr>
      </w:pPr>
    </w:p>
    <w:p>
      <w:pPr>
        <w:ind w:left="2000" w:right="119" w:hanging="356"/>
        <w:spacing w:after="0" w:line="261" w:lineRule="auto"/>
        <w:tabs>
          <w:tab w:leader="none" w:pos="2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to the extent permitted by applicable law and provided for in the applicable option agreement or approved by the Board, in its sole discretion, by payment of such other lawful consideration as the Board may determine; or</w:t>
      </w:r>
    </w:p>
    <w:p>
      <w:pPr>
        <w:spacing w:after="0" w:line="80" w:lineRule="exact"/>
        <w:rPr>
          <w:rFonts w:ascii="Arial" w:cs="Arial" w:eastAsia="Arial" w:hAnsi="Arial"/>
          <w:sz w:val="18"/>
          <w:szCs w:val="18"/>
          <w:color w:val="auto"/>
        </w:rPr>
      </w:pPr>
    </w:p>
    <w:p>
      <w:pPr>
        <w:ind w:left="2000" w:hanging="356"/>
        <w:spacing w:after="0"/>
        <w:tabs>
          <w:tab w:leader="none" w:pos="2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by any combination of the above permitted forms of payment.</w:t>
      </w:r>
    </w:p>
    <w:p>
      <w:pPr>
        <w:spacing w:after="0" w:line="13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Board may in its discretion specify that, if any shares of Restricted Stock (“Tendered Restricted</w:t>
      </w:r>
    </w:p>
    <w:p>
      <w:pPr>
        <w:spacing w:after="0" w:line="14" w:lineRule="exact"/>
        <w:rPr>
          <w:sz w:val="20"/>
          <w:szCs w:val="20"/>
          <w:color w:val="auto"/>
        </w:rPr>
      </w:pPr>
    </w:p>
    <w:p>
      <w:pPr>
        <w:ind w:left="1280" w:right="219"/>
        <w:spacing w:after="0" w:line="226" w:lineRule="auto"/>
        <w:rPr>
          <w:sz w:val="20"/>
          <w:szCs w:val="20"/>
          <w:color w:val="auto"/>
        </w:rPr>
      </w:pPr>
      <w:r>
        <w:rPr>
          <w:rFonts w:ascii="Arial" w:cs="Arial" w:eastAsia="Arial" w:hAnsi="Arial"/>
          <w:sz w:val="18"/>
          <w:szCs w:val="18"/>
          <w:color w:val="auto"/>
        </w:rPr>
        <w:t>Shares”) are used to pay the exercise price, (x) all the shares of Common Stock acquired on exercise of the Option shall be subject to the same restrictions as the Tendered Restricted Shares, determined</w:t>
      </w:r>
    </w:p>
    <w:p>
      <w:pPr>
        <w:ind w:left="1280"/>
        <w:spacing w:after="0" w:line="236" w:lineRule="auto"/>
        <w:rPr>
          <w:sz w:val="20"/>
          <w:szCs w:val="20"/>
          <w:color w:val="auto"/>
        </w:rPr>
      </w:pPr>
      <w:r>
        <w:rPr>
          <w:rFonts w:ascii="Arial" w:cs="Arial" w:eastAsia="Arial" w:hAnsi="Arial"/>
          <w:sz w:val="18"/>
          <w:szCs w:val="18"/>
          <w:color w:val="auto"/>
        </w:rPr>
        <w:t>as of the date of exercise of the Option, or (y) a number of shares of Common Stock acquired on</w:t>
      </w:r>
    </w:p>
    <w:p>
      <w:pPr>
        <w:spacing w:after="0" w:line="1" w:lineRule="exact"/>
        <w:rPr>
          <w:sz w:val="20"/>
          <w:szCs w:val="20"/>
          <w:color w:val="auto"/>
        </w:rPr>
      </w:pPr>
    </w:p>
    <w:p>
      <w:pPr>
        <w:ind w:left="1280" w:right="119"/>
        <w:spacing w:after="0" w:line="237" w:lineRule="auto"/>
        <w:rPr>
          <w:sz w:val="20"/>
          <w:szCs w:val="20"/>
          <w:color w:val="auto"/>
        </w:rPr>
      </w:pPr>
      <w:r>
        <w:rPr>
          <w:rFonts w:ascii="Arial" w:cs="Arial" w:eastAsia="Arial" w:hAnsi="Arial"/>
          <w:sz w:val="18"/>
          <w:szCs w:val="18"/>
          <w:color w:val="auto"/>
        </w:rPr>
        <w:t>exercise of the Option equal to the number of Tendered Restricted Shares shall be subject to the same restrictions as the Tendered Restricted Shares, determined as of the date of exercise of the Option.</w:t>
      </w:r>
    </w:p>
    <w:p>
      <w:pPr>
        <w:spacing w:after="0" w:line="113" w:lineRule="exact"/>
        <w:rPr>
          <w:sz w:val="20"/>
          <w:szCs w:val="20"/>
          <w:color w:val="auto"/>
        </w:rPr>
      </w:pPr>
    </w:p>
    <w:p>
      <w:pPr>
        <w:ind w:left="1640" w:right="299" w:hanging="356"/>
        <w:spacing w:after="0" w:line="261" w:lineRule="auto"/>
        <w:tabs>
          <w:tab w:leader="none" w:pos="1640"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Fair market value of a share of Common Stock for purposes of establishing</w:t>
      </w:r>
      <w:r>
        <w:rPr>
          <w:rFonts w:ascii="Arial" w:cs="Arial" w:eastAsia="Arial" w:hAnsi="Arial"/>
          <w:sz w:val="18"/>
          <w:szCs w:val="18"/>
          <w:i w:val="1"/>
          <w:iCs w:val="1"/>
          <w:color w:val="auto"/>
        </w:rPr>
        <w:t xml:space="preserve"> </w:t>
      </w:r>
      <w:r>
        <w:rPr>
          <w:rFonts w:ascii="Arial" w:cs="Arial" w:eastAsia="Arial" w:hAnsi="Arial"/>
          <w:sz w:val="18"/>
          <w:szCs w:val="18"/>
          <w:color w:val="auto"/>
        </w:rPr>
        <w:t>the exercise price of each Option under Section 5(c) and the exercise price of each SAR under Section 6(c) will be determined as follows:</w:t>
      </w:r>
    </w:p>
    <w:p>
      <w:pPr>
        <w:spacing w:after="0" w:line="94" w:lineRule="exact"/>
        <w:rPr>
          <w:rFonts w:ascii="Arial" w:cs="Arial" w:eastAsia="Arial" w:hAnsi="Arial"/>
          <w:sz w:val="18"/>
          <w:szCs w:val="18"/>
          <w:color w:val="auto"/>
        </w:rPr>
      </w:pPr>
    </w:p>
    <w:p>
      <w:pPr>
        <w:ind w:left="2000" w:right="239" w:hanging="356"/>
        <w:spacing w:after="0" w:line="271" w:lineRule="auto"/>
        <w:tabs>
          <w:tab w:leader="none" w:pos="20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if the Common Stock trades on a national securities exchange, the closing sale price (for the primary trading session) on the date of grant;</w:t>
      </w:r>
    </w:p>
    <w:p>
      <w:pPr>
        <w:spacing w:after="0" w:line="86" w:lineRule="exact"/>
        <w:rPr>
          <w:rFonts w:ascii="Arial" w:cs="Arial" w:eastAsia="Arial" w:hAnsi="Arial"/>
          <w:sz w:val="18"/>
          <w:szCs w:val="18"/>
          <w:color w:val="auto"/>
        </w:rPr>
      </w:pPr>
    </w:p>
    <w:p>
      <w:pPr>
        <w:ind w:left="2000" w:right="139" w:hanging="356"/>
        <w:spacing w:after="0" w:line="246" w:lineRule="auto"/>
        <w:tabs>
          <w:tab w:leader="none" w:pos="20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if the Common Stock does not trade on any such exchange, the average of the closing bid and ask prices for the date of grant as reported by the principal market on which the Common Stock is then traded, or if there are no such closing bid and ask prices, the average of the bid and ask prices as reported by any other commercial service for the date of grant; or (iii) if the Common Stock does not trade on any such exchange and there are no bid and asked prices available for determination under Section 5(g)(ii), the fair market value as determined by the Board in its discretion.</w:t>
      </w:r>
    </w:p>
    <w:p>
      <w:pPr>
        <w:spacing w:after="0" w:line="94" w:lineRule="exact"/>
        <w:rPr>
          <w:sz w:val="20"/>
          <w:szCs w:val="20"/>
          <w:color w:val="auto"/>
        </w:rPr>
      </w:pPr>
    </w:p>
    <w:p>
      <w:pPr>
        <w:ind w:left="1280" w:right="199"/>
        <w:spacing w:after="0" w:line="256" w:lineRule="auto"/>
        <w:rPr>
          <w:sz w:val="20"/>
          <w:szCs w:val="20"/>
          <w:color w:val="auto"/>
        </w:rPr>
      </w:pPr>
      <w:r>
        <w:rPr>
          <w:rFonts w:ascii="Arial" w:cs="Arial" w:eastAsia="Arial" w:hAnsi="Arial"/>
          <w:sz w:val="18"/>
          <w:szCs w:val="18"/>
          <w:color w:val="auto"/>
        </w:rPr>
        <w:t>For any date that is not a trading day, the fair market value of a share of Common Stock for such date will be determined by using the closing sale price or average of the bid and asked</w:t>
      </w:r>
    </w:p>
    <w:p>
      <w:pPr>
        <w:spacing w:after="0" w:line="166"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1280" w:right="119"/>
        <w:spacing w:after="0" w:line="247" w:lineRule="auto"/>
        <w:rPr>
          <w:sz w:val="20"/>
          <w:szCs w:val="20"/>
          <w:color w:val="auto"/>
        </w:rPr>
      </w:pPr>
      <w:r>
        <w:rPr>
          <w:rFonts w:ascii="Arial" w:cs="Arial" w:eastAsia="Arial" w:hAnsi="Arial"/>
          <w:sz w:val="18"/>
          <w:szCs w:val="18"/>
          <w:color w:val="auto"/>
        </w:rPr>
        <w:t>prices, as appropriate, for the immediately following trading day and with the timing in the formulas above adjusted accordingly. The Board can substitute a particular time of day or other measure of “closing sale price” or “bid and asked prices” if appropriate because of exchange or market procedures or can, in its sole discretion, use weighted averages either on a daily basis or such longer period as complies with Section 409A.</w:t>
      </w:r>
    </w:p>
    <w:p>
      <w:pPr>
        <w:spacing w:after="0" w:line="123" w:lineRule="exact"/>
        <w:rPr>
          <w:sz w:val="20"/>
          <w:szCs w:val="20"/>
          <w:color w:val="auto"/>
        </w:rPr>
      </w:pPr>
    </w:p>
    <w:p>
      <w:pPr>
        <w:ind w:left="1640" w:right="179" w:hanging="356"/>
        <w:spacing w:after="0" w:line="245" w:lineRule="auto"/>
        <w:tabs>
          <w:tab w:leader="none" w:pos="1640" w:val="left"/>
        </w:tabs>
        <w:numPr>
          <w:ilvl w:val="1"/>
          <w:numId w:val="168"/>
        </w:numPr>
        <w:rPr>
          <w:rFonts w:ascii="Arial" w:cs="Arial" w:eastAsia="Arial" w:hAnsi="Arial"/>
          <w:sz w:val="18"/>
          <w:szCs w:val="18"/>
          <w:color w:val="auto"/>
        </w:rPr>
      </w:pPr>
      <w:r>
        <w:rPr>
          <w:rFonts w:ascii="Arial" w:cs="Arial" w:eastAsia="Arial" w:hAnsi="Arial"/>
          <w:sz w:val="18"/>
          <w:szCs w:val="18"/>
          <w:i w:val="1"/>
          <w:iCs w:val="1"/>
          <w:color w:val="auto"/>
        </w:rPr>
        <w:t xml:space="preserve">Limitation on Repricing. </w:t>
      </w:r>
      <w:r>
        <w:rPr>
          <w:rFonts w:ascii="Arial" w:cs="Arial" w:eastAsia="Arial" w:hAnsi="Arial"/>
          <w:sz w:val="18"/>
          <w:szCs w:val="18"/>
          <w:color w:val="auto"/>
        </w:rPr>
        <w:t>Other than pursuant to Section 10, the Board shall not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the Company’s stockholders: (i) lower the exercise price of an Option, (ii) cancel an Option when the exercise price per share exceeds the fair market value of one share in exchange for cash or another Award, or (iii) take any other action with respect to an Option that would be treated as a repricing under the rules and regulations of the principal U.S. national securities exchange on which the shares of Common Stock are listed.</w:t>
      </w:r>
    </w:p>
    <w:p>
      <w:pPr>
        <w:spacing w:after="0" w:line="109" w:lineRule="exact"/>
        <w:rPr>
          <w:rFonts w:ascii="Arial" w:cs="Arial" w:eastAsia="Arial" w:hAnsi="Arial"/>
          <w:sz w:val="18"/>
          <w:szCs w:val="18"/>
          <w:color w:val="auto"/>
        </w:rPr>
      </w:pPr>
    </w:p>
    <w:p>
      <w:pPr>
        <w:ind w:left="1640" w:right="339" w:hanging="356"/>
        <w:spacing w:after="0" w:line="261" w:lineRule="auto"/>
        <w:tabs>
          <w:tab w:leader="none" w:pos="1640" w:val="left"/>
        </w:tabs>
        <w:numPr>
          <w:ilvl w:val="1"/>
          <w:numId w:val="168"/>
        </w:numPr>
        <w:rPr>
          <w:rFonts w:ascii="Arial" w:cs="Arial" w:eastAsia="Arial" w:hAnsi="Arial"/>
          <w:sz w:val="18"/>
          <w:szCs w:val="18"/>
          <w:color w:val="auto"/>
        </w:rPr>
      </w:pPr>
      <w:r>
        <w:rPr>
          <w:rFonts w:ascii="Arial" w:cs="Arial" w:eastAsia="Arial" w:hAnsi="Arial"/>
          <w:sz w:val="18"/>
          <w:szCs w:val="18"/>
          <w:i w:val="1"/>
          <w:iCs w:val="1"/>
          <w:color w:val="auto"/>
        </w:rPr>
        <w:t xml:space="preserve">No Reload Options. </w:t>
      </w:r>
      <w:r>
        <w:rPr>
          <w:rFonts w:ascii="Arial" w:cs="Arial" w:eastAsia="Arial" w:hAnsi="Arial"/>
          <w:sz w:val="18"/>
          <w:szCs w:val="18"/>
          <w:color w:val="auto"/>
        </w:rPr>
        <w:t>No Option granted under the Plan shall contain any provision entitling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to the automatic grant of additional Options in connection with the exercise of the original Option.</w:t>
      </w:r>
    </w:p>
    <w:p>
      <w:pPr>
        <w:spacing w:after="0" w:line="94" w:lineRule="exact"/>
        <w:rPr>
          <w:rFonts w:ascii="Arial" w:cs="Arial" w:eastAsia="Arial" w:hAnsi="Arial"/>
          <w:sz w:val="18"/>
          <w:szCs w:val="18"/>
          <w:color w:val="auto"/>
        </w:rPr>
      </w:pPr>
    </w:p>
    <w:p>
      <w:pPr>
        <w:ind w:left="1640" w:right="799" w:hanging="356"/>
        <w:spacing w:after="0" w:line="287" w:lineRule="auto"/>
        <w:tabs>
          <w:tab w:leader="none" w:pos="1640" w:val="left"/>
        </w:tabs>
        <w:numPr>
          <w:ilvl w:val="1"/>
          <w:numId w:val="168"/>
        </w:numPr>
        <w:rPr>
          <w:rFonts w:ascii="Arial" w:cs="Arial" w:eastAsia="Arial" w:hAnsi="Arial"/>
          <w:sz w:val="18"/>
          <w:szCs w:val="18"/>
          <w:color w:val="auto"/>
        </w:rPr>
      </w:pPr>
      <w:r>
        <w:rPr>
          <w:rFonts w:ascii="Arial" w:cs="Arial" w:eastAsia="Arial" w:hAnsi="Arial"/>
          <w:sz w:val="18"/>
          <w:szCs w:val="18"/>
          <w:i w:val="1"/>
          <w:iCs w:val="1"/>
          <w:color w:val="auto"/>
        </w:rPr>
        <w:t xml:space="preserve">No Dividend Equivalents. </w:t>
      </w:r>
      <w:r>
        <w:rPr>
          <w:rFonts w:ascii="Arial" w:cs="Arial" w:eastAsia="Arial" w:hAnsi="Arial"/>
          <w:sz w:val="18"/>
          <w:szCs w:val="18"/>
          <w:color w:val="auto"/>
        </w:rPr>
        <w:t>No Option shall provide for the payment or accrual of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w:t>
      </w:r>
    </w:p>
    <w:p>
      <w:pPr>
        <w:spacing w:after="0" w:line="71" w:lineRule="exact"/>
        <w:rPr>
          <w:rFonts w:ascii="Arial" w:cs="Arial" w:eastAsia="Arial" w:hAnsi="Arial"/>
          <w:sz w:val="18"/>
          <w:szCs w:val="18"/>
          <w:color w:val="auto"/>
        </w:rPr>
      </w:pPr>
    </w:p>
    <w:p>
      <w:pPr>
        <w:ind w:left="1640" w:right="139" w:hanging="356"/>
        <w:spacing w:after="0" w:line="247" w:lineRule="auto"/>
        <w:tabs>
          <w:tab w:leader="none" w:pos="1640" w:val="left"/>
        </w:tabs>
        <w:numPr>
          <w:ilvl w:val="1"/>
          <w:numId w:val="168"/>
        </w:numPr>
        <w:rPr>
          <w:rFonts w:ascii="Arial" w:cs="Arial" w:eastAsia="Arial" w:hAnsi="Arial"/>
          <w:sz w:val="18"/>
          <w:szCs w:val="18"/>
          <w:color w:val="auto"/>
        </w:rPr>
      </w:pPr>
      <w:r>
        <w:rPr>
          <w:rFonts w:ascii="Arial" w:cs="Arial" w:eastAsia="Arial" w:hAnsi="Arial"/>
          <w:sz w:val="18"/>
          <w:szCs w:val="18"/>
          <w:i w:val="1"/>
          <w:iCs w:val="1"/>
          <w:color w:val="auto"/>
        </w:rPr>
        <w:t xml:space="preserve">Disqualifying Disposition. </w:t>
      </w:r>
      <w:r>
        <w:rPr>
          <w:rFonts w:ascii="Arial" w:cs="Arial" w:eastAsia="Arial" w:hAnsi="Arial"/>
          <w:sz w:val="18"/>
          <w:szCs w:val="18"/>
          <w:color w:val="auto"/>
        </w:rPr>
        <w:t>Each Participant shall be required to notify the Board of any</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 of any shares of Common Stock delivered pursuant to the exercise of an Incentive Stock Option under the circumstances described in Section 421(b) of the Code (relating to holding periods and certain disqualifying dispositions) (“Disqualifying Disposition”) within 10 days after such a Disqualifying Disposition.</w:t>
      </w:r>
    </w:p>
    <w:p>
      <w:pPr>
        <w:spacing w:after="0" w:line="111" w:lineRule="exact"/>
        <w:rPr>
          <w:rFonts w:ascii="Arial" w:cs="Arial" w:eastAsia="Arial" w:hAnsi="Arial"/>
          <w:sz w:val="18"/>
          <w:szCs w:val="18"/>
          <w:color w:val="auto"/>
        </w:rPr>
      </w:pPr>
    </w:p>
    <w:p>
      <w:pPr>
        <w:ind w:left="1140" w:hanging="216"/>
        <w:spacing w:after="0"/>
        <w:tabs>
          <w:tab w:leader="none" w:pos="1140" w:val="left"/>
        </w:tabs>
        <w:numPr>
          <w:ilvl w:val="0"/>
          <w:numId w:val="169"/>
        </w:numPr>
        <w:rPr>
          <w:rFonts w:ascii="Arial" w:cs="Arial" w:eastAsia="Arial" w:hAnsi="Arial"/>
          <w:sz w:val="18"/>
          <w:szCs w:val="18"/>
          <w:i w:val="1"/>
          <w:iCs w:val="1"/>
          <w:color w:val="auto"/>
        </w:rPr>
      </w:pPr>
      <w:r>
        <w:rPr>
          <w:rFonts w:ascii="Arial" w:cs="Arial" w:eastAsia="Arial" w:hAnsi="Arial"/>
          <w:sz w:val="18"/>
          <w:szCs w:val="18"/>
          <w:i w:val="1"/>
          <w:iCs w:val="1"/>
          <w:color w:val="auto"/>
        </w:rPr>
        <w:t>Stock Appreciation Rights.</w:t>
      </w:r>
    </w:p>
    <w:p>
      <w:pPr>
        <w:spacing w:after="0" w:line="142" w:lineRule="exact"/>
        <w:rPr>
          <w:rFonts w:ascii="Arial" w:cs="Arial" w:eastAsia="Arial" w:hAnsi="Arial"/>
          <w:sz w:val="18"/>
          <w:szCs w:val="18"/>
          <w:i w:val="1"/>
          <w:iCs w:val="1"/>
          <w:color w:val="auto"/>
        </w:rPr>
      </w:pPr>
    </w:p>
    <w:p>
      <w:pPr>
        <w:ind w:left="1640" w:right="299" w:hanging="356"/>
        <w:spacing w:after="0" w:line="248" w:lineRule="auto"/>
        <w:tabs>
          <w:tab w:leader="none" w:pos="1640" w:val="left"/>
        </w:tabs>
        <w:numPr>
          <w:ilvl w:val="1"/>
          <w:numId w:val="169"/>
        </w:numPr>
        <w:rPr>
          <w:rFonts w:ascii="Arial" w:cs="Arial" w:eastAsia="Arial" w:hAnsi="Arial"/>
          <w:sz w:val="18"/>
          <w:szCs w:val="18"/>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Board may grant Awards consisting of a SAR entitling the holder, upon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to receive an amount in Common Stock or cash or a combination thereof (such form to be determined by the Board) determined in whole or in part by reference to appreciation, from and after the date of grant, in the fair market value of a share of Common Stock over the exercise price established pursuant to Section 6(c). The date as of which such appreciation or other measure is determined shall be the exercise date.</w:t>
      </w:r>
    </w:p>
    <w:p>
      <w:pPr>
        <w:spacing w:after="0" w:line="107" w:lineRule="exact"/>
        <w:rPr>
          <w:rFonts w:ascii="Arial" w:cs="Arial" w:eastAsia="Arial" w:hAnsi="Arial"/>
          <w:sz w:val="18"/>
          <w:szCs w:val="18"/>
          <w:color w:val="auto"/>
        </w:rPr>
      </w:pPr>
    </w:p>
    <w:p>
      <w:pPr>
        <w:ind w:left="1640" w:right="359" w:hanging="356"/>
        <w:spacing w:after="0" w:line="271" w:lineRule="auto"/>
        <w:tabs>
          <w:tab w:leader="none" w:pos="1640" w:val="left"/>
        </w:tabs>
        <w:numPr>
          <w:ilvl w:val="1"/>
          <w:numId w:val="169"/>
        </w:numPr>
        <w:rPr>
          <w:rFonts w:ascii="Arial" w:cs="Arial" w:eastAsia="Arial" w:hAnsi="Arial"/>
          <w:sz w:val="18"/>
          <w:szCs w:val="18"/>
          <w:color w:val="auto"/>
        </w:rPr>
      </w:pPr>
      <w:r>
        <w:rPr>
          <w:rFonts w:ascii="Arial" w:cs="Arial" w:eastAsia="Arial" w:hAnsi="Arial"/>
          <w:sz w:val="18"/>
          <w:szCs w:val="18"/>
          <w:i w:val="1"/>
          <w:iCs w:val="1"/>
          <w:color w:val="auto"/>
        </w:rPr>
        <w:t xml:space="preserve">Grants. </w:t>
      </w:r>
      <w:r>
        <w:rPr>
          <w:rFonts w:ascii="Arial" w:cs="Arial" w:eastAsia="Arial" w:hAnsi="Arial"/>
          <w:sz w:val="18"/>
          <w:szCs w:val="18"/>
          <w:color w:val="auto"/>
        </w:rPr>
        <w:t>SARs may be granted in tandem with, or independently of, Options granted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w:t>
      </w:r>
    </w:p>
    <w:p>
      <w:pPr>
        <w:spacing w:after="0" w:line="99" w:lineRule="exact"/>
        <w:rPr>
          <w:rFonts w:ascii="Arial" w:cs="Arial" w:eastAsia="Arial" w:hAnsi="Arial"/>
          <w:sz w:val="18"/>
          <w:szCs w:val="18"/>
          <w:color w:val="auto"/>
        </w:rPr>
      </w:pPr>
    </w:p>
    <w:p>
      <w:pPr>
        <w:ind w:left="2000" w:right="119" w:hanging="356"/>
        <w:spacing w:after="0" w:line="242" w:lineRule="auto"/>
        <w:tabs>
          <w:tab w:leader="none" w:pos="2000" w:val="left"/>
        </w:tabs>
        <w:numPr>
          <w:ilvl w:val="2"/>
          <w:numId w:val="169"/>
        </w:numPr>
        <w:rPr>
          <w:rFonts w:ascii="Arial" w:cs="Arial" w:eastAsia="Arial" w:hAnsi="Arial"/>
          <w:sz w:val="18"/>
          <w:szCs w:val="18"/>
          <w:color w:val="auto"/>
        </w:rPr>
      </w:pPr>
      <w:r>
        <w:rPr>
          <w:rFonts w:ascii="Arial" w:cs="Arial" w:eastAsia="Arial" w:hAnsi="Arial"/>
          <w:sz w:val="18"/>
          <w:szCs w:val="18"/>
          <w:i w:val="1"/>
          <w:iCs w:val="1"/>
          <w:color w:val="auto"/>
        </w:rPr>
        <w:t xml:space="preserve">Tandem Awards. </w:t>
      </w:r>
      <w:r>
        <w:rPr>
          <w:rFonts w:ascii="Arial" w:cs="Arial" w:eastAsia="Arial" w:hAnsi="Arial"/>
          <w:sz w:val="18"/>
          <w:szCs w:val="18"/>
          <w:color w:val="auto"/>
        </w:rPr>
        <w:t>When SARs are expressly granted in tandem with Options, (i) the SAR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exercisable only at such time or times, and to the extent, that the related Option is exercisable (except to the extent designated by the Board in connection with a Reorganization Event (as defined below)) and will be exercisable in accordance with the procedure required for exercise of the related Option; (ii) the SAR will terminate and no longer be exercisable upon the termination or exercise of the related Option, except to the extent designated by the Board in connection with a Reorganization Event and except that a SAR granted with respect to less than the full number of shares covered by an Option will not be reduced until the number of shares as to which the related Option has been exercised or has terminated exceeds the number of shares not covered by the SAR; (iii) the Option will terminate and no longer be exercisable upon the exercise of the related SAR; and (iv) the SAR will be transferable only with the related Option.</w:t>
      </w:r>
    </w:p>
    <w:p>
      <w:pPr>
        <w:spacing w:after="0" w:line="323" w:lineRule="exact"/>
        <w:rPr>
          <w:rFonts w:ascii="Arial" w:cs="Arial" w:eastAsia="Arial" w:hAnsi="Arial"/>
          <w:sz w:val="18"/>
          <w:szCs w:val="18"/>
          <w:color w:val="auto"/>
        </w:rPr>
      </w:pPr>
    </w:p>
    <w:p>
      <w:pPr>
        <w:ind w:left="2000" w:right="419" w:hanging="356"/>
        <w:spacing w:after="0" w:line="261" w:lineRule="auto"/>
        <w:tabs>
          <w:tab w:leader="none" w:pos="2000" w:val="left"/>
        </w:tabs>
        <w:numPr>
          <w:ilvl w:val="2"/>
          <w:numId w:val="169"/>
        </w:numPr>
        <w:rPr>
          <w:rFonts w:ascii="Arial" w:cs="Arial" w:eastAsia="Arial" w:hAnsi="Arial"/>
          <w:sz w:val="18"/>
          <w:szCs w:val="18"/>
          <w:color w:val="auto"/>
        </w:rPr>
      </w:pPr>
      <w:r>
        <w:rPr>
          <w:rFonts w:ascii="Arial" w:cs="Arial" w:eastAsia="Arial" w:hAnsi="Arial"/>
          <w:sz w:val="18"/>
          <w:szCs w:val="18"/>
          <w:i w:val="1"/>
          <w:iCs w:val="1"/>
          <w:color w:val="auto"/>
        </w:rPr>
        <w:t xml:space="preserve">Independent SARs. </w:t>
      </w:r>
      <w:r>
        <w:rPr>
          <w:rFonts w:ascii="Arial" w:cs="Arial" w:eastAsia="Arial" w:hAnsi="Arial"/>
          <w:sz w:val="18"/>
          <w:szCs w:val="18"/>
          <w:color w:val="auto"/>
        </w:rPr>
        <w:t>A SAR not expressly granted in tandem with an Option will become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at such time or times, and on such conditions, as the Board may specify in the SAR Award.</w:t>
      </w:r>
    </w:p>
    <w:p>
      <w:pPr>
        <w:spacing w:after="0" w:line="94" w:lineRule="exact"/>
        <w:rPr>
          <w:rFonts w:ascii="Arial" w:cs="Arial" w:eastAsia="Arial" w:hAnsi="Arial"/>
          <w:sz w:val="18"/>
          <w:szCs w:val="18"/>
          <w:color w:val="auto"/>
        </w:rPr>
      </w:pPr>
    </w:p>
    <w:p>
      <w:pPr>
        <w:ind w:left="1640" w:right="319" w:hanging="356"/>
        <w:spacing w:after="0" w:line="252" w:lineRule="auto"/>
        <w:tabs>
          <w:tab w:leader="none" w:pos="1640" w:val="left"/>
        </w:tabs>
        <w:numPr>
          <w:ilvl w:val="1"/>
          <w:numId w:val="169"/>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Board shall establish the exercise price of each SAR and specify it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SAR agreement. Subject to Section 4(d) and Section 6(i), the exercise price shall not be less than 100% of the fair market value of a share of Common Stock on the date the SAR is granted; provided that if the Board approves the grant of a SAR with an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C-6</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167640</wp:posOffset>
            </wp:positionV>
            <wp:extent cx="683196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1640" w:right="139"/>
        <w:spacing w:after="0" w:line="271" w:lineRule="auto"/>
        <w:rPr>
          <w:sz w:val="20"/>
          <w:szCs w:val="20"/>
          <w:color w:val="auto"/>
        </w:rPr>
      </w:pPr>
      <w:r>
        <w:rPr>
          <w:rFonts w:ascii="Arial" w:cs="Arial" w:eastAsia="Arial" w:hAnsi="Arial"/>
          <w:sz w:val="18"/>
          <w:szCs w:val="18"/>
          <w:color w:val="auto"/>
        </w:rPr>
        <w:t>exercise price to be determined on a future date, the exercise price shall be not less than 100% of the fair market value on such future date.</w:t>
      </w:r>
    </w:p>
    <w:p>
      <w:pPr>
        <w:spacing w:after="0" w:line="86" w:lineRule="exact"/>
        <w:rPr>
          <w:sz w:val="20"/>
          <w:szCs w:val="20"/>
          <w:color w:val="auto"/>
        </w:rPr>
      </w:pPr>
    </w:p>
    <w:p>
      <w:pPr>
        <w:ind w:left="1640" w:right="119" w:hanging="356"/>
        <w:spacing w:after="0" w:line="243" w:lineRule="auto"/>
        <w:tabs>
          <w:tab w:leader="none" w:pos="1640"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Each SAR shall be exercisable at such times and subject to such terms and conditions as</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may specify in the applicable SAR agreement; provided that, notwithstanding the foregoing and unless determined otherwise by the Company, in the event that on the last business day of the term of a SAR (other than a SAR granted in tandem with an Incentive Stock Option)</w:t>
      </w:r>
    </w:p>
    <w:p>
      <w:pPr>
        <w:spacing w:after="0" w:line="3" w:lineRule="exact"/>
        <w:rPr>
          <w:rFonts w:ascii="Arial" w:cs="Arial" w:eastAsia="Arial" w:hAnsi="Arial"/>
          <w:sz w:val="18"/>
          <w:szCs w:val="18"/>
          <w:color w:val="auto"/>
        </w:rPr>
      </w:pPr>
    </w:p>
    <w:p>
      <w:pPr>
        <w:ind w:left="1860" w:hanging="216"/>
        <w:spacing w:after="0" w:line="234" w:lineRule="auto"/>
        <w:tabs>
          <w:tab w:leader="none" w:pos="18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exercise of the SAR is prohibited by applicable law, as determined by the Company or</w:t>
      </w:r>
    </w:p>
    <w:p>
      <w:pPr>
        <w:ind w:left="1920" w:hanging="276"/>
        <w:spacing w:after="0"/>
        <w:tabs>
          <w:tab w:leader="none" w:pos="19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shares of Common Stock may not be purchased or sold by the applicable Participant due to</w:t>
      </w:r>
    </w:p>
    <w:p>
      <w:pPr>
        <w:spacing w:after="0" w:line="9" w:lineRule="exact"/>
        <w:rPr>
          <w:sz w:val="20"/>
          <w:szCs w:val="20"/>
          <w:color w:val="auto"/>
        </w:rPr>
      </w:pPr>
    </w:p>
    <w:p>
      <w:pPr>
        <w:ind w:left="1640" w:right="199"/>
        <w:spacing w:after="0" w:line="237" w:lineRule="auto"/>
        <w:rPr>
          <w:sz w:val="20"/>
          <w:szCs w:val="20"/>
          <w:color w:val="auto"/>
        </w:rPr>
      </w:pPr>
      <w:r>
        <w:rPr>
          <w:rFonts w:ascii="Arial" w:cs="Arial" w:eastAsia="Arial" w:hAnsi="Arial"/>
          <w:sz w:val="18"/>
          <w:szCs w:val="18"/>
          <w:color w:val="auto"/>
        </w:rPr>
        <w:t>any Company insider trading policy (including blackout periods) or a “lock -up” agreement undertaken in connection with an issuance of securities by the Company, the term of the SAR shall be extended until the date that is thirty (30) days after the end of the legal prohibition, black-out period or lock-up agreement, as determined by the Company; provided, however, in no event shall the extension last beyond the term of the applicable SAR (which, in no event will exceed ten</w:t>
      </w:r>
    </w:p>
    <w:p>
      <w:pPr>
        <w:spacing w:after="0" w:line="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(10) years from the date of grant).</w:t>
      </w:r>
    </w:p>
    <w:p>
      <w:pPr>
        <w:spacing w:after="0" w:line="126" w:lineRule="exact"/>
        <w:rPr>
          <w:sz w:val="20"/>
          <w:szCs w:val="20"/>
          <w:color w:val="auto"/>
        </w:rPr>
      </w:pPr>
    </w:p>
    <w:p>
      <w:pPr>
        <w:ind w:left="1640" w:right="259" w:hanging="356"/>
        <w:spacing w:after="0" w:line="252" w:lineRule="auto"/>
        <w:tabs>
          <w:tab w:leader="none" w:pos="1640" w:val="left"/>
        </w:tabs>
        <w:numPr>
          <w:ilvl w:val="1"/>
          <w:numId w:val="171"/>
        </w:numPr>
        <w:rPr>
          <w:rFonts w:ascii="Arial" w:cs="Arial" w:eastAsia="Arial" w:hAnsi="Arial"/>
          <w:sz w:val="18"/>
          <w:szCs w:val="18"/>
          <w:color w:val="auto"/>
        </w:rPr>
      </w:pPr>
      <w:r>
        <w:rPr>
          <w:rFonts w:ascii="Arial" w:cs="Arial" w:eastAsia="Arial" w:hAnsi="Arial"/>
          <w:sz w:val="18"/>
          <w:szCs w:val="18"/>
          <w:i w:val="1"/>
          <w:iCs w:val="1"/>
          <w:color w:val="auto"/>
        </w:rPr>
        <w:t xml:space="preserve">Exercise. </w:t>
      </w:r>
      <w:r>
        <w:rPr>
          <w:rFonts w:ascii="Arial" w:cs="Arial" w:eastAsia="Arial" w:hAnsi="Arial"/>
          <w:sz w:val="18"/>
          <w:szCs w:val="18"/>
          <w:color w:val="auto"/>
        </w:rPr>
        <w:t>SARs may be exercised by delivery to the Company of a written notice of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signed by the proper person or by any other form of notice (including electronic notice) approved by the Company, together with any other documents required by the Board. The form of such notice of exercise shall be determined by the Company in its sole discretion.</w:t>
      </w:r>
    </w:p>
    <w:p>
      <w:pPr>
        <w:spacing w:after="0" w:line="102" w:lineRule="exact"/>
        <w:rPr>
          <w:rFonts w:ascii="Arial" w:cs="Arial" w:eastAsia="Arial" w:hAnsi="Arial"/>
          <w:sz w:val="18"/>
          <w:szCs w:val="18"/>
          <w:color w:val="auto"/>
        </w:rPr>
      </w:pPr>
    </w:p>
    <w:p>
      <w:pPr>
        <w:ind w:left="1640" w:right="119" w:hanging="356"/>
        <w:spacing w:after="0" w:line="245" w:lineRule="auto"/>
        <w:tabs>
          <w:tab w:leader="none" w:pos="1640" w:val="left"/>
        </w:tabs>
        <w:numPr>
          <w:ilvl w:val="1"/>
          <w:numId w:val="171"/>
        </w:numPr>
        <w:rPr>
          <w:rFonts w:ascii="Arial" w:cs="Arial" w:eastAsia="Arial" w:hAnsi="Arial"/>
          <w:sz w:val="18"/>
          <w:szCs w:val="18"/>
          <w:color w:val="auto"/>
        </w:rPr>
      </w:pPr>
      <w:r>
        <w:rPr>
          <w:rFonts w:ascii="Arial" w:cs="Arial" w:eastAsia="Arial" w:hAnsi="Arial"/>
          <w:sz w:val="18"/>
          <w:szCs w:val="18"/>
          <w:i w:val="1"/>
          <w:iCs w:val="1"/>
          <w:color w:val="auto"/>
        </w:rPr>
        <w:t xml:space="preserve">Limitation on Repricing. </w:t>
      </w:r>
      <w:r>
        <w:rPr>
          <w:rFonts w:ascii="Arial" w:cs="Arial" w:eastAsia="Arial" w:hAnsi="Arial"/>
          <w:sz w:val="18"/>
          <w:szCs w:val="18"/>
          <w:color w:val="auto"/>
        </w:rPr>
        <w:t>Other than pursuant to Section 10, the Board shall not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the Company’s stockholders: (i) lower the exercise price of a SAR, (ii) cancel a SAR when the exercise price per share exceeds the fair market value of one share in exchange for cash or another Award, or (iii) take any other action with respect to a SAR that would be treated as a repricing under the rules and regulations of the principal U.S. national securities exchange on which the shares of Common Stock are listed.</w:t>
      </w:r>
    </w:p>
    <w:p>
      <w:pPr>
        <w:spacing w:after="0" w:line="109" w:lineRule="exact"/>
        <w:rPr>
          <w:rFonts w:ascii="Arial" w:cs="Arial" w:eastAsia="Arial" w:hAnsi="Arial"/>
          <w:sz w:val="18"/>
          <w:szCs w:val="18"/>
          <w:color w:val="auto"/>
        </w:rPr>
      </w:pPr>
    </w:p>
    <w:p>
      <w:pPr>
        <w:ind w:left="1640" w:right="359" w:hanging="356"/>
        <w:spacing w:after="0" w:line="268" w:lineRule="auto"/>
        <w:tabs>
          <w:tab w:leader="none" w:pos="1640" w:val="left"/>
        </w:tabs>
        <w:numPr>
          <w:ilvl w:val="1"/>
          <w:numId w:val="171"/>
        </w:numPr>
        <w:rPr>
          <w:rFonts w:ascii="Arial" w:cs="Arial" w:eastAsia="Arial" w:hAnsi="Arial"/>
          <w:sz w:val="18"/>
          <w:szCs w:val="18"/>
          <w:color w:val="auto"/>
        </w:rPr>
      </w:pPr>
      <w:r>
        <w:rPr>
          <w:rFonts w:ascii="Arial" w:cs="Arial" w:eastAsia="Arial" w:hAnsi="Arial"/>
          <w:sz w:val="18"/>
          <w:szCs w:val="18"/>
          <w:i w:val="1"/>
          <w:iCs w:val="1"/>
          <w:color w:val="auto"/>
        </w:rPr>
        <w:t xml:space="preserve">No Reload Rights. </w:t>
      </w:r>
      <w:r>
        <w:rPr>
          <w:rFonts w:ascii="Arial" w:cs="Arial" w:eastAsia="Arial" w:hAnsi="Arial"/>
          <w:sz w:val="18"/>
          <w:szCs w:val="18"/>
          <w:color w:val="auto"/>
        </w:rPr>
        <w:t>No SAR granted under the Plan shall contain any provision entitling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grantee to the automatic grant of additional SARs in connection with the exercise of the original SAR.</w:t>
      </w:r>
    </w:p>
    <w:p>
      <w:pPr>
        <w:spacing w:after="0" w:line="293" w:lineRule="exact"/>
        <w:rPr>
          <w:rFonts w:ascii="Arial" w:cs="Arial" w:eastAsia="Arial" w:hAnsi="Arial"/>
          <w:sz w:val="18"/>
          <w:szCs w:val="18"/>
          <w:color w:val="auto"/>
        </w:rPr>
      </w:pPr>
    </w:p>
    <w:p>
      <w:pPr>
        <w:ind w:left="1640" w:right="979" w:hanging="356"/>
        <w:spacing w:after="0" w:line="287" w:lineRule="auto"/>
        <w:tabs>
          <w:tab w:leader="none" w:pos="1640" w:val="left"/>
        </w:tabs>
        <w:numPr>
          <w:ilvl w:val="1"/>
          <w:numId w:val="171"/>
        </w:numPr>
        <w:rPr>
          <w:rFonts w:ascii="Arial" w:cs="Arial" w:eastAsia="Arial" w:hAnsi="Arial"/>
          <w:sz w:val="18"/>
          <w:szCs w:val="18"/>
          <w:color w:val="auto"/>
        </w:rPr>
      </w:pPr>
      <w:r>
        <w:rPr>
          <w:rFonts w:ascii="Arial" w:cs="Arial" w:eastAsia="Arial" w:hAnsi="Arial"/>
          <w:sz w:val="18"/>
          <w:szCs w:val="18"/>
          <w:i w:val="1"/>
          <w:iCs w:val="1"/>
          <w:color w:val="auto"/>
        </w:rPr>
        <w:t xml:space="preserve">No Dividend Equivalents. </w:t>
      </w:r>
      <w:r>
        <w:rPr>
          <w:rFonts w:ascii="Arial" w:cs="Arial" w:eastAsia="Arial" w:hAnsi="Arial"/>
          <w:sz w:val="18"/>
          <w:szCs w:val="18"/>
          <w:color w:val="auto"/>
        </w:rPr>
        <w:t>No SAR shall provide for the payment or accrual of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w:t>
      </w:r>
    </w:p>
    <w:p>
      <w:pPr>
        <w:spacing w:after="0" w:line="71" w:lineRule="exact"/>
        <w:rPr>
          <w:rFonts w:ascii="Arial" w:cs="Arial" w:eastAsia="Arial" w:hAnsi="Arial"/>
          <w:sz w:val="18"/>
          <w:szCs w:val="18"/>
          <w:color w:val="auto"/>
        </w:rPr>
      </w:pPr>
    </w:p>
    <w:p>
      <w:pPr>
        <w:ind w:left="1640" w:right="119" w:hanging="356"/>
        <w:spacing w:after="0" w:line="245" w:lineRule="auto"/>
        <w:tabs>
          <w:tab w:leader="none" w:pos="1640" w:val="left"/>
        </w:tabs>
        <w:numPr>
          <w:ilvl w:val="1"/>
          <w:numId w:val="171"/>
        </w:numPr>
        <w:rPr>
          <w:rFonts w:ascii="Arial" w:cs="Arial" w:eastAsia="Arial" w:hAnsi="Arial"/>
          <w:sz w:val="18"/>
          <w:szCs w:val="18"/>
          <w:color w:val="auto"/>
        </w:rPr>
      </w:pPr>
      <w:r>
        <w:rPr>
          <w:rFonts w:ascii="Arial" w:cs="Arial" w:eastAsia="Arial" w:hAnsi="Arial"/>
          <w:sz w:val="18"/>
          <w:szCs w:val="18"/>
          <w:i w:val="1"/>
          <w:iCs w:val="1"/>
          <w:color w:val="auto"/>
        </w:rPr>
        <w:t xml:space="preserve">Substitution of SARs. </w:t>
      </w:r>
      <w:r>
        <w:rPr>
          <w:rFonts w:ascii="Arial" w:cs="Arial" w:eastAsia="Arial" w:hAnsi="Arial"/>
          <w:sz w:val="18"/>
          <w:szCs w:val="18"/>
          <w:color w:val="auto"/>
        </w:rPr>
        <w:t>The Board may provide in the applicable option agreement evidencing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of an Option that the Board, in its sole discretion, shall have the right to substitute a SAR for such Option at any time prior to or upon exercise of such Option; provided, that such SAR shall be exercisable with respect to the same number of shares of Common Stock for which such substituted Option would have been exercisable, and shall also have the same exercise price and remaining term as the substituted Option.</w:t>
      </w:r>
    </w:p>
    <w:p>
      <w:pPr>
        <w:spacing w:after="0" w:line="111" w:lineRule="exact"/>
        <w:rPr>
          <w:rFonts w:ascii="Arial" w:cs="Arial" w:eastAsia="Arial" w:hAnsi="Arial"/>
          <w:sz w:val="18"/>
          <w:szCs w:val="18"/>
          <w:color w:val="auto"/>
        </w:rPr>
      </w:pPr>
    </w:p>
    <w:p>
      <w:pPr>
        <w:ind w:left="1140" w:hanging="216"/>
        <w:spacing w:after="0"/>
        <w:tabs>
          <w:tab w:leader="none" w:pos="1140" w:val="left"/>
        </w:tabs>
        <w:numPr>
          <w:ilvl w:val="0"/>
          <w:numId w:val="172"/>
        </w:numPr>
        <w:rPr>
          <w:rFonts w:ascii="Arial" w:cs="Arial" w:eastAsia="Arial" w:hAnsi="Arial"/>
          <w:sz w:val="18"/>
          <w:szCs w:val="18"/>
          <w:i w:val="1"/>
          <w:iCs w:val="1"/>
          <w:color w:val="auto"/>
        </w:rPr>
      </w:pPr>
      <w:r>
        <w:rPr>
          <w:rFonts w:ascii="Arial" w:cs="Arial" w:eastAsia="Arial" w:hAnsi="Arial"/>
          <w:sz w:val="18"/>
          <w:szCs w:val="18"/>
          <w:i w:val="1"/>
          <w:iCs w:val="1"/>
          <w:color w:val="auto"/>
        </w:rPr>
        <w:t>Restricted Stock; Restricted Stock Units.</w:t>
      </w:r>
    </w:p>
    <w:p>
      <w:pPr>
        <w:spacing w:after="0" w:line="142" w:lineRule="exact"/>
        <w:rPr>
          <w:rFonts w:ascii="Arial" w:cs="Arial" w:eastAsia="Arial" w:hAnsi="Arial"/>
          <w:sz w:val="18"/>
          <w:szCs w:val="18"/>
          <w:i w:val="1"/>
          <w:iCs w:val="1"/>
          <w:color w:val="auto"/>
        </w:rPr>
      </w:pPr>
    </w:p>
    <w:p>
      <w:pPr>
        <w:ind w:left="1640" w:right="139" w:hanging="356"/>
        <w:spacing w:after="0" w:line="243" w:lineRule="auto"/>
        <w:tabs>
          <w:tab w:leader="none" w:pos="1640" w:val="left"/>
        </w:tabs>
        <w:numPr>
          <w:ilvl w:val="1"/>
          <w:numId w:val="172"/>
        </w:numPr>
        <w:rPr>
          <w:rFonts w:ascii="Arial" w:cs="Arial" w:eastAsia="Arial" w:hAnsi="Arial"/>
          <w:sz w:val="18"/>
          <w:szCs w:val="18"/>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Board may grant Awards entitling Participants to acquire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subject to the right of the Company to repurchase all or part of such shares at their issue price or other stated or formula price (or to require forfeiture of such shares if issued at no cost) from the Participant in the event that conditions specified by the Board in the applicable Award are not satisfied prior to the end of the applicable restriction period or periods established by the Board for such Award. Instead of granting Awards for Restricted Stock, the Board may grant Awards entitling the recipient to receive shares of Common Stock or cash to be delivered at the time of (or following) the vesting of such Award (“Restricted Stock Units”) (Restricted Stock and Restricted Stock Units are each referred to herein as a “Restricted Stock Award”). The Board shall determine the amount, if any, that a Participant shall pay for any Restricted Stock Award, if any, provided that it shall be no less than the nominal value per share of Common Stock if required to be paid by applicable law.</w:t>
      </w:r>
    </w:p>
    <w:p>
      <w:pPr>
        <w:spacing w:after="0" w:line="104" w:lineRule="exact"/>
        <w:rPr>
          <w:rFonts w:ascii="Arial" w:cs="Arial" w:eastAsia="Arial" w:hAnsi="Arial"/>
          <w:sz w:val="18"/>
          <w:szCs w:val="18"/>
          <w:color w:val="auto"/>
        </w:rPr>
      </w:pPr>
    </w:p>
    <w:p>
      <w:pPr>
        <w:ind w:left="1640" w:hanging="356"/>
        <w:spacing w:after="0"/>
        <w:tabs>
          <w:tab w:leader="none" w:pos="1640" w:val="left"/>
        </w:tabs>
        <w:numPr>
          <w:ilvl w:val="1"/>
          <w:numId w:val="172"/>
        </w:numPr>
        <w:rPr>
          <w:rFonts w:ascii="Arial" w:cs="Arial" w:eastAsia="Arial" w:hAnsi="Arial"/>
          <w:sz w:val="18"/>
          <w:szCs w:val="18"/>
          <w:color w:val="auto"/>
        </w:rPr>
      </w:pPr>
      <w:r>
        <w:rPr>
          <w:rFonts w:ascii="Arial" w:cs="Arial" w:eastAsia="Arial" w:hAnsi="Arial"/>
          <w:sz w:val="18"/>
          <w:szCs w:val="18"/>
          <w:i w:val="1"/>
          <w:iCs w:val="1"/>
          <w:color w:val="auto"/>
        </w:rPr>
        <w:t xml:space="preserve">Terms and Conditions for all Restricted Stock Awards.  </w:t>
      </w:r>
      <w:r>
        <w:rPr>
          <w:rFonts w:ascii="Arial" w:cs="Arial" w:eastAsia="Arial" w:hAnsi="Arial"/>
          <w:sz w:val="18"/>
          <w:szCs w:val="18"/>
          <w:color w:val="auto"/>
        </w:rPr>
        <w:t>The Board shall determine the</w:t>
      </w: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1640" w:right="219"/>
        <w:spacing w:after="0" w:line="271" w:lineRule="auto"/>
        <w:rPr>
          <w:sz w:val="20"/>
          <w:szCs w:val="20"/>
          <w:color w:val="auto"/>
        </w:rPr>
      </w:pPr>
      <w:r>
        <w:rPr>
          <w:rFonts w:ascii="Arial" w:cs="Arial" w:eastAsia="Arial" w:hAnsi="Arial"/>
          <w:sz w:val="18"/>
          <w:szCs w:val="18"/>
          <w:color w:val="auto"/>
        </w:rPr>
        <w:t>terms and conditions of a Restricted Stock Award, including the conditions for vesting, settlement and repurchase (or forfeiture) and the issue price, if any.</w:t>
      </w:r>
    </w:p>
    <w:p>
      <w:pPr>
        <w:spacing w:after="0" w:line="86" w:lineRule="exact"/>
        <w:rPr>
          <w:sz w:val="20"/>
          <w:szCs w:val="20"/>
          <w:color w:val="auto"/>
        </w:rPr>
      </w:pPr>
    </w:p>
    <w:p>
      <w:pPr>
        <w:ind w:left="1640" w:hanging="356"/>
        <w:spacing w:after="0"/>
        <w:tabs>
          <w:tab w:leader="none" w:pos="1640" w:val="left"/>
        </w:tabs>
        <w:numPr>
          <w:ilvl w:val="1"/>
          <w:numId w:val="173"/>
        </w:numPr>
        <w:rPr>
          <w:rFonts w:ascii="Arial" w:cs="Arial" w:eastAsia="Arial" w:hAnsi="Arial"/>
          <w:sz w:val="18"/>
          <w:szCs w:val="18"/>
          <w:color w:val="auto"/>
        </w:rPr>
      </w:pPr>
      <w:r>
        <w:rPr>
          <w:rFonts w:ascii="Arial" w:cs="Arial" w:eastAsia="Arial" w:hAnsi="Arial"/>
          <w:sz w:val="18"/>
          <w:szCs w:val="18"/>
          <w:i w:val="1"/>
          <w:iCs w:val="1"/>
          <w:color w:val="auto"/>
        </w:rPr>
        <w:t>Additional Provisions Relating to Restricted Stock</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2000" w:right="799" w:hanging="356"/>
        <w:spacing w:after="0" w:line="271" w:lineRule="auto"/>
        <w:tabs>
          <w:tab w:leader="none" w:pos="2000" w:val="left"/>
        </w:tabs>
        <w:numPr>
          <w:ilvl w:val="2"/>
          <w:numId w:val="173"/>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A Participant shall have all voting rights with respect to any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w:t>
      </w:r>
    </w:p>
    <w:p>
      <w:pPr>
        <w:spacing w:after="0" w:line="86" w:lineRule="exact"/>
        <w:rPr>
          <w:rFonts w:ascii="Arial" w:cs="Arial" w:eastAsia="Arial" w:hAnsi="Arial"/>
          <w:sz w:val="18"/>
          <w:szCs w:val="18"/>
          <w:color w:val="auto"/>
        </w:rPr>
      </w:pPr>
    </w:p>
    <w:p>
      <w:pPr>
        <w:ind w:left="2000" w:right="139" w:hanging="356"/>
        <w:spacing w:after="0" w:line="234" w:lineRule="auto"/>
        <w:tabs>
          <w:tab w:leader="none" w:pos="2000" w:val="left"/>
        </w:tabs>
        <w:numPr>
          <w:ilvl w:val="2"/>
          <w:numId w:val="173"/>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Any dividends (whether paid in cash, stock or property) declared and paid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with respect to shares of Restricted Stock (“Unvested Dividends”)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stockholders of that class of stock or, if later, the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of the third month following the lapsing of the restrictions on transferability and the forfeitability provisions applicable to the underlying shares of Restricted Stock. No interest will be paid on Unvested Dividends. No Unvested Dividends may be paid with respect to shares of Restricted Stock that are forfeited.</w:t>
      </w:r>
    </w:p>
    <w:p>
      <w:pPr>
        <w:spacing w:after="0" w:line="105" w:lineRule="exact"/>
        <w:rPr>
          <w:rFonts w:ascii="Arial" w:cs="Arial" w:eastAsia="Arial" w:hAnsi="Arial"/>
          <w:sz w:val="18"/>
          <w:szCs w:val="18"/>
          <w:color w:val="auto"/>
        </w:rPr>
      </w:pPr>
    </w:p>
    <w:p>
      <w:pPr>
        <w:ind w:left="2000" w:right="119" w:hanging="356"/>
        <w:spacing w:after="0" w:line="244" w:lineRule="auto"/>
        <w:tabs>
          <w:tab w:leader="none" w:pos="2000" w:val="left"/>
        </w:tabs>
        <w:numPr>
          <w:ilvl w:val="2"/>
          <w:numId w:val="173"/>
        </w:numPr>
        <w:rPr>
          <w:rFonts w:ascii="Arial" w:cs="Arial" w:eastAsia="Arial" w:hAnsi="Arial"/>
          <w:sz w:val="18"/>
          <w:szCs w:val="18"/>
          <w:color w:val="auto"/>
        </w:rPr>
      </w:pPr>
      <w:r>
        <w:rPr>
          <w:rFonts w:ascii="Arial" w:cs="Arial" w:eastAsia="Arial" w:hAnsi="Arial"/>
          <w:sz w:val="18"/>
          <w:szCs w:val="18"/>
          <w:i w:val="1"/>
          <w:iCs w:val="1"/>
          <w:color w:val="auto"/>
        </w:rPr>
        <w:t xml:space="preserve">Stock Certificates. </w:t>
      </w:r>
      <w:r>
        <w:rPr>
          <w:rFonts w:ascii="Arial" w:cs="Arial" w:eastAsia="Arial" w:hAnsi="Arial"/>
          <w:sz w:val="18"/>
          <w:szCs w:val="18"/>
          <w:color w:val="auto"/>
        </w:rPr>
        <w:t>The Company may require that any stock certificates issued in respect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Restricted Stock, as well as dividends or distributions paid on such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109" w:lineRule="exact"/>
        <w:rPr>
          <w:rFonts w:ascii="Arial" w:cs="Arial" w:eastAsia="Arial" w:hAnsi="Arial"/>
          <w:sz w:val="18"/>
          <w:szCs w:val="18"/>
          <w:color w:val="auto"/>
        </w:rPr>
      </w:pPr>
    </w:p>
    <w:p>
      <w:pPr>
        <w:ind w:left="1640" w:hanging="356"/>
        <w:spacing w:after="0"/>
        <w:tabs>
          <w:tab w:leader="none" w:pos="1640" w:val="left"/>
        </w:tabs>
        <w:numPr>
          <w:ilvl w:val="1"/>
          <w:numId w:val="173"/>
        </w:numPr>
        <w:rPr>
          <w:rFonts w:ascii="Arial" w:cs="Arial" w:eastAsia="Arial" w:hAnsi="Arial"/>
          <w:sz w:val="18"/>
          <w:szCs w:val="18"/>
          <w:color w:val="auto"/>
        </w:rPr>
      </w:pPr>
      <w:r>
        <w:rPr>
          <w:rFonts w:ascii="Arial" w:cs="Arial" w:eastAsia="Arial" w:hAnsi="Arial"/>
          <w:sz w:val="18"/>
          <w:szCs w:val="18"/>
          <w:i w:val="1"/>
          <w:iCs w:val="1"/>
          <w:color w:val="auto"/>
        </w:rPr>
        <w:t>Additional Provisions Relating to Restricted Stock Units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2000" w:right="159" w:hanging="356"/>
        <w:spacing w:after="0" w:line="244" w:lineRule="auto"/>
        <w:tabs>
          <w:tab w:leader="none" w:pos="2000" w:val="left"/>
        </w:tabs>
        <w:numPr>
          <w:ilvl w:val="2"/>
          <w:numId w:val="173"/>
        </w:numPr>
        <w:rPr>
          <w:rFonts w:ascii="Arial" w:cs="Arial" w:eastAsia="Arial" w:hAnsi="Arial"/>
          <w:sz w:val="18"/>
          <w:szCs w:val="18"/>
          <w:color w:val="auto"/>
        </w:rPr>
      </w:pPr>
      <w:r>
        <w:rPr>
          <w:rFonts w:ascii="Arial" w:cs="Arial" w:eastAsia="Arial" w:hAnsi="Arial"/>
          <w:sz w:val="18"/>
          <w:szCs w:val="18"/>
          <w:i w:val="1"/>
          <w:iCs w:val="1"/>
          <w:color w:val="auto"/>
        </w:rPr>
        <w:t xml:space="preserve">Settlement. </w:t>
      </w:r>
      <w:r>
        <w:rPr>
          <w:rFonts w:ascii="Arial" w:cs="Arial" w:eastAsia="Arial" w:hAnsi="Arial"/>
          <w:sz w:val="18"/>
          <w:szCs w:val="18"/>
          <w:color w:val="auto"/>
        </w:rPr>
        <w:t>Upon the vesting of and/or lapsing of any other restrictions with respect to each</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 the Participant shall be entitled to receive from the Company in settlement of such Restricted Stock Unit such number of shares of Common Stock or an amount of cash equal to the value determined by (or in a manner approved by) the Board of such number of shares of Common Stock, as provided in the applicable Award agreement. Subject to Section 409A, the Board may, in its sole discretion, provide that settlement of Restricted Stock Units shall be deferred, on a mandatory basis or at the election of the Participant.</w:t>
      </w:r>
    </w:p>
    <w:p>
      <w:pPr>
        <w:spacing w:after="0" w:line="322" w:lineRule="exact"/>
        <w:rPr>
          <w:rFonts w:ascii="Arial" w:cs="Arial" w:eastAsia="Arial" w:hAnsi="Arial"/>
          <w:sz w:val="18"/>
          <w:szCs w:val="18"/>
          <w:color w:val="auto"/>
        </w:rPr>
      </w:pPr>
    </w:p>
    <w:p>
      <w:pPr>
        <w:ind w:left="2000" w:right="199" w:hanging="356"/>
        <w:spacing w:after="0" w:line="287" w:lineRule="auto"/>
        <w:tabs>
          <w:tab w:leader="none" w:pos="2000" w:val="left"/>
        </w:tabs>
        <w:numPr>
          <w:ilvl w:val="2"/>
          <w:numId w:val="173"/>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A Participant shall have no voting rights with respect to any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Units.</w:t>
      </w:r>
    </w:p>
    <w:p>
      <w:pPr>
        <w:spacing w:after="0" w:line="58" w:lineRule="exact"/>
        <w:rPr>
          <w:rFonts w:ascii="Arial" w:cs="Arial" w:eastAsia="Arial" w:hAnsi="Arial"/>
          <w:sz w:val="18"/>
          <w:szCs w:val="18"/>
          <w:color w:val="auto"/>
        </w:rPr>
      </w:pPr>
    </w:p>
    <w:p>
      <w:pPr>
        <w:ind w:left="2000" w:right="119" w:hanging="356"/>
        <w:spacing w:after="0" w:line="246" w:lineRule="auto"/>
        <w:tabs>
          <w:tab w:leader="none" w:pos="2000" w:val="left"/>
        </w:tabs>
        <w:numPr>
          <w:ilvl w:val="2"/>
          <w:numId w:val="173"/>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The Award agreement for Restricted Stock Units may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with the right to receive an amount, in cash and/or shares of Common Stock, equal to any dividends or other distributions declared and paid on an equal number of outstanding shares of Common Stock (“Dividend Equivalents”); except that any such Dividend Equivalents shall be subject to the same vesting conditions and restrictions on transfer and forfeitability applicable to the underlying Restricted Stock Unit with respect to which they are paid. No interest will be paid on Dividend Equivalents. No Dividends Equivalents may be paid with respect to Restricted Stock Units that are forfeited.</w:t>
      </w:r>
    </w:p>
    <w:p>
      <w:pPr>
        <w:spacing w:after="0" w:line="113" w:lineRule="exact"/>
        <w:rPr>
          <w:rFonts w:ascii="Arial" w:cs="Arial" w:eastAsia="Arial" w:hAnsi="Arial"/>
          <w:sz w:val="18"/>
          <w:szCs w:val="18"/>
          <w:color w:val="auto"/>
        </w:rPr>
      </w:pPr>
    </w:p>
    <w:p>
      <w:pPr>
        <w:ind w:left="1280" w:hanging="356"/>
        <w:spacing w:after="0"/>
        <w:tabs>
          <w:tab w:leader="none" w:pos="1280" w:val="left"/>
        </w:tabs>
        <w:numPr>
          <w:ilvl w:val="0"/>
          <w:numId w:val="174"/>
        </w:numPr>
        <w:rPr>
          <w:rFonts w:ascii="Arial" w:cs="Arial" w:eastAsia="Arial" w:hAnsi="Arial"/>
          <w:sz w:val="18"/>
          <w:szCs w:val="18"/>
          <w:i w:val="1"/>
          <w:iCs w:val="1"/>
          <w:color w:val="auto"/>
        </w:rPr>
      </w:pPr>
      <w:r>
        <w:rPr>
          <w:rFonts w:ascii="Arial" w:cs="Arial" w:eastAsia="Arial" w:hAnsi="Arial"/>
          <w:sz w:val="18"/>
          <w:szCs w:val="18"/>
          <w:i w:val="1"/>
          <w:iCs w:val="1"/>
          <w:color w:val="auto"/>
        </w:rPr>
        <w:t>Other Stock- or Cash-Based Awards.</w:t>
      </w:r>
    </w:p>
    <w:p>
      <w:pPr>
        <w:spacing w:after="0" w:line="128" w:lineRule="exact"/>
        <w:rPr>
          <w:rFonts w:ascii="Arial" w:cs="Arial" w:eastAsia="Arial" w:hAnsi="Arial"/>
          <w:sz w:val="18"/>
          <w:szCs w:val="18"/>
          <w:i w:val="1"/>
          <w:iCs w:val="1"/>
          <w:color w:val="auto"/>
        </w:rPr>
      </w:pPr>
    </w:p>
    <w:p>
      <w:pPr>
        <w:ind w:left="1280" w:right="139"/>
        <w:spacing w:after="0" w:line="237" w:lineRule="auto"/>
        <w:rPr>
          <w:rFonts w:ascii="Arial" w:cs="Arial" w:eastAsia="Arial" w:hAnsi="Arial"/>
          <w:sz w:val="18"/>
          <w:szCs w:val="18"/>
          <w:i w:val="1"/>
          <w:iCs w:val="1"/>
          <w:color w:val="auto"/>
        </w:rPr>
      </w:pPr>
      <w:r>
        <w:rPr>
          <w:rFonts w:ascii="Arial" w:cs="Arial" w:eastAsia="Arial" w:hAnsi="Arial"/>
          <w:sz w:val="18"/>
          <w:szCs w:val="18"/>
          <w:color w:val="auto"/>
        </w:rPr>
        <w:t>Other Awards of shares of Common Stock, and other Awards that are valued in whole or in part by reference to, or are otherwise based on, shares of Common Stock or other property (“Other Stock-Based Awards”), which may include, without limitation, deferred shares or deferred stock units, as well as cash payments and other cash bonus awards (“Cash-Based Awards”),</w:t>
      </w:r>
    </w:p>
    <w:p>
      <w:pPr>
        <w:spacing w:after="0" w:line="19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C-8</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1280" w:right="119"/>
        <w:spacing w:after="0" w:line="243" w:lineRule="auto"/>
        <w:rPr>
          <w:sz w:val="20"/>
          <w:szCs w:val="20"/>
          <w:color w:val="auto"/>
        </w:rPr>
      </w:pPr>
      <w:r>
        <w:rPr>
          <w:rFonts w:ascii="Arial" w:cs="Arial" w:eastAsia="Arial" w:hAnsi="Arial"/>
          <w:sz w:val="18"/>
          <w:szCs w:val="18"/>
          <w:color w:val="auto"/>
        </w:rPr>
        <w:t>may be granted hereunder to Participants, including, without limitation, Dividend Equivalents and Awards entitling recipients to receive shares of Common Stock or cash to be delivered in the future. Such Other Stock-Based Awards and Cash-Based Awards shall also be available as a form of payment in the settlement of other Awards granted under the Plan or as payment in lieu of compensation to which a Participant is otherwise entitled (including, without limitation, annual or other cash bonuses). Subject to the provisions of the Plan, the Board shall determine the terms and conditions of each Other Stock-Based Award and Cash- Based Award, including, without limitation, any exercise or purchase price, performance goals, transfer restrictions, or vesting and forfeiture conditions applicable thereto, provided that, if the Other Stock-Based Award is to be settled in shares of Common Stock, issuance of the shares of Common Stock shall be subject to payment by the Participant in cash of the nominal value for each share of Common Stock so issued to the extent required by applicable law.</w:t>
      </w:r>
    </w:p>
    <w:p>
      <w:pPr>
        <w:spacing w:after="0" w:line="327" w:lineRule="exact"/>
        <w:rPr>
          <w:sz w:val="20"/>
          <w:szCs w:val="20"/>
          <w:color w:val="auto"/>
        </w:rPr>
      </w:pPr>
    </w:p>
    <w:p>
      <w:pPr>
        <w:ind w:left="1280" w:right="119"/>
        <w:spacing w:after="0"/>
        <w:rPr>
          <w:sz w:val="20"/>
          <w:szCs w:val="20"/>
          <w:color w:val="auto"/>
        </w:rPr>
      </w:pPr>
      <w:r>
        <w:rPr>
          <w:rFonts w:ascii="Arial" w:cs="Arial" w:eastAsia="Arial" w:hAnsi="Arial"/>
          <w:sz w:val="18"/>
          <w:szCs w:val="18"/>
          <w:color w:val="auto"/>
        </w:rPr>
        <w:t>Any dividends or distributions (whether paid in cash, stock or property) declared and paid by the Company with respect to shares of Common Stock granted under an Other Stock-Based Award shall be paid to the Participant only if and when such shares become free from the restrictions on transferability and forfeitability that apply to such shares and will be paid no later than the end of the calendar year in which the dividends are paid to stockholders of that class of stock or, if later, the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of the third month following the lapsing of the restrictions on transferability and the forfeitability provisions applicable to the underlying Other Stock-Based Award. Any Dividend Equivalent provided in an Award agreement with respect to an Other Stock-Based Award shall be subject to the same vesting conditions and restrictions on transfer and forfeitability applicable to the Other Stock-Based Award with respect to which paid. No interest will be paid on any such dividends or Dividend Equivalents. No Dividends Equivalents may be paid with respect to Other Stock-Based Awards or Cash-Based Awards that are forfeited.</w:t>
      </w:r>
    </w:p>
    <w:p>
      <w:pPr>
        <w:spacing w:after="0" w:line="266" w:lineRule="exact"/>
        <w:rPr>
          <w:sz w:val="20"/>
          <w:szCs w:val="20"/>
          <w:color w:val="auto"/>
        </w:rPr>
      </w:pPr>
    </w:p>
    <w:p>
      <w:pPr>
        <w:ind w:left="1280" w:hanging="356"/>
        <w:spacing w:after="0"/>
        <w:tabs>
          <w:tab w:leader="none" w:pos="1280" w:val="left"/>
        </w:tabs>
        <w:numPr>
          <w:ilvl w:val="0"/>
          <w:numId w:val="175"/>
        </w:numPr>
        <w:rPr>
          <w:rFonts w:ascii="Arial" w:cs="Arial" w:eastAsia="Arial" w:hAnsi="Arial"/>
          <w:sz w:val="18"/>
          <w:szCs w:val="18"/>
          <w:i w:val="1"/>
          <w:iCs w:val="1"/>
          <w:color w:val="auto"/>
        </w:rPr>
      </w:pPr>
      <w:r>
        <w:rPr>
          <w:rFonts w:ascii="Arial" w:cs="Arial" w:eastAsia="Arial" w:hAnsi="Arial"/>
          <w:sz w:val="18"/>
          <w:szCs w:val="18"/>
          <w:i w:val="1"/>
          <w:iCs w:val="1"/>
          <w:color w:val="auto"/>
        </w:rPr>
        <w:t>Performance Awards.</w:t>
      </w:r>
    </w:p>
    <w:p>
      <w:pPr>
        <w:spacing w:after="0" w:line="155" w:lineRule="exact"/>
        <w:rPr>
          <w:rFonts w:ascii="Arial" w:cs="Arial" w:eastAsia="Arial" w:hAnsi="Arial"/>
          <w:sz w:val="18"/>
          <w:szCs w:val="18"/>
          <w:i w:val="1"/>
          <w:iCs w:val="1"/>
          <w:color w:val="auto"/>
        </w:rPr>
      </w:pPr>
    </w:p>
    <w:p>
      <w:pPr>
        <w:ind w:left="1640" w:right="139" w:hanging="356"/>
        <w:spacing w:after="0" w:line="247" w:lineRule="auto"/>
        <w:tabs>
          <w:tab w:leader="none" w:pos="1640" w:val="left"/>
        </w:tabs>
        <w:numPr>
          <w:ilvl w:val="1"/>
          <w:numId w:val="175"/>
        </w:numPr>
        <w:rPr>
          <w:rFonts w:ascii="Arial" w:cs="Arial" w:eastAsia="Arial" w:hAnsi="Arial"/>
          <w:sz w:val="18"/>
          <w:szCs w:val="18"/>
          <w:color w:val="auto"/>
        </w:rPr>
      </w:pPr>
      <w:r>
        <w:rPr>
          <w:rFonts w:ascii="Arial" w:cs="Arial" w:eastAsia="Arial" w:hAnsi="Arial"/>
          <w:sz w:val="18"/>
          <w:szCs w:val="18"/>
          <w:i w:val="1"/>
          <w:iCs w:val="1"/>
          <w:color w:val="auto"/>
        </w:rPr>
        <w:t xml:space="preserve">Performance-Based Grants. </w:t>
      </w:r>
      <w:r>
        <w:rPr>
          <w:rFonts w:ascii="Arial" w:cs="Arial" w:eastAsia="Arial" w:hAnsi="Arial"/>
          <w:sz w:val="18"/>
          <w:szCs w:val="18"/>
          <w:color w:val="auto"/>
        </w:rPr>
        <w:t>Any Award may be made subject to the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 as set forth in the applicable Award agreement (“Performance Awards”), provided that, if the Performance Award is to be settled in shares of Common Stock, issuance of the shares of Common Stock shall be subject to payment by the Participant in cash of the nominal value for each share of Common Stock so issued to the extent required by applicable law.</w:t>
      </w:r>
    </w:p>
    <w:p>
      <w:pPr>
        <w:spacing w:after="0" w:line="109" w:lineRule="exact"/>
        <w:rPr>
          <w:rFonts w:ascii="Arial" w:cs="Arial" w:eastAsia="Arial" w:hAnsi="Arial"/>
          <w:sz w:val="18"/>
          <w:szCs w:val="18"/>
          <w:color w:val="auto"/>
        </w:rPr>
      </w:pPr>
    </w:p>
    <w:p>
      <w:pPr>
        <w:jc w:val="both"/>
        <w:ind w:left="1640" w:right="239" w:hanging="356"/>
        <w:spacing w:after="0" w:line="246" w:lineRule="auto"/>
        <w:tabs>
          <w:tab w:leader="none" w:pos="1640" w:val="left"/>
        </w:tabs>
        <w:numPr>
          <w:ilvl w:val="1"/>
          <w:numId w:val="175"/>
        </w:numPr>
        <w:rPr>
          <w:rFonts w:ascii="Arial" w:cs="Arial" w:eastAsia="Arial" w:hAnsi="Arial"/>
          <w:sz w:val="18"/>
          <w:szCs w:val="18"/>
          <w:color w:val="auto"/>
        </w:rPr>
      </w:pPr>
      <w:r>
        <w:rPr>
          <w:rFonts w:ascii="Arial" w:cs="Arial" w:eastAsia="Arial" w:hAnsi="Arial"/>
          <w:sz w:val="18"/>
          <w:szCs w:val="18"/>
          <w:i w:val="1"/>
          <w:iCs w:val="1"/>
          <w:color w:val="auto"/>
        </w:rPr>
        <w:t xml:space="preserve">Performance Measures. </w:t>
      </w:r>
      <w:r>
        <w:rPr>
          <w:rFonts w:ascii="Arial" w:cs="Arial" w:eastAsia="Arial" w:hAnsi="Arial"/>
          <w:sz w:val="18"/>
          <w:szCs w:val="18"/>
          <w:color w:val="auto"/>
        </w:rPr>
        <w:t>For any Performance Award, the Board may specify that the degree of</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settlement and/or payout (or other term or condition of the Performance Award) shall be subject to the achievement of one or more performance measures established by the Board.</w:t>
      </w:r>
    </w:p>
    <w:p>
      <w:pPr>
        <w:spacing w:after="0" w:line="2" w:lineRule="exact"/>
        <w:rPr>
          <w:rFonts w:ascii="Arial" w:cs="Arial" w:eastAsia="Arial" w:hAnsi="Arial"/>
          <w:sz w:val="18"/>
          <w:szCs w:val="18"/>
          <w:color w:val="auto"/>
        </w:rPr>
      </w:pPr>
    </w:p>
    <w:p>
      <w:pPr>
        <w:ind w:left="1640" w:right="139"/>
        <w:spacing w:after="0" w:line="241" w:lineRule="auto"/>
        <w:rPr>
          <w:rFonts w:ascii="Arial" w:cs="Arial" w:eastAsia="Arial" w:hAnsi="Arial"/>
          <w:sz w:val="18"/>
          <w:szCs w:val="18"/>
          <w:color w:val="auto"/>
        </w:rPr>
      </w:pPr>
      <w:r>
        <w:rPr>
          <w:rFonts w:ascii="Arial" w:cs="Arial" w:eastAsia="Arial" w:hAnsi="Arial"/>
          <w:sz w:val="18"/>
          <w:szCs w:val="18"/>
          <w:color w:val="auto"/>
        </w:rPr>
        <w:t>Performance measures shall be adjusted to take into account any events or circumstances determined appropriate by the Board, including, without limitation, any one or more of the following: (A) extraordinary, nonrecurring or unusual items, (B) gains or losses on acquisitions or dispositions of assets or operations, (C) the cumulative effects of changes in tax laws or accounting principles, (D) the write-down of any asset, and (E) charges for restructuring and rationalization programs. Such performance measures may vary by Participant and may be different for different Awards and may be particular to a Participant or the department, branch, line of business, subsidiary or other unit in which the Participant works and may cover such period as may be specified by the Board. Such performance measures may be calculated on generally accepted accounting principles (“GAAP”) or non-GAAP basis or otherwise in accordance with applicable accounting principles or such other methodology as determined appropriate by the Board.</w:t>
      </w:r>
    </w:p>
    <w:p>
      <w:pPr>
        <w:spacing w:after="0" w:line="328" w:lineRule="exact"/>
        <w:rPr>
          <w:rFonts w:ascii="Arial" w:cs="Arial" w:eastAsia="Arial" w:hAnsi="Arial"/>
          <w:sz w:val="18"/>
          <w:szCs w:val="18"/>
          <w:color w:val="auto"/>
        </w:rPr>
      </w:pPr>
    </w:p>
    <w:p>
      <w:pPr>
        <w:ind w:left="1640" w:right="219" w:hanging="356"/>
        <w:spacing w:after="0" w:line="247" w:lineRule="auto"/>
        <w:tabs>
          <w:tab w:leader="none" w:pos="1640" w:val="left"/>
        </w:tabs>
        <w:numPr>
          <w:ilvl w:val="1"/>
          <w:numId w:val="175"/>
        </w:numPr>
        <w:rPr>
          <w:rFonts w:ascii="Arial" w:cs="Arial" w:eastAsia="Arial" w:hAnsi="Arial"/>
          <w:sz w:val="18"/>
          <w:szCs w:val="18"/>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Notwithstanding any provision of the Plan, with respect to any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Award, the Board may adjust downwards or upwards, the cash or number of Shares payable pursuant to such Performance Award in its discretion, and the Board may waive the achievement of the applicable performance measures. The Board shall have the power to impose such other restrictions on Performance Awards as it may deem necessary or appropriate.</w:t>
      </w:r>
    </w:p>
    <w:p>
      <w:pPr>
        <w:spacing w:after="0" w:line="177"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6" w:lineRule="exact"/>
        <w:rPr>
          <w:sz w:val="20"/>
          <w:szCs w:val="20"/>
          <w:color w:val="auto"/>
        </w:rPr>
      </w:pPr>
    </w:p>
    <w:p>
      <w:pPr>
        <w:ind w:left="1280" w:hanging="356"/>
        <w:spacing w:after="0"/>
        <w:tabs>
          <w:tab w:leader="none" w:pos="1280" w:val="left"/>
        </w:tabs>
        <w:numPr>
          <w:ilvl w:val="0"/>
          <w:numId w:val="176"/>
        </w:numPr>
        <w:rPr>
          <w:rFonts w:ascii="Arial" w:cs="Arial" w:eastAsia="Arial" w:hAnsi="Arial"/>
          <w:sz w:val="18"/>
          <w:szCs w:val="18"/>
          <w:i w:val="1"/>
          <w:iCs w:val="1"/>
          <w:color w:val="auto"/>
        </w:rPr>
      </w:pPr>
      <w:r>
        <w:rPr>
          <w:rFonts w:ascii="Arial" w:cs="Arial" w:eastAsia="Arial" w:hAnsi="Arial"/>
          <w:sz w:val="18"/>
          <w:szCs w:val="18"/>
          <w:i w:val="1"/>
          <w:iCs w:val="1"/>
          <w:color w:val="auto"/>
        </w:rPr>
        <w:t>Adjustments for Changes in Common Stock and Certain Other Events.</w:t>
      </w:r>
    </w:p>
    <w:p>
      <w:pPr>
        <w:spacing w:after="0" w:line="142" w:lineRule="exact"/>
        <w:rPr>
          <w:rFonts w:ascii="Arial" w:cs="Arial" w:eastAsia="Arial" w:hAnsi="Arial"/>
          <w:sz w:val="18"/>
          <w:szCs w:val="18"/>
          <w:i w:val="1"/>
          <w:iCs w:val="1"/>
          <w:color w:val="auto"/>
        </w:rPr>
      </w:pPr>
    </w:p>
    <w:p>
      <w:pPr>
        <w:ind w:left="1640" w:right="119" w:hanging="356"/>
        <w:spacing w:after="0"/>
        <w:tabs>
          <w:tab w:leader="none" w:pos="1640" w:val="left"/>
        </w:tabs>
        <w:numPr>
          <w:ilvl w:val="1"/>
          <w:numId w:val="176"/>
        </w:numPr>
        <w:rPr>
          <w:rFonts w:ascii="Arial" w:cs="Arial" w:eastAsia="Arial" w:hAnsi="Arial"/>
          <w:sz w:val="18"/>
          <w:szCs w:val="18"/>
          <w:color w:val="auto"/>
        </w:rPr>
      </w:pPr>
      <w:r>
        <w:rPr>
          <w:rFonts w:ascii="Arial" w:cs="Arial" w:eastAsia="Arial" w:hAnsi="Arial"/>
          <w:sz w:val="18"/>
          <w:szCs w:val="18"/>
          <w:i w:val="1"/>
          <w:iCs w:val="1"/>
          <w:color w:val="auto"/>
        </w:rPr>
        <w:t>Changes in Capitalization</w:t>
      </w:r>
      <w:r>
        <w:rPr>
          <w:rFonts w:ascii="Arial" w:cs="Arial" w:eastAsia="Arial" w:hAnsi="Arial"/>
          <w:sz w:val="18"/>
          <w:szCs w:val="18"/>
          <w:color w:val="auto"/>
        </w:rPr>
        <w:t>. In the event of any stock split, reverse stock split, stock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combination or exchange of shares, consolidation, reclassification of shares, spin-off or other similar change in capitalization or event, or any dividend or distribution to holders of Common Stock other than an ordinary cash dividend or any other change affecting the shares of Common Stock or the share price of the Common Stock (other than an Equity Restructuring), the Board may make equitable adjustments to reflect such change with respect to: (i) the number and class of securities available under the Plan, (ii) the number and class of securities and exercise price per share of each outstanding Option and SAR, (iii) the number of shares subject to and the repurchase price per share subject to each outstanding Restricted Stock Award, (iv) the number of shares subject to and the share-and per-share-related provisions and the purchase price, if any, of each outstanding Other Stock-Based Award, and (v) any other applicable the terms and conditions of outstanding Awards (including, without limitation, any applicable performance targets and criteria). Notwithstanding the foregoing, in the event of an Equity Restructuring, the Company shall equitably adjust in the manner determined by the Board the number and class of security subject to each outstanding Award and the exercise or purchase price thereof, if applicable (and such adjustments shall be nondiscretionary and final and binding on the affected Participants and the Company) and/or the aggregate number and class of security that may be issued under the Plan (including, without limitation, any share counting provisions related thereto). “Equity Restructuring” shall mean a nonreciprocal transaction between the Company and its stockholders, such as a stock dividend, stock split, spin-off, rights offering or recapitalization through a large, nonrecurring cash dividend, that affects the number or kind of shares of Common Stock (or other securities of the Company) or the share price of Common Stock (or other securities) and causes a change in the per-share value of the Common Stock underlying outstanding Awards. Notwithstanding the foregoing, (x) no such adjustment shall be authorized with respect to any Options or SARs to the extent that such adjustment would cause the Option or SAR (determined as if such Option or SAR was an Incentive Stock Option) to violate Section 424(a) of the Code or with respect to any Awards to the extent such adjustment would subject any Participant to taxation under Section 409A of the Code; and (y) the number of shares of Common Stock or other securities subject to any Award denominated in shares of Common Stock or other securities shall always be a whole number.</w:t>
      </w:r>
    </w:p>
    <w:p>
      <w:pPr>
        <w:spacing w:after="0" w:line="344" w:lineRule="exact"/>
        <w:rPr>
          <w:rFonts w:ascii="Arial" w:cs="Arial" w:eastAsia="Arial" w:hAnsi="Arial"/>
          <w:sz w:val="18"/>
          <w:szCs w:val="18"/>
          <w:color w:val="auto"/>
        </w:rPr>
      </w:pPr>
    </w:p>
    <w:p>
      <w:pPr>
        <w:ind w:left="1640" w:hanging="356"/>
        <w:spacing w:after="0"/>
        <w:tabs>
          <w:tab w:leader="none" w:pos="1640" w:val="left"/>
        </w:tabs>
        <w:numPr>
          <w:ilvl w:val="1"/>
          <w:numId w:val="176"/>
        </w:numPr>
        <w:rPr>
          <w:rFonts w:ascii="Arial" w:cs="Arial" w:eastAsia="Arial" w:hAnsi="Arial"/>
          <w:sz w:val="18"/>
          <w:szCs w:val="18"/>
          <w:color w:val="auto"/>
        </w:rPr>
      </w:pPr>
      <w:r>
        <w:rPr>
          <w:rFonts w:ascii="Arial" w:cs="Arial" w:eastAsia="Arial" w:hAnsi="Arial"/>
          <w:sz w:val="18"/>
          <w:szCs w:val="18"/>
          <w:i w:val="1"/>
          <w:iCs w:val="1"/>
          <w:color w:val="auto"/>
        </w:rPr>
        <w:t>Reorganization Events.</w:t>
      </w:r>
    </w:p>
    <w:p>
      <w:pPr>
        <w:spacing w:after="0" w:line="142" w:lineRule="exact"/>
        <w:rPr>
          <w:rFonts w:ascii="Arial" w:cs="Arial" w:eastAsia="Arial" w:hAnsi="Arial"/>
          <w:sz w:val="18"/>
          <w:szCs w:val="18"/>
          <w:color w:val="auto"/>
        </w:rPr>
      </w:pPr>
    </w:p>
    <w:p>
      <w:pPr>
        <w:ind w:left="2000" w:right="299" w:hanging="356"/>
        <w:spacing w:after="0" w:line="246" w:lineRule="auto"/>
        <w:tabs>
          <w:tab w:leader="none" w:pos="2000" w:val="left"/>
        </w:tabs>
        <w:numPr>
          <w:ilvl w:val="2"/>
          <w:numId w:val="176"/>
        </w:numPr>
        <w:rPr>
          <w:rFonts w:ascii="Arial" w:cs="Arial" w:eastAsia="Arial" w:hAnsi="Arial"/>
          <w:sz w:val="18"/>
          <w:szCs w:val="18"/>
          <w:color w:val="auto"/>
        </w:rPr>
      </w:pPr>
      <w:r>
        <w:rPr>
          <w:rFonts w:ascii="Arial" w:cs="Arial" w:eastAsia="Arial" w:hAnsi="Arial"/>
          <w:sz w:val="18"/>
          <w:szCs w:val="18"/>
          <w:i w:val="1"/>
          <w:iCs w:val="1"/>
          <w:color w:val="auto"/>
        </w:rPr>
        <w:t xml:space="preserve">Definition. </w:t>
      </w:r>
      <w:r>
        <w:rPr>
          <w:rFonts w:ascii="Arial" w:cs="Arial" w:eastAsia="Arial" w:hAnsi="Arial"/>
          <w:sz w:val="18"/>
          <w:szCs w:val="18"/>
          <w:color w:val="auto"/>
        </w:rPr>
        <w:t>A “Reorganization Event” shall mean: (a) any merger or consolidation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with or into another entity as a result of which all of the Common Stock of the Company is converted into or exchanged for the right to receive cash, securities or other property or is cancelled, (b) any exchange of all of the Common Stock of the Company for cash, securities or other property pursuant to a share exchange transaction, (c) any liquidation or dissolution of the Company, or (d) any event described in Section 10(a) or any other unusual or nonrecurring transaction or event affecting the Company or any of its subsidiaries (or their respective financial statements).</w:t>
      </w:r>
    </w:p>
    <w:p>
      <w:pPr>
        <w:spacing w:after="0" w:line="111" w:lineRule="exact"/>
        <w:rPr>
          <w:rFonts w:ascii="Arial" w:cs="Arial" w:eastAsia="Arial" w:hAnsi="Arial"/>
          <w:sz w:val="18"/>
          <w:szCs w:val="18"/>
          <w:color w:val="auto"/>
        </w:rPr>
      </w:pPr>
    </w:p>
    <w:p>
      <w:pPr>
        <w:ind w:left="2000" w:right="159" w:hanging="356"/>
        <w:spacing w:after="0" w:line="242" w:lineRule="auto"/>
        <w:tabs>
          <w:tab w:leader="none" w:pos="2000" w:val="left"/>
        </w:tabs>
        <w:numPr>
          <w:ilvl w:val="2"/>
          <w:numId w:val="176"/>
        </w:numPr>
        <w:rPr>
          <w:rFonts w:ascii="Arial" w:cs="Arial" w:eastAsia="Arial" w:hAnsi="Arial"/>
          <w:sz w:val="18"/>
          <w:szCs w:val="18"/>
          <w:color w:val="auto"/>
        </w:rPr>
      </w:pPr>
      <w:r>
        <w:rPr>
          <w:rFonts w:ascii="Arial" w:cs="Arial" w:eastAsia="Arial" w:hAnsi="Arial"/>
          <w:sz w:val="18"/>
          <w:szCs w:val="18"/>
          <w:i w:val="1"/>
          <w:iCs w:val="1"/>
          <w:color w:val="auto"/>
        </w:rPr>
        <w:t xml:space="preserve">Consequences of a Reorganization Event on Awards. </w:t>
      </w:r>
      <w:r>
        <w:rPr>
          <w:rFonts w:ascii="Arial" w:cs="Arial" w:eastAsia="Arial" w:hAnsi="Arial"/>
          <w:sz w:val="18"/>
          <w:szCs w:val="18"/>
          <w:color w:val="auto"/>
        </w:rPr>
        <w:t>In connection with a Reorganization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Event, the Board may take any one or more of the following actions as to all or any (or any portion of) outstanding Awards on such terms as the Board determines: (i) provide that Awards shall be assumed, or substantially equivalent awards shall be substituted, by the acquiring or succeeding corporation (or an affiliate thereof), (ii) upon written notice to a Participant, provide that the Participant’s unexercised Awards will terminate immediately prior to the consummation of such Reorganization Event unless exercised by the Participant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payment of cash and/or property for each share surrendered in the</w:t>
      </w:r>
    </w:p>
    <w:p>
      <w:pPr>
        <w:spacing w:after="0" w:line="19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C-10</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Reorganization Event (the value of such payment, the “Acquisition Price”), make or provide</w:t>
      </w:r>
    </w:p>
    <w:p>
      <w:pPr>
        <w:spacing w:after="0" w:line="14" w:lineRule="exact"/>
        <w:rPr>
          <w:sz w:val="20"/>
          <w:szCs w:val="20"/>
          <w:color w:val="auto"/>
        </w:rPr>
      </w:pPr>
    </w:p>
    <w:p>
      <w:pPr>
        <w:ind w:left="2000" w:right="139"/>
        <w:spacing w:after="0" w:line="226" w:lineRule="auto"/>
        <w:rPr>
          <w:sz w:val="20"/>
          <w:szCs w:val="20"/>
          <w:color w:val="auto"/>
        </w:rPr>
      </w:pPr>
      <w:r>
        <w:rPr>
          <w:rFonts w:ascii="Arial" w:cs="Arial" w:eastAsia="Arial" w:hAnsi="Arial"/>
          <w:sz w:val="18"/>
          <w:szCs w:val="18"/>
          <w:color w:val="auto"/>
        </w:rPr>
        <w:t>for a payment of cash and/or property to a Participant with a value equal to the excess, if any, of (A) the Acquisition Price times the number of shares of Common Stock subject to the</w:t>
      </w:r>
    </w:p>
    <w:p>
      <w:pPr>
        <w:ind w:left="2000"/>
        <w:spacing w:after="0" w:line="236" w:lineRule="auto"/>
        <w:rPr>
          <w:sz w:val="20"/>
          <w:szCs w:val="20"/>
          <w:color w:val="auto"/>
        </w:rPr>
      </w:pPr>
      <w:r>
        <w:rPr>
          <w:rFonts w:ascii="Arial" w:cs="Arial" w:eastAsia="Arial" w:hAnsi="Arial"/>
          <w:sz w:val="18"/>
          <w:szCs w:val="18"/>
          <w:color w:val="auto"/>
        </w:rPr>
        <w:t>Participant’s Awards (to the extent the exercise price does not exceed the Acquisition Price)</w:t>
      </w:r>
    </w:p>
    <w:p>
      <w:pPr>
        <w:spacing w:after="0" w:line="1" w:lineRule="exact"/>
        <w:rPr>
          <w:sz w:val="20"/>
          <w:szCs w:val="20"/>
          <w:color w:val="auto"/>
        </w:rPr>
      </w:pPr>
    </w:p>
    <w:p>
      <w:pPr>
        <w:ind w:left="2000" w:right="139"/>
        <w:spacing w:after="0" w:line="226" w:lineRule="auto"/>
        <w:rPr>
          <w:sz w:val="20"/>
          <w:szCs w:val="20"/>
          <w:color w:val="auto"/>
        </w:rPr>
      </w:pPr>
      <w:r>
        <w:rPr>
          <w:rFonts w:ascii="Arial" w:cs="Arial" w:eastAsia="Arial" w:hAnsi="Arial"/>
          <w:sz w:val="18"/>
          <w:szCs w:val="18"/>
          <w:color w:val="auto"/>
        </w:rPr>
        <w:t>over (B) the aggregate exercise price of all such outstanding Awards and any applicable tax withholdings, in exchange for the termination of such Awards (and, if as of the Reorganization</w:t>
      </w:r>
    </w:p>
    <w:p>
      <w:pPr>
        <w:ind w:left="2000"/>
        <w:spacing w:after="0" w:line="236" w:lineRule="auto"/>
        <w:rPr>
          <w:sz w:val="20"/>
          <w:szCs w:val="20"/>
          <w:color w:val="auto"/>
        </w:rPr>
      </w:pPr>
      <w:r>
        <w:rPr>
          <w:rFonts w:ascii="Arial" w:cs="Arial" w:eastAsia="Arial" w:hAnsi="Arial"/>
          <w:sz w:val="18"/>
          <w:szCs w:val="18"/>
          <w:color w:val="auto"/>
        </w:rPr>
        <w:t>Event, the Board determines in good faith that there is no such excess with respect to an</w:t>
      </w:r>
    </w:p>
    <w:p>
      <w:pPr>
        <w:spacing w:after="0" w:line="1" w:lineRule="exact"/>
        <w:rPr>
          <w:sz w:val="20"/>
          <w:szCs w:val="20"/>
          <w:color w:val="auto"/>
        </w:rPr>
      </w:pPr>
    </w:p>
    <w:p>
      <w:pPr>
        <w:ind w:left="2000" w:right="239"/>
        <w:spacing w:after="0" w:line="226" w:lineRule="auto"/>
        <w:rPr>
          <w:sz w:val="20"/>
          <w:szCs w:val="20"/>
          <w:color w:val="auto"/>
        </w:rPr>
      </w:pPr>
      <w:r>
        <w:rPr>
          <w:rFonts w:ascii="Arial" w:cs="Arial" w:eastAsia="Arial" w:hAnsi="Arial"/>
          <w:sz w:val="18"/>
          <w:szCs w:val="18"/>
          <w:color w:val="auto"/>
        </w:rPr>
        <w:t>Award, then such Award may be terminated by the Company without payment), (v) provide that Awards will be replaced with other rights or property selected by the Board (including, in</w:t>
      </w:r>
    </w:p>
    <w:p>
      <w:pPr>
        <w:ind w:left="2000"/>
        <w:spacing w:after="0" w:line="236" w:lineRule="auto"/>
        <w:rPr>
          <w:sz w:val="20"/>
          <w:szCs w:val="20"/>
          <w:color w:val="auto"/>
        </w:rPr>
      </w:pPr>
      <w:r>
        <w:rPr>
          <w:rFonts w:ascii="Arial" w:cs="Arial" w:eastAsia="Arial" w:hAnsi="Arial"/>
          <w:sz w:val="18"/>
          <w:szCs w:val="18"/>
          <w:color w:val="auto"/>
        </w:rPr>
        <w:t>connection with a liquidation or dissolution of the Company, conversion into the right to</w:t>
      </w:r>
    </w:p>
    <w:p>
      <w:pPr>
        <w:spacing w:after="0" w:line="1" w:lineRule="exact"/>
        <w:rPr>
          <w:sz w:val="20"/>
          <w:szCs w:val="20"/>
          <w:color w:val="auto"/>
        </w:rPr>
      </w:pPr>
    </w:p>
    <w:p>
      <w:pPr>
        <w:ind w:left="2000" w:right="99"/>
        <w:spacing w:after="0" w:line="226" w:lineRule="auto"/>
        <w:rPr>
          <w:sz w:val="20"/>
          <w:szCs w:val="20"/>
          <w:color w:val="auto"/>
        </w:rPr>
      </w:pPr>
      <w:r>
        <w:rPr>
          <w:rFonts w:ascii="Arial" w:cs="Arial" w:eastAsia="Arial" w:hAnsi="Arial"/>
          <w:sz w:val="18"/>
          <w:szCs w:val="18"/>
          <w:color w:val="auto"/>
        </w:rPr>
        <w:t>receive liquidation proceeds (if applicable, net of the exercise price thereof and any applicable tax withholdings)), (vi) provide that Awards cannot vest, be exercised or become payable after</w:t>
      </w:r>
    </w:p>
    <w:p>
      <w:pPr>
        <w:ind w:left="2000"/>
        <w:spacing w:after="0" w:line="236" w:lineRule="auto"/>
        <w:rPr>
          <w:sz w:val="20"/>
          <w:szCs w:val="20"/>
          <w:color w:val="auto"/>
        </w:rPr>
      </w:pPr>
      <w:r>
        <w:rPr>
          <w:rFonts w:ascii="Arial" w:cs="Arial" w:eastAsia="Arial" w:hAnsi="Arial"/>
          <w:sz w:val="18"/>
          <w:szCs w:val="18"/>
          <w:color w:val="auto"/>
        </w:rPr>
        <w:t>the Reorganization Event, and (vii) any combination of the foregoing. In taking any of the</w:t>
      </w:r>
    </w:p>
    <w:p>
      <w:pPr>
        <w:spacing w:after="0" w:line="1" w:lineRule="exact"/>
        <w:rPr>
          <w:sz w:val="20"/>
          <w:szCs w:val="20"/>
          <w:color w:val="auto"/>
        </w:rPr>
      </w:pPr>
    </w:p>
    <w:p>
      <w:pPr>
        <w:ind w:left="2000" w:right="279"/>
        <w:spacing w:after="0" w:line="237" w:lineRule="auto"/>
        <w:rPr>
          <w:sz w:val="20"/>
          <w:szCs w:val="20"/>
          <w:color w:val="auto"/>
        </w:rPr>
      </w:pPr>
      <w:r>
        <w:rPr>
          <w:rFonts w:ascii="Arial" w:cs="Arial" w:eastAsia="Arial" w:hAnsi="Arial"/>
          <w:sz w:val="18"/>
          <w:szCs w:val="18"/>
          <w:color w:val="auto"/>
        </w:rPr>
        <w:t>actions permitted under this Section 10(b), the Board shall not be obligated by the Plan to treat all Awards, all Awards held by a Participant, or all Awards of the same type, identically.</w:t>
      </w:r>
    </w:p>
    <w:p>
      <w:pPr>
        <w:spacing w:after="0" w:line="100" w:lineRule="exact"/>
        <w:rPr>
          <w:sz w:val="20"/>
          <w:szCs w:val="20"/>
          <w:color w:val="auto"/>
        </w:rPr>
      </w:pPr>
    </w:p>
    <w:p>
      <w:pPr>
        <w:ind w:left="1280" w:right="279"/>
        <w:spacing w:after="0" w:line="245" w:lineRule="auto"/>
        <w:rPr>
          <w:sz w:val="20"/>
          <w:szCs w:val="20"/>
          <w:color w:val="auto"/>
        </w:rPr>
      </w:pPr>
      <w:r>
        <w:rPr>
          <w:rFonts w:ascii="Arial" w:cs="Arial" w:eastAsia="Arial" w:hAnsi="Arial"/>
          <w:sz w:val="18"/>
          <w:szCs w:val="18"/>
          <w:color w:val="auto"/>
        </w:rPr>
        <w:t>For purposes of clause (i) above, an Option shall be considered assumed if, following consummation of the Reorganization Event, the Option confers the right to purchase, for each share of Common</w:t>
      </w:r>
    </w:p>
    <w:p>
      <w:pPr>
        <w:ind w:left="1280" w:right="359"/>
        <w:spacing w:after="0" w:line="226" w:lineRule="auto"/>
        <w:rPr>
          <w:sz w:val="20"/>
          <w:szCs w:val="20"/>
          <w:color w:val="auto"/>
        </w:rPr>
      </w:pPr>
      <w:r>
        <w:rPr>
          <w:rFonts w:ascii="Arial" w:cs="Arial" w:eastAsia="Arial" w:hAnsi="Arial"/>
          <w:sz w:val="18"/>
          <w:szCs w:val="18"/>
          <w:color w:val="auto"/>
        </w:rPr>
        <w:t>Stock subject to the Option immediately prior to the consummation of the Reorganization Event, the consideration (whether cash, securities or other property) received as a result of the Reorganization</w:t>
      </w:r>
    </w:p>
    <w:p>
      <w:pPr>
        <w:ind w:left="1280"/>
        <w:spacing w:after="0" w:line="236" w:lineRule="auto"/>
        <w:rPr>
          <w:sz w:val="20"/>
          <w:szCs w:val="20"/>
          <w:color w:val="auto"/>
        </w:rPr>
      </w:pPr>
      <w:r>
        <w:rPr>
          <w:rFonts w:ascii="Arial" w:cs="Arial" w:eastAsia="Arial" w:hAnsi="Arial"/>
          <w:sz w:val="18"/>
          <w:szCs w:val="18"/>
          <w:color w:val="auto"/>
        </w:rPr>
        <w:t>Event by holders of Common Stock for each share of Common Stock held immediately prior to the</w:t>
      </w:r>
    </w:p>
    <w:p>
      <w:pPr>
        <w:spacing w:after="0" w:line="1" w:lineRule="exact"/>
        <w:rPr>
          <w:sz w:val="20"/>
          <w:szCs w:val="20"/>
          <w:color w:val="auto"/>
        </w:rPr>
      </w:pPr>
    </w:p>
    <w:p>
      <w:pPr>
        <w:ind w:left="1280" w:right="119"/>
        <w:spacing w:after="0" w:line="226" w:lineRule="auto"/>
        <w:rPr>
          <w:sz w:val="20"/>
          <w:szCs w:val="20"/>
          <w:color w:val="auto"/>
        </w:rPr>
      </w:pPr>
      <w:r>
        <w:rPr>
          <w:rFonts w:ascii="Arial" w:cs="Arial" w:eastAsia="Arial" w:hAnsi="Arial"/>
          <w:sz w:val="18"/>
          <w:szCs w:val="18"/>
          <w:color w:val="auto"/>
        </w:rPr>
        <w:t>consummation of the Reorganization Event (and if holders were offered a choice of consideration, the type of consideration chosen by the holders of a majority of the outstanding shares of Common Stock);</w:t>
      </w:r>
    </w:p>
    <w:p>
      <w:pPr>
        <w:ind w:left="1280"/>
        <w:spacing w:after="0" w:line="236" w:lineRule="auto"/>
        <w:rPr>
          <w:sz w:val="20"/>
          <w:szCs w:val="20"/>
          <w:color w:val="auto"/>
        </w:rPr>
      </w:pPr>
      <w:r>
        <w:rPr>
          <w:rFonts w:ascii="Arial" w:cs="Arial" w:eastAsia="Arial" w:hAnsi="Arial"/>
          <w:sz w:val="18"/>
          <w:szCs w:val="18"/>
          <w:color w:val="auto"/>
        </w:rPr>
        <w:t>provided, however, that if the consideration received as a result of the Reorganization Event is not</w:t>
      </w:r>
    </w:p>
    <w:p>
      <w:pPr>
        <w:spacing w:after="0" w:line="1" w:lineRule="exact"/>
        <w:rPr>
          <w:sz w:val="20"/>
          <w:szCs w:val="20"/>
          <w:color w:val="auto"/>
        </w:rPr>
      </w:pPr>
    </w:p>
    <w:p>
      <w:pPr>
        <w:ind w:left="1280" w:right="219"/>
        <w:spacing w:after="0" w:line="226" w:lineRule="auto"/>
        <w:rPr>
          <w:sz w:val="20"/>
          <w:szCs w:val="20"/>
          <w:color w:val="auto"/>
        </w:rPr>
      </w:pPr>
      <w:r>
        <w:rPr>
          <w:rFonts w:ascii="Arial" w:cs="Arial" w:eastAsia="Arial" w:hAnsi="Arial"/>
          <w:sz w:val="18"/>
          <w:szCs w:val="18"/>
          <w:color w:val="auto"/>
        </w:rPr>
        <w:t>solely common stock of the acquiring or succeeding corporation (or an affiliate thereof), the Company may, with the consent of the acquiring or succeeding corporation, provide for the consideration to be</w:t>
      </w:r>
    </w:p>
    <w:p>
      <w:pPr>
        <w:ind w:left="1280"/>
        <w:spacing w:after="0" w:line="236" w:lineRule="auto"/>
        <w:rPr>
          <w:sz w:val="20"/>
          <w:szCs w:val="20"/>
          <w:color w:val="auto"/>
        </w:rPr>
      </w:pPr>
      <w:r>
        <w:rPr>
          <w:rFonts w:ascii="Arial" w:cs="Arial" w:eastAsia="Arial" w:hAnsi="Arial"/>
          <w:sz w:val="18"/>
          <w:szCs w:val="18"/>
          <w:color w:val="auto"/>
        </w:rPr>
        <w:t>received upon the exercise of Options to consist solely of common stock of the acquiring or</w:t>
      </w:r>
    </w:p>
    <w:p>
      <w:pPr>
        <w:spacing w:after="0" w:line="1" w:lineRule="exact"/>
        <w:rPr>
          <w:sz w:val="20"/>
          <w:szCs w:val="20"/>
          <w:color w:val="auto"/>
        </w:rPr>
      </w:pPr>
    </w:p>
    <w:p>
      <w:pPr>
        <w:ind w:left="1280" w:right="159"/>
        <w:spacing w:after="0" w:line="226" w:lineRule="auto"/>
        <w:rPr>
          <w:sz w:val="20"/>
          <w:szCs w:val="20"/>
          <w:color w:val="auto"/>
        </w:rPr>
      </w:pPr>
      <w:r>
        <w:rPr>
          <w:rFonts w:ascii="Arial" w:cs="Arial" w:eastAsia="Arial" w:hAnsi="Arial"/>
          <w:sz w:val="18"/>
          <w:szCs w:val="18"/>
          <w:color w:val="auto"/>
        </w:rPr>
        <w:t>succeeding corporation (or an affiliate thereof) equivalent in value (as determined by the Board) to the per share consideration received by holders of outstanding shares of Common Stock as a result of the</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Reorganization Event.</w:t>
      </w:r>
    </w:p>
    <w:p>
      <w:pPr>
        <w:spacing w:after="0" w:line="113" w:lineRule="exact"/>
        <w:rPr>
          <w:sz w:val="20"/>
          <w:szCs w:val="20"/>
          <w:color w:val="auto"/>
        </w:rPr>
      </w:pPr>
    </w:p>
    <w:p>
      <w:pPr>
        <w:ind w:left="1280" w:right="459"/>
        <w:spacing w:after="0" w:line="245" w:lineRule="auto"/>
        <w:rPr>
          <w:sz w:val="20"/>
          <w:szCs w:val="20"/>
          <w:color w:val="auto"/>
        </w:rPr>
      </w:pPr>
      <w:r>
        <w:rPr>
          <w:rFonts w:ascii="Arial" w:cs="Arial" w:eastAsia="Arial" w:hAnsi="Arial"/>
          <w:sz w:val="18"/>
          <w:szCs w:val="18"/>
          <w:color w:val="auto"/>
        </w:rPr>
        <w:t>Notwithstanding the forgoing, if an Award constitutes deferred compensation within the meaning of Section 409A of the Code, no payment or settlement of such Award shall be made unless the</w:t>
      </w:r>
    </w:p>
    <w:p>
      <w:pPr>
        <w:ind w:left="1280" w:right="359"/>
        <w:spacing w:after="0" w:line="226" w:lineRule="auto"/>
        <w:rPr>
          <w:sz w:val="20"/>
          <w:szCs w:val="20"/>
          <w:color w:val="auto"/>
        </w:rPr>
      </w:pPr>
      <w:r>
        <w:rPr>
          <w:rFonts w:ascii="Arial" w:cs="Arial" w:eastAsia="Arial" w:hAnsi="Arial"/>
          <w:sz w:val="18"/>
          <w:szCs w:val="18"/>
          <w:color w:val="auto"/>
        </w:rPr>
        <w:t>Reorganization Event constitutes a change in ownership or effective control of the Company or a change in ownership of a substantial portion of the assets of the Company as described in Treasury</w:t>
      </w:r>
    </w:p>
    <w:p>
      <w:pPr>
        <w:spacing w:after="0" w:line="2" w:lineRule="exact"/>
        <w:rPr>
          <w:sz w:val="20"/>
          <w:szCs w:val="20"/>
          <w:color w:val="auto"/>
        </w:rPr>
      </w:pPr>
    </w:p>
    <w:p>
      <w:pPr>
        <w:ind w:left="1280" w:right="459"/>
        <w:spacing w:after="0" w:line="250" w:lineRule="auto"/>
        <w:rPr>
          <w:sz w:val="20"/>
          <w:szCs w:val="20"/>
          <w:color w:val="auto"/>
        </w:rPr>
      </w:pPr>
      <w:r>
        <w:rPr>
          <w:rFonts w:ascii="Arial" w:cs="Arial" w:eastAsia="Arial" w:hAnsi="Arial"/>
          <w:sz w:val="18"/>
          <w:szCs w:val="18"/>
          <w:color w:val="auto"/>
        </w:rPr>
        <w:t>Regulation Section 1.409A-3(i)(5), and such payment or settlement does not result in a violation of Section 409A of the Code.</w:t>
      </w:r>
    </w:p>
    <w:p>
      <w:pPr>
        <w:spacing w:after="0" w:line="104" w:lineRule="exact"/>
        <w:rPr>
          <w:sz w:val="20"/>
          <w:szCs w:val="20"/>
          <w:color w:val="auto"/>
        </w:rPr>
      </w:pPr>
    </w:p>
    <w:p>
      <w:pPr>
        <w:ind w:left="1640" w:hanging="356"/>
        <w:spacing w:after="0"/>
        <w:tabs>
          <w:tab w:leader="none" w:pos="1640"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A “Change in Control” shall mean any of the following:</w:t>
      </w:r>
    </w:p>
    <w:p>
      <w:pPr>
        <w:spacing w:after="0" w:line="130" w:lineRule="exact"/>
        <w:rPr>
          <w:rFonts w:ascii="Arial" w:cs="Arial" w:eastAsia="Arial" w:hAnsi="Arial"/>
          <w:sz w:val="18"/>
          <w:szCs w:val="18"/>
          <w:color w:val="auto"/>
        </w:rPr>
      </w:pPr>
    </w:p>
    <w:p>
      <w:pPr>
        <w:ind w:left="2000" w:right="139" w:hanging="356"/>
        <w:spacing w:after="0" w:line="246" w:lineRule="auto"/>
        <w:tabs>
          <w:tab w:leader="none" w:pos="20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 transaction or series of transactions (other than an offering of Common Stock to the general public through a registration statement filed with the Securities and Exchange Commission) whereby any “person” or related “group” of “persons” (as​ such terms are used in</w:t>
      </w:r>
    </w:p>
    <w:p>
      <w:pPr>
        <w:spacing w:after="0" w:line="2" w:lineRule="exact"/>
        <w:rPr>
          <w:rFonts w:ascii="Arial" w:cs="Arial" w:eastAsia="Arial" w:hAnsi="Arial"/>
          <w:sz w:val="18"/>
          <w:szCs w:val="18"/>
          <w:color w:val="auto"/>
        </w:rPr>
      </w:pPr>
    </w:p>
    <w:p>
      <w:pPr>
        <w:ind w:left="2000" w:right="219"/>
        <w:spacing w:after="0" w:line="242" w:lineRule="auto"/>
        <w:rPr>
          <w:rFonts w:ascii="Arial" w:cs="Arial" w:eastAsia="Arial" w:hAnsi="Arial"/>
          <w:sz w:val="18"/>
          <w:szCs w:val="18"/>
          <w:color w:val="auto"/>
        </w:rPr>
      </w:pPr>
      <w:r>
        <w:rPr>
          <w:rFonts w:ascii="Arial" w:cs="Arial" w:eastAsia="Arial" w:hAnsi="Arial"/>
          <w:sz w:val="18"/>
          <w:szCs w:val="18"/>
          <w:color w:val="auto"/>
        </w:rPr>
        <w:t>Sections 13(d) and 14(d)(2) of the Exchange Act) directly or indirectly acquires beneficial ownership (within the meaning of Rules 13d-3 and 13d-5 under the Exchange Act) of securities of the Company possessing more than 50% of the total combined voting power of the Company’s securities outstanding immediately after such acquisition; provided, however, that the following acquisitions shall not constitute a Change in Control under this subsection (i): (A) any acquisition by the Company; (B) any acquisition by an employee benefit plan maintained by the Company; (C) any acquisition which is not a Change in Control under Section 10(c)(iii) as a result of compliance with subsections (A), (B), and (C) of Section 10(c) (iii); or (D) in respect of an Award held by a particular Participant, any acquisition by the Participant or any group of persons including the Participant (or any entity controlled by the Participant or any group of persons including the Participant);</w:t>
      </w:r>
    </w:p>
    <w:p>
      <w:pPr>
        <w:spacing w:after="0" w:line="102" w:lineRule="exact"/>
        <w:rPr>
          <w:rFonts w:ascii="Arial" w:cs="Arial" w:eastAsia="Arial" w:hAnsi="Arial"/>
          <w:sz w:val="18"/>
          <w:szCs w:val="18"/>
          <w:color w:val="auto"/>
        </w:rPr>
      </w:pPr>
    </w:p>
    <w:p>
      <w:pPr>
        <w:ind w:left="2000" w:hanging="356"/>
        <w:spacing w:after="0"/>
        <w:tabs>
          <w:tab w:leader="none" w:pos="20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Incumbent Directors cease for any reason to constitute a majority of the Board;</w:t>
      </w:r>
    </w:p>
    <w:p>
      <w:pPr>
        <w:spacing w:after="0" w:line="212" w:lineRule="exact"/>
        <w:rPr>
          <w:sz w:val="20"/>
          <w:szCs w:val="20"/>
          <w:color w:val="auto"/>
        </w:rPr>
      </w:pPr>
    </w:p>
    <w:p>
      <w:pPr>
        <w:ind w:left="492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2000" w:right="299" w:hanging="356"/>
        <w:spacing w:after="0" w:line="243" w:lineRule="auto"/>
        <w:tabs>
          <w:tab w:leader="none" w:pos="20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w:t>
      </w:r>
    </w:p>
    <w:p>
      <w:pPr>
        <w:spacing w:after="0" w:line="3" w:lineRule="exact"/>
        <w:rPr>
          <w:rFonts w:ascii="Arial" w:cs="Arial" w:eastAsia="Arial" w:hAnsi="Arial"/>
          <w:sz w:val="18"/>
          <w:szCs w:val="18"/>
          <w:color w:val="auto"/>
        </w:rPr>
      </w:pPr>
    </w:p>
    <w:p>
      <w:pPr>
        <w:ind w:left="2000"/>
        <w:spacing w:after="0"/>
        <w:rPr>
          <w:rFonts w:ascii="Arial" w:cs="Arial" w:eastAsia="Arial" w:hAnsi="Arial"/>
          <w:sz w:val="18"/>
          <w:szCs w:val="18"/>
          <w:color w:val="auto"/>
        </w:rPr>
      </w:pPr>
      <w:r>
        <w:rPr>
          <w:rFonts w:ascii="Arial" w:cs="Arial" w:eastAsia="Arial" w:hAnsi="Arial"/>
          <w:sz w:val="18"/>
          <w:szCs w:val="18"/>
          <w:color w:val="auto"/>
        </w:rPr>
        <w:t>(z) the acquisition of assets or stock of another entity, in each case other than a transaction:</w:t>
      </w:r>
    </w:p>
    <w:p>
      <w:pPr>
        <w:spacing w:after="0" w:line="140" w:lineRule="exact"/>
        <w:rPr>
          <w:sz w:val="20"/>
          <w:szCs w:val="20"/>
          <w:color w:val="auto"/>
        </w:rPr>
      </w:pPr>
    </w:p>
    <w:p>
      <w:pPr>
        <w:ind w:left="2360" w:right="179" w:hanging="356"/>
        <w:spacing w:after="0" w:line="244" w:lineRule="auto"/>
        <w:tabs>
          <w:tab w:leader="none" w:pos="23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“Successor Entity”)) directly or indirectly, at least a majority of the combined voting power of the Successor Entity’s outstanding voting securities,</w:t>
      </w:r>
    </w:p>
    <w:p>
      <w:pPr>
        <w:spacing w:after="0" w:line="322" w:lineRule="exact"/>
        <w:rPr>
          <w:rFonts w:ascii="Arial" w:cs="Arial" w:eastAsia="Arial" w:hAnsi="Arial"/>
          <w:sz w:val="18"/>
          <w:szCs w:val="18"/>
          <w:color w:val="auto"/>
        </w:rPr>
      </w:pPr>
    </w:p>
    <w:p>
      <w:pPr>
        <w:ind w:left="2360" w:right="339" w:hanging="356"/>
        <w:spacing w:after="0" w:line="248" w:lineRule="auto"/>
        <w:tabs>
          <w:tab w:leader="none" w:pos="23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after which no person or group beneficially owns voting securities representing 50% or more of the combined voting power of the Successor Entity; provided, however, that no person or group shall be treated for purposes of this subsection (B) as beneficially owning 50% or more of the combined voting power of the Successor Entity solely as a result of the voting power held in the Company prior to the consummation of the transaction; and</w:t>
      </w:r>
    </w:p>
    <w:p>
      <w:pPr>
        <w:spacing w:after="0" w:line="321" w:lineRule="exact"/>
        <w:rPr>
          <w:rFonts w:ascii="Arial" w:cs="Arial" w:eastAsia="Arial" w:hAnsi="Arial"/>
          <w:sz w:val="18"/>
          <w:szCs w:val="18"/>
          <w:color w:val="auto"/>
        </w:rPr>
      </w:pPr>
    </w:p>
    <w:p>
      <w:pPr>
        <w:ind w:left="2360" w:right="219" w:hanging="356"/>
        <w:spacing w:after="0" w:line="252" w:lineRule="auto"/>
        <w:tabs>
          <w:tab w:leader="none" w:pos="23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immediately after which at least a majority of the members of the board of directors (or the analogous governing body) of the Successor Entity were Board members at the time of the Board’s approval of the execution of the initial agreement providing for such transaction; or (iv) the effective date of a liquidation or dissolution of the Company.</w:t>
      </w:r>
    </w:p>
    <w:p>
      <w:pPr>
        <w:spacing w:after="0" w:line="103" w:lineRule="exact"/>
        <w:rPr>
          <w:sz w:val="20"/>
          <w:szCs w:val="20"/>
          <w:color w:val="auto"/>
        </w:rPr>
      </w:pPr>
    </w:p>
    <w:p>
      <w:pPr>
        <w:ind w:left="1640" w:right="179"/>
        <w:spacing w:after="0" w:line="243" w:lineRule="auto"/>
        <w:rPr>
          <w:sz w:val="20"/>
          <w:szCs w:val="20"/>
          <w:color w:val="auto"/>
        </w:rPr>
      </w:pPr>
      <w:r>
        <w:rPr>
          <w:rFonts w:ascii="Arial" w:cs="Arial" w:eastAsia="Arial" w:hAnsi="Arial"/>
          <w:sz w:val="18"/>
          <w:szCs w:val="18"/>
          <w:color w:val="auto"/>
        </w:rPr>
        <w:t>For purposes of the foregoing, “Incumbent Directors” shall mean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Section 10(c)(i) or 10(c)(iii))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118" w:lineRule="exact"/>
        <w:rPr>
          <w:sz w:val="20"/>
          <w:szCs w:val="20"/>
          <w:color w:val="auto"/>
        </w:rPr>
      </w:pPr>
    </w:p>
    <w:p>
      <w:pPr>
        <w:ind w:left="1640" w:right="159"/>
        <w:spacing w:after="0" w:line="246"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(i), (ii), or (iv)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08" w:lineRule="exact"/>
        <w:rPr>
          <w:sz w:val="20"/>
          <w:szCs w:val="20"/>
          <w:color w:val="auto"/>
        </w:rPr>
      </w:pPr>
    </w:p>
    <w:p>
      <w:pPr>
        <w:ind w:left="1640" w:right="559"/>
        <w:spacing w:after="0" w:line="248" w:lineRule="auto"/>
        <w:rPr>
          <w:sz w:val="20"/>
          <w:szCs w:val="20"/>
          <w:color w:val="auto"/>
        </w:rPr>
      </w:pPr>
      <w:r>
        <w:rPr>
          <w:rFonts w:ascii="Arial" w:cs="Arial" w:eastAsia="Arial" w:hAnsi="Arial"/>
          <w:sz w:val="18"/>
          <w:szCs w:val="18"/>
          <w:color w:val="auto"/>
        </w:rPr>
        <w:t>The Board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C-12</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6" w:lineRule="exact"/>
        <w:rPr>
          <w:sz w:val="20"/>
          <w:szCs w:val="20"/>
          <w:color w:val="auto"/>
        </w:rPr>
      </w:pPr>
    </w:p>
    <w:p>
      <w:pPr>
        <w:ind w:left="1280" w:hanging="356"/>
        <w:spacing w:after="0"/>
        <w:tabs>
          <w:tab w:leader="none" w:pos="1280" w:val="left"/>
        </w:tabs>
        <w:numPr>
          <w:ilvl w:val="0"/>
          <w:numId w:val="180"/>
        </w:numPr>
        <w:rPr>
          <w:rFonts w:ascii="Arial" w:cs="Arial" w:eastAsia="Arial" w:hAnsi="Arial"/>
          <w:sz w:val="18"/>
          <w:szCs w:val="18"/>
          <w:i w:val="1"/>
          <w:iCs w:val="1"/>
          <w:color w:val="auto"/>
        </w:rPr>
      </w:pPr>
      <w:r>
        <w:rPr>
          <w:rFonts w:ascii="Arial" w:cs="Arial" w:eastAsia="Arial" w:hAnsi="Arial"/>
          <w:sz w:val="18"/>
          <w:szCs w:val="18"/>
          <w:i w:val="1"/>
          <w:iCs w:val="1"/>
          <w:color w:val="auto"/>
        </w:rPr>
        <w:t>General Provisions Applicable to Awards.</w:t>
      </w:r>
    </w:p>
    <w:p>
      <w:pPr>
        <w:spacing w:after="0" w:line="142" w:lineRule="exact"/>
        <w:rPr>
          <w:rFonts w:ascii="Arial" w:cs="Arial" w:eastAsia="Arial" w:hAnsi="Arial"/>
          <w:sz w:val="18"/>
          <w:szCs w:val="18"/>
          <w:i w:val="1"/>
          <w:iCs w:val="1"/>
          <w:color w:val="auto"/>
        </w:rPr>
      </w:pPr>
    </w:p>
    <w:p>
      <w:pPr>
        <w:ind w:left="1640" w:right="179" w:hanging="356"/>
        <w:spacing w:after="0" w:line="242" w:lineRule="auto"/>
        <w:tabs>
          <w:tab w:leader="none" w:pos="1640" w:val="left"/>
        </w:tabs>
        <w:numPr>
          <w:ilvl w:val="1"/>
          <w:numId w:val="180"/>
        </w:numPr>
        <w:rPr>
          <w:rFonts w:ascii="Arial" w:cs="Arial" w:eastAsia="Arial" w:hAnsi="Arial"/>
          <w:sz w:val="18"/>
          <w:szCs w:val="18"/>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Awards (other than vested shares of Restricted Stock)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provided, however, that the Board may permit or provide in an Award for the gratuitous transfer of the Award other than an Incentive Stock Option by the Participant to or for the benefit of any immediate family member, family trust or other entity established for the benefit of the Participant and/or an immediate family member thereof if, with respect to such proposed transferee, the Company would be eligible to use a Form S-8 for the registration of the sale of the Common Stock subject to such Award under the Securities Act; provided, further, that the Company shall not be required to recognize any such transfer until such time as the Participant and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11(a) shall be deemed to restrict a transfer to the Company.</w:t>
      </w:r>
    </w:p>
    <w:p>
      <w:pPr>
        <w:spacing w:after="0" w:line="326" w:lineRule="exact"/>
        <w:rPr>
          <w:rFonts w:ascii="Arial" w:cs="Arial" w:eastAsia="Arial" w:hAnsi="Arial"/>
          <w:sz w:val="18"/>
          <w:szCs w:val="18"/>
          <w:color w:val="auto"/>
        </w:rPr>
      </w:pPr>
    </w:p>
    <w:p>
      <w:pPr>
        <w:ind w:left="1640" w:right="279" w:hanging="356"/>
        <w:spacing w:after="0" w:line="247" w:lineRule="auto"/>
        <w:tabs>
          <w:tab w:leader="none" w:pos="1640" w:val="left"/>
        </w:tabs>
        <w:numPr>
          <w:ilvl w:val="1"/>
          <w:numId w:val="180"/>
        </w:numPr>
        <w:rPr>
          <w:rFonts w:ascii="Arial" w:cs="Arial" w:eastAsia="Arial" w:hAnsi="Arial"/>
          <w:sz w:val="18"/>
          <w:szCs w:val="18"/>
          <w:color w:val="auto"/>
        </w:rPr>
      </w:pPr>
      <w:r>
        <w:rPr>
          <w:rFonts w:ascii="Arial" w:cs="Arial" w:eastAsia="Arial" w:hAnsi="Arial"/>
          <w:sz w:val="18"/>
          <w:szCs w:val="18"/>
          <w:i w:val="1"/>
          <w:iCs w:val="1"/>
          <w:color w:val="auto"/>
        </w:rPr>
        <w:t xml:space="preserve">Documentation. </w:t>
      </w:r>
      <w:r>
        <w:rPr>
          <w:rFonts w:ascii="Arial" w:cs="Arial" w:eastAsia="Arial" w:hAnsi="Arial"/>
          <w:sz w:val="18"/>
          <w:szCs w:val="18"/>
          <w:color w:val="auto"/>
        </w:rPr>
        <w:t>Each Award shall be evidenced in such form (written, electronic,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as the Board shall determine. Each Award may contain terms and conditions in addition to those set forth in the Plan. By accepting an Award or other benefits under the Plan (including participation in the Plan), each Participant shall be conclusively deemed to have indicated acceptance and ratification of, and consented to, all provisions of the Plan and the Award.</w:t>
      </w:r>
    </w:p>
    <w:p>
      <w:pPr>
        <w:spacing w:after="0" w:line="109" w:lineRule="exact"/>
        <w:rPr>
          <w:rFonts w:ascii="Arial" w:cs="Arial" w:eastAsia="Arial" w:hAnsi="Arial"/>
          <w:sz w:val="18"/>
          <w:szCs w:val="18"/>
          <w:color w:val="auto"/>
        </w:rPr>
      </w:pPr>
    </w:p>
    <w:p>
      <w:pPr>
        <w:ind w:left="1640" w:right="159" w:hanging="356"/>
        <w:spacing w:after="0" w:line="261" w:lineRule="auto"/>
        <w:tabs>
          <w:tab w:leader="none" w:pos="1640" w:val="left"/>
        </w:tabs>
        <w:numPr>
          <w:ilvl w:val="1"/>
          <w:numId w:val="180"/>
        </w:numPr>
        <w:rPr>
          <w:rFonts w:ascii="Arial" w:cs="Arial" w:eastAsia="Arial" w:hAnsi="Arial"/>
          <w:sz w:val="18"/>
          <w:szCs w:val="18"/>
          <w:color w:val="auto"/>
        </w:rPr>
      </w:pPr>
      <w:r>
        <w:rPr>
          <w:rFonts w:ascii="Arial" w:cs="Arial" w:eastAsia="Arial" w:hAnsi="Arial"/>
          <w:sz w:val="18"/>
          <w:szCs w:val="18"/>
          <w:i w:val="1"/>
          <w:iCs w:val="1"/>
          <w:color w:val="auto"/>
        </w:rPr>
        <w:t xml:space="preserve">Board Discretion. </w:t>
      </w:r>
      <w:r>
        <w:rPr>
          <w:rFonts w:ascii="Arial" w:cs="Arial" w:eastAsia="Arial" w:hAnsi="Arial"/>
          <w:sz w:val="18"/>
          <w:szCs w:val="18"/>
          <w:color w:val="auto"/>
        </w:rPr>
        <w:t>Except as otherwise provided by the Plan, each Award may be made alone or</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or in relation to any other Award. The terms of each Award need not be identical, and the Board need not treat Participants uniformly.</w:t>
      </w:r>
    </w:p>
    <w:p>
      <w:pPr>
        <w:spacing w:after="0" w:line="94" w:lineRule="exact"/>
        <w:rPr>
          <w:rFonts w:ascii="Arial" w:cs="Arial" w:eastAsia="Arial" w:hAnsi="Arial"/>
          <w:sz w:val="18"/>
          <w:szCs w:val="18"/>
          <w:color w:val="auto"/>
        </w:rPr>
      </w:pPr>
    </w:p>
    <w:p>
      <w:pPr>
        <w:ind w:left="1640" w:right="139" w:hanging="356"/>
        <w:spacing w:after="0" w:line="243" w:lineRule="auto"/>
        <w:tabs>
          <w:tab w:leader="none" w:pos="1640" w:val="left"/>
        </w:tabs>
        <w:numPr>
          <w:ilvl w:val="1"/>
          <w:numId w:val="180"/>
        </w:numPr>
        <w:rPr>
          <w:rFonts w:ascii="Arial" w:cs="Arial" w:eastAsia="Arial" w:hAnsi="Arial"/>
          <w:sz w:val="18"/>
          <w:szCs w:val="18"/>
          <w:color w:val="auto"/>
        </w:rPr>
      </w:pPr>
      <w:r>
        <w:rPr>
          <w:rFonts w:ascii="Arial" w:cs="Arial" w:eastAsia="Arial" w:hAnsi="Arial"/>
          <w:sz w:val="18"/>
          <w:szCs w:val="18"/>
          <w:i w:val="1"/>
          <w:iCs w:val="1"/>
          <w:color w:val="auto"/>
        </w:rPr>
        <w:t xml:space="preserve">Change of Status. </w:t>
      </w:r>
      <w:r>
        <w:rPr>
          <w:rFonts w:ascii="Arial" w:cs="Arial" w:eastAsia="Arial" w:hAnsi="Arial"/>
          <w:sz w:val="18"/>
          <w:szCs w:val="18"/>
          <w:color w:val="auto"/>
        </w:rPr>
        <w:t>Except as set forth below, the Board shall determine and/or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Award agreement the effect on an Award of the disability, death, termination of employment, authorized leave of absence, unauthorized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 Except as otherwise determined by applicable law, the Board or as set forth in the Plan or an Award agreement, all Options and SARs that have not been exercised, or any other Awards that remain subject to a risk of forfeiture or which are not otherwise vested, or which have outstanding performance periods, at the time of the disability, death, termination of employment, authorized leave of absence, unauthorized leave of absence, change in the employment or other status of a Participant shall be forfeited to the Company.</w:t>
      </w:r>
    </w:p>
    <w:p>
      <w:pPr>
        <w:spacing w:after="0" w:line="111" w:lineRule="exact"/>
        <w:rPr>
          <w:rFonts w:ascii="Arial" w:cs="Arial" w:eastAsia="Arial" w:hAnsi="Arial"/>
          <w:sz w:val="18"/>
          <w:szCs w:val="18"/>
          <w:color w:val="auto"/>
        </w:rPr>
      </w:pPr>
    </w:p>
    <w:p>
      <w:pPr>
        <w:ind w:left="1640" w:right="99" w:hanging="356"/>
        <w:spacing w:after="0" w:line="242" w:lineRule="auto"/>
        <w:tabs>
          <w:tab w:leader="none" w:pos="1640" w:val="left"/>
        </w:tabs>
        <w:numPr>
          <w:ilvl w:val="1"/>
          <w:numId w:val="180"/>
        </w:numPr>
        <w:rPr>
          <w:rFonts w:ascii="Arial" w:cs="Arial" w:eastAsia="Arial" w:hAnsi="Arial"/>
          <w:sz w:val="18"/>
          <w:szCs w:val="18"/>
          <w:color w:val="auto"/>
        </w:rPr>
      </w:pPr>
      <w:r>
        <w:rPr>
          <w:rFonts w:ascii="Arial" w:cs="Arial" w:eastAsia="Arial" w:hAnsi="Arial"/>
          <w:sz w:val="18"/>
          <w:szCs w:val="18"/>
          <w:i w:val="1"/>
          <w:iCs w:val="1"/>
          <w:color w:val="auto"/>
        </w:rPr>
        <w:t xml:space="preserve">Withholding. </w:t>
      </w:r>
      <w:r>
        <w:rPr>
          <w:rFonts w:ascii="Arial" w:cs="Arial" w:eastAsia="Arial" w:hAnsi="Arial"/>
          <w:sz w:val="18"/>
          <w:szCs w:val="18"/>
          <w:color w:val="auto"/>
        </w:rPr>
        <w:t>The Participant must satisfy all applicable federal, state, and local or other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and employment tax withholding obligations before the Company will deliver stock certificates or otherwise recognize ownership of Common Stock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or release from forfeiture of an Award or, if the Company so requires, at the same time as is payment of the exercise price unless the Company determines otherwise. If provided for in an Award or approved by the Board in its sole discretion, a Participant may satisfy such tax obligations in whole or in part by delivery of shares of Common Stock, including shares retained from the Award creating the tax obligation, valued</w:t>
      </w:r>
    </w:p>
    <w:p>
      <w:pPr>
        <w:spacing w:after="0" w:line="182" w:lineRule="exact"/>
        <w:rPr>
          <w:sz w:val="20"/>
          <w:szCs w:val="20"/>
          <w:color w:val="auto"/>
        </w:rPr>
      </w:pPr>
    </w:p>
    <w:p>
      <w:pPr>
        <w:ind w:left="49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in the manner determined by (or in a manner approved by) the Board; provided, however, except</w:t>
      </w:r>
    </w:p>
    <w:p>
      <w:pPr>
        <w:spacing w:after="0" w:line="14" w:lineRule="exact"/>
        <w:rPr>
          <w:sz w:val="20"/>
          <w:szCs w:val="20"/>
          <w:color w:val="auto"/>
        </w:rPr>
      </w:pPr>
    </w:p>
    <w:p>
      <w:pPr>
        <w:ind w:left="1640" w:right="119"/>
        <w:spacing w:after="0" w:line="226" w:lineRule="auto"/>
        <w:rPr>
          <w:sz w:val="20"/>
          <w:szCs w:val="20"/>
          <w:color w:val="auto"/>
        </w:rPr>
      </w:pPr>
      <w:r>
        <w:rPr>
          <w:rFonts w:ascii="Arial" w:cs="Arial" w:eastAsia="Arial" w:hAnsi="Arial"/>
          <w:sz w:val="18"/>
          <w:szCs w:val="18"/>
          <w:color w:val="auto"/>
        </w:rPr>
        <w:t>as otherwise provided by the Board, that the shares retained to satisfy such tax obligations cannot exceed the aggregate amount of such tax obligation based on the maximum statutory withholding</w:t>
      </w:r>
    </w:p>
    <w:p>
      <w:pPr>
        <w:ind w:left="1640"/>
        <w:spacing w:after="0" w:line="236" w:lineRule="auto"/>
        <w:rPr>
          <w:sz w:val="20"/>
          <w:szCs w:val="20"/>
          <w:color w:val="auto"/>
        </w:rPr>
      </w:pPr>
      <w:r>
        <w:rPr>
          <w:rFonts w:ascii="Arial" w:cs="Arial" w:eastAsia="Arial" w:hAnsi="Arial"/>
          <w:sz w:val="18"/>
          <w:szCs w:val="18"/>
          <w:color w:val="auto"/>
        </w:rPr>
        <w:t>rates in the Participant’s applicable jurisdiction for federal, state, local and foreign tax purposes,</w:t>
      </w:r>
    </w:p>
    <w:p>
      <w:pPr>
        <w:spacing w:after="0" w:line="1" w:lineRule="exact"/>
        <w:rPr>
          <w:sz w:val="20"/>
          <w:szCs w:val="20"/>
          <w:color w:val="auto"/>
        </w:rPr>
      </w:pPr>
    </w:p>
    <w:p>
      <w:pPr>
        <w:ind w:left="1640" w:right="179"/>
        <w:spacing w:after="0" w:line="226" w:lineRule="auto"/>
        <w:rPr>
          <w:sz w:val="20"/>
          <w:szCs w:val="20"/>
          <w:color w:val="auto"/>
        </w:rPr>
      </w:pPr>
      <w:r>
        <w:rPr>
          <w:rFonts w:ascii="Arial" w:cs="Arial" w:eastAsia="Arial" w:hAnsi="Arial"/>
          <w:sz w:val="18"/>
          <w:szCs w:val="18"/>
          <w:color w:val="auto"/>
        </w:rPr>
        <w:t>including payroll taxes, that are applicable to such taxable income. Shares surrendered to satisfy tax withholding requirements cannot be subject to any repurchase, forfeiture, unfulfilled vesting or</w:t>
      </w:r>
    </w:p>
    <w:p>
      <w:pPr>
        <w:ind w:left="1640"/>
        <w:spacing w:after="0" w:line="236" w:lineRule="auto"/>
        <w:rPr>
          <w:sz w:val="20"/>
          <w:szCs w:val="20"/>
          <w:color w:val="auto"/>
        </w:rPr>
      </w:pPr>
      <w:r>
        <w:rPr>
          <w:rFonts w:ascii="Arial" w:cs="Arial" w:eastAsia="Arial" w:hAnsi="Arial"/>
          <w:sz w:val="18"/>
          <w:szCs w:val="18"/>
          <w:color w:val="auto"/>
        </w:rPr>
        <w:t>other similar requirements. If the Participant, in connection with the exercise of any Option, or the</w:t>
      </w:r>
    </w:p>
    <w:p>
      <w:pPr>
        <w:spacing w:after="0" w:line="1" w:lineRule="exact"/>
        <w:rPr>
          <w:sz w:val="20"/>
          <w:szCs w:val="20"/>
          <w:color w:val="auto"/>
        </w:rPr>
      </w:pPr>
    </w:p>
    <w:p>
      <w:pPr>
        <w:ind w:left="1640" w:right="119"/>
        <w:spacing w:after="0" w:line="226" w:lineRule="auto"/>
        <w:rPr>
          <w:sz w:val="20"/>
          <w:szCs w:val="20"/>
          <w:color w:val="auto"/>
        </w:rPr>
      </w:pPr>
      <w:r>
        <w:rPr>
          <w:rFonts w:ascii="Arial" w:cs="Arial" w:eastAsia="Arial" w:hAnsi="Arial"/>
          <w:sz w:val="18"/>
          <w:szCs w:val="18"/>
          <w:color w:val="auto"/>
        </w:rPr>
        <w:t>grant of Restricted Stock, makes the election permitted under Section 83(b) of the Code to include in such Participant’s gross income in the year of transfer the amounts specified in Section 83(b) of</w:t>
      </w:r>
    </w:p>
    <w:p>
      <w:pPr>
        <w:ind w:left="1640"/>
        <w:spacing w:after="0" w:line="236" w:lineRule="auto"/>
        <w:rPr>
          <w:sz w:val="20"/>
          <w:szCs w:val="20"/>
          <w:color w:val="auto"/>
        </w:rPr>
      </w:pPr>
      <w:r>
        <w:rPr>
          <w:rFonts w:ascii="Arial" w:cs="Arial" w:eastAsia="Arial" w:hAnsi="Arial"/>
          <w:sz w:val="18"/>
          <w:szCs w:val="18"/>
          <w:color w:val="auto"/>
        </w:rPr>
        <w:t>the Code, then such Participant shall notify the Company of such election within 10 days of filing</w:t>
      </w:r>
    </w:p>
    <w:p>
      <w:pPr>
        <w:spacing w:after="0" w:line="1" w:lineRule="exact"/>
        <w:rPr>
          <w:sz w:val="20"/>
          <w:szCs w:val="20"/>
          <w:color w:val="auto"/>
        </w:rPr>
      </w:pPr>
    </w:p>
    <w:p>
      <w:pPr>
        <w:ind w:left="1640" w:right="359"/>
        <w:spacing w:after="0" w:line="226" w:lineRule="auto"/>
        <w:rPr>
          <w:sz w:val="20"/>
          <w:szCs w:val="20"/>
          <w:color w:val="auto"/>
        </w:rPr>
      </w:pPr>
      <w:r>
        <w:rPr>
          <w:rFonts w:ascii="Arial" w:cs="Arial" w:eastAsia="Arial" w:hAnsi="Arial"/>
          <w:sz w:val="18"/>
          <w:szCs w:val="18"/>
          <w:color w:val="auto"/>
        </w:rPr>
        <w:t>the notice of the election with the Internal Revenue Service, in addition to any filing and notification required pursuant to regulations issued under Section 83(b) of the Code. The Board</w:t>
      </w:r>
    </w:p>
    <w:p>
      <w:pPr>
        <w:spacing w:after="0" w:line="2" w:lineRule="exact"/>
        <w:rPr>
          <w:sz w:val="20"/>
          <w:szCs w:val="20"/>
          <w:color w:val="auto"/>
        </w:rPr>
      </w:pPr>
    </w:p>
    <w:p>
      <w:pPr>
        <w:ind w:left="1640" w:right="199"/>
        <w:spacing w:after="0" w:line="250" w:lineRule="auto"/>
        <w:rPr>
          <w:sz w:val="20"/>
          <w:szCs w:val="20"/>
          <w:color w:val="auto"/>
        </w:rPr>
      </w:pPr>
      <w:r>
        <w:rPr>
          <w:rFonts w:ascii="Arial" w:cs="Arial" w:eastAsia="Arial" w:hAnsi="Arial"/>
          <w:sz w:val="18"/>
          <w:szCs w:val="18"/>
          <w:color w:val="auto"/>
        </w:rPr>
        <w:t>may, in connection with the grant of an Award or at any time thereafter, prohibit a Participant from making the election under Section 83(b) of the Code described above.</w:t>
      </w:r>
    </w:p>
    <w:p>
      <w:pPr>
        <w:spacing w:after="0" w:line="104" w:lineRule="exact"/>
        <w:rPr>
          <w:sz w:val="20"/>
          <w:szCs w:val="20"/>
          <w:color w:val="auto"/>
        </w:rPr>
      </w:pPr>
    </w:p>
    <w:p>
      <w:pPr>
        <w:ind w:left="1640" w:right="159" w:hanging="356"/>
        <w:spacing w:after="0" w:line="246" w:lineRule="auto"/>
        <w:tabs>
          <w:tab w:leader="none" w:pos="1640"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Award. </w:t>
      </w:r>
      <w:r>
        <w:rPr>
          <w:rFonts w:ascii="Arial" w:cs="Arial" w:eastAsia="Arial" w:hAnsi="Arial"/>
          <w:sz w:val="18"/>
          <w:szCs w:val="18"/>
          <w:color w:val="auto"/>
        </w:rPr>
        <w:t>Subject to Sections 5(h) and 6(f), the Board may amend, modify or</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 any outstanding Award, including but not limited to, substituting therefor another Award of the same or a different type, changing the date of exercise or realization, and converting an Incentive Stock Option to a Nonstatutory Stock Option, provided either (i) that the Participant’s consent to such action shall be required unless the Board determines that the action, taking into account any related action, would not materially and adversely affect the Participant or (ii) that the change is permitted under Section 10 hereof.</w:t>
      </w:r>
    </w:p>
    <w:p>
      <w:pPr>
        <w:spacing w:after="0" w:line="107" w:lineRule="exact"/>
        <w:rPr>
          <w:rFonts w:ascii="Arial" w:cs="Arial" w:eastAsia="Arial" w:hAnsi="Arial"/>
          <w:sz w:val="18"/>
          <w:szCs w:val="18"/>
          <w:color w:val="auto"/>
        </w:rPr>
      </w:pPr>
    </w:p>
    <w:p>
      <w:pPr>
        <w:ind w:left="1640" w:right="119" w:hanging="356"/>
        <w:spacing w:after="0" w:line="241" w:lineRule="auto"/>
        <w:tabs>
          <w:tab w:leader="none" w:pos="1640"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 xml:space="preserve">Conditions on Delivery of Stock. </w:t>
      </w:r>
      <w:r>
        <w:rPr>
          <w:rFonts w:ascii="Arial" w:cs="Arial" w:eastAsia="Arial" w:hAnsi="Arial"/>
          <w:sz w:val="18"/>
          <w:szCs w:val="18"/>
          <w:color w:val="auto"/>
        </w:rPr>
        <w:t>The Company will not be obligated to deliver any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pursuant to the Plan 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 Additionally, notwithstanding any other provision hereof, the Board shall have the right at any time to deny or delay a Participant’s exercise of an Option or SAR or the settlement of an Award if such Participant is reasonably believed by the Board (i) to be engaged in material conduct adversely affecting the Company or (ii) to be contemplating such conduct, unless and until the Board shall have received reasonable assurance that the Participant is not engaged in, and is not contemplating, such material conduct adverse to the interests of the Company.</w:t>
      </w:r>
    </w:p>
    <w:p>
      <w:pPr>
        <w:spacing w:after="0" w:line="330" w:lineRule="exact"/>
        <w:rPr>
          <w:rFonts w:ascii="Arial" w:cs="Arial" w:eastAsia="Arial" w:hAnsi="Arial"/>
          <w:sz w:val="18"/>
          <w:szCs w:val="18"/>
          <w:color w:val="auto"/>
        </w:rPr>
      </w:pPr>
    </w:p>
    <w:p>
      <w:pPr>
        <w:ind w:left="1640" w:right="179" w:hanging="356"/>
        <w:spacing w:after="0" w:line="248" w:lineRule="auto"/>
        <w:tabs>
          <w:tab w:leader="none" w:pos="1640"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 xml:space="preserve">Acceleration. </w:t>
      </w:r>
      <w:r>
        <w:rPr>
          <w:rFonts w:ascii="Arial" w:cs="Arial" w:eastAsia="Arial" w:hAnsi="Arial"/>
          <w:sz w:val="18"/>
          <w:szCs w:val="18"/>
          <w:color w:val="auto"/>
        </w:rPr>
        <w:t>The Board may, at any time, provide in an Award agreement or otherwise that any</w:t>
      </w:r>
      <w:r>
        <w:rPr>
          <w:rFonts w:ascii="Arial" w:cs="Arial" w:eastAsia="Arial" w:hAnsi="Arial"/>
          <w:sz w:val="18"/>
          <w:szCs w:val="18"/>
          <w:i w:val="1"/>
          <w:iCs w:val="1"/>
          <w:color w:val="auto"/>
        </w:rPr>
        <w:t xml:space="preserve"> </w:t>
      </w:r>
      <w:r>
        <w:rPr>
          <w:rFonts w:ascii="Arial" w:cs="Arial" w:eastAsia="Arial" w:hAnsi="Arial"/>
          <w:sz w:val="18"/>
          <w:szCs w:val="18"/>
          <w:color w:val="auto"/>
        </w:rPr>
        <w:t>Award shall become immediately exercisable in full or in part, free from some or all of the restrictions or conditions applicable to such Award or otherwise realizable in full or in part, as the case may be, including, without limitation, (A) upon the death or disability of the Participant, (B) in connection with retirement, termination of employment or other separation from service, or (C) in connection with a Change in Control.</w:t>
      </w:r>
    </w:p>
    <w:p>
      <w:pPr>
        <w:spacing w:after="0" w:line="107" w:lineRule="exact"/>
        <w:rPr>
          <w:rFonts w:ascii="Arial" w:cs="Arial" w:eastAsia="Arial" w:hAnsi="Arial"/>
          <w:sz w:val="18"/>
          <w:szCs w:val="18"/>
          <w:color w:val="auto"/>
        </w:rPr>
      </w:pPr>
    </w:p>
    <w:p>
      <w:pPr>
        <w:ind w:left="1640" w:right="139" w:hanging="356"/>
        <w:spacing w:after="0" w:line="243" w:lineRule="auto"/>
        <w:tabs>
          <w:tab w:leader="none" w:pos="1640"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 xml:space="preserve">Limitations on Vesting. </w:t>
      </w:r>
      <w:r>
        <w:rPr>
          <w:rFonts w:ascii="Arial" w:cs="Arial" w:eastAsia="Arial" w:hAnsi="Arial"/>
          <w:sz w:val="18"/>
          <w:szCs w:val="18"/>
          <w:color w:val="auto"/>
        </w:rPr>
        <w:t>Notwithstanding anything to the contrary in the Plan, no Award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Cash-Based Awards) or any portion thereof shall vest earlier than the first anniversary of its date of grant, and each Performance Awards must have a performance period of at least one year; provided, however, that notwithstanding the foregoing, such minimum vesting requirements shall not apply to (i) any substitute award described in Section 4(d), (ii) shares of Common Stock delivered in lieu of full-vested Cash-Based Award (or other cash awards or payments), (iii) Awards to non-employee directors of the Company that vest on the earlier of the one-year anniversary of the date of grant and the next annual meeting of stockholders which is at least 50 weeks after the immediately preceding year’s annual meeting, and (iv) any additional Awards the Board may grant, up to a maximum of five percent (5%) of the available share reserve authorized for issuance</w:t>
      </w:r>
    </w:p>
    <w:p>
      <w:pPr>
        <w:spacing w:after="0" w:line="38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C-14</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167640</wp:posOffset>
            </wp:positionV>
            <wp:extent cx="683196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under the Plan, as of the Effective Date, pursuant to Section 4 (subject to adjustment under</w:t>
      </w:r>
    </w:p>
    <w:p>
      <w:pPr>
        <w:spacing w:after="0" w:line="14" w:lineRule="exact"/>
        <w:rPr>
          <w:sz w:val="20"/>
          <w:szCs w:val="20"/>
          <w:color w:val="auto"/>
        </w:rPr>
      </w:pPr>
    </w:p>
    <w:p>
      <w:pPr>
        <w:ind w:left="1640" w:right="499"/>
        <w:spacing w:after="0" w:line="226" w:lineRule="auto"/>
        <w:rPr>
          <w:sz w:val="20"/>
          <w:szCs w:val="20"/>
          <w:color w:val="auto"/>
        </w:rPr>
      </w:pPr>
      <w:r>
        <w:rPr>
          <w:rFonts w:ascii="Arial" w:cs="Arial" w:eastAsia="Arial" w:hAnsi="Arial"/>
          <w:sz w:val="18"/>
          <w:szCs w:val="18"/>
          <w:color w:val="auto"/>
        </w:rPr>
        <w:t>Section 10); and, provided, further, that the foregoing restriction does not apply to the Board’s discretion to provide for accelerated exercisability or vesting of any Awards pursuant to</w:t>
      </w:r>
    </w:p>
    <w:p>
      <w:pPr>
        <w:spacing w:after="0" w:line="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Section 11(h).</w:t>
      </w:r>
    </w:p>
    <w:p>
      <w:pPr>
        <w:spacing w:after="0" w:line="126" w:lineRule="exact"/>
        <w:rPr>
          <w:sz w:val="20"/>
          <w:szCs w:val="20"/>
          <w:color w:val="auto"/>
        </w:rPr>
      </w:pPr>
    </w:p>
    <w:p>
      <w:pPr>
        <w:ind w:left="1640" w:right="139" w:hanging="356"/>
        <w:spacing w:after="0" w:line="244" w:lineRule="auto"/>
        <w:tabs>
          <w:tab w:leader="none" w:pos="1640" w:val="left"/>
        </w:tabs>
        <w:numPr>
          <w:ilvl w:val="1"/>
          <w:numId w:val="182"/>
        </w:numPr>
        <w:rPr>
          <w:rFonts w:ascii="Arial" w:cs="Arial" w:eastAsia="Arial" w:hAnsi="Arial"/>
          <w:sz w:val="18"/>
          <w:szCs w:val="18"/>
          <w:color w:val="auto"/>
        </w:rPr>
      </w:pPr>
      <w:r>
        <w:rPr>
          <w:rFonts w:ascii="Arial" w:cs="Arial" w:eastAsia="Arial" w:hAnsi="Arial"/>
          <w:sz w:val="18"/>
          <w:szCs w:val="18"/>
          <w:i w:val="1"/>
          <w:iCs w:val="1"/>
          <w:color w:val="auto"/>
        </w:rPr>
        <w:t xml:space="preserve">Treatment of Dividends and Dividend Equivalents on Unvested Awards. </w:t>
      </w:r>
      <w:r>
        <w:rPr>
          <w:rFonts w:ascii="Arial" w:cs="Arial" w:eastAsia="Arial" w:hAnsi="Arial"/>
          <w:sz w:val="18"/>
          <w:szCs w:val="18"/>
          <w:color w:val="auto"/>
        </w:rPr>
        <w:t>Notwithstanding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provision of the Plan to the contrary, with respect to any Award that provides for or includes a right to dividends or dividend equivalents, if dividends are declared during the period that an equity Award is outstanding, such dividends (or dividend equivalents) shall either (i) not be paid or credited with respect to such Award or (ii) be accumulated but remain subject to vesting requirement(s) to the same extent as the applicable Award and shall only be paid at the time or times such vesting requirement(s) are satisfied. No dividends (or dividend equivalents) may be paid if the vesting requirement(s) of the applicable Award are not satisfied.</w:t>
      </w:r>
    </w:p>
    <w:p>
      <w:pPr>
        <w:spacing w:after="0" w:line="112" w:lineRule="exact"/>
        <w:rPr>
          <w:rFonts w:ascii="Arial" w:cs="Arial" w:eastAsia="Arial" w:hAnsi="Arial"/>
          <w:sz w:val="18"/>
          <w:szCs w:val="18"/>
          <w:color w:val="auto"/>
        </w:rPr>
      </w:pPr>
    </w:p>
    <w:p>
      <w:pPr>
        <w:ind w:left="1640" w:right="119" w:hanging="356"/>
        <w:spacing w:after="0" w:line="243" w:lineRule="auto"/>
        <w:tabs>
          <w:tab w:leader="none" w:pos="1640" w:val="left"/>
        </w:tabs>
        <w:numPr>
          <w:ilvl w:val="1"/>
          <w:numId w:val="182"/>
        </w:numPr>
        <w:rPr>
          <w:rFonts w:ascii="Arial" w:cs="Arial" w:eastAsia="Arial" w:hAnsi="Arial"/>
          <w:sz w:val="18"/>
          <w:szCs w:val="18"/>
          <w:color w:val="auto"/>
        </w:rPr>
      </w:pPr>
      <w:r>
        <w:rPr>
          <w:rFonts w:ascii="Arial" w:cs="Arial" w:eastAsia="Arial" w:hAnsi="Arial"/>
          <w:sz w:val="18"/>
          <w:szCs w:val="18"/>
          <w:i w:val="1"/>
          <w:iCs w:val="1"/>
          <w:color w:val="auto"/>
        </w:rPr>
        <w:t>Deferral of Award Payouts</w:t>
      </w:r>
      <w:r>
        <w:rPr>
          <w:rFonts w:ascii="Arial" w:cs="Arial" w:eastAsia="Arial" w:hAnsi="Arial"/>
          <w:sz w:val="18"/>
          <w:szCs w:val="18"/>
          <w:color w:val="auto"/>
        </w:rPr>
        <w:t>. The Board may permit a Participant to defer, or if and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in an Award agreement require the Participant to defer, receipt of the payment of cash or the delivery of shares of Common Stock that would otherwise be due by virtue of the lapse or waiver of restrictions with respect to Awards, the satisfaction of any requirements or goals with respect to Awards, the lapse or waiver of the deferral period for Awards, or the lapse or waiver of restrictions with respect to Awards. If the Board permits such deferrals, the Board shall establish rules and procedures for making such deferral elections and for the payment of such deferrals, which shall conform in form and substance with applicable regulations promulgated under Section 409A of the Code. Except as otherwise provided in an Award agreement, any payment or any shares of Common Stock that are subject to such deferral shall be made or delivered to the Participant as specified in the Award agreement or pursuant to the Participant’s deferral election.</w:t>
      </w:r>
    </w:p>
    <w:p>
      <w:pPr>
        <w:spacing w:after="0" w:line="111" w:lineRule="exact"/>
        <w:rPr>
          <w:rFonts w:ascii="Arial" w:cs="Arial" w:eastAsia="Arial" w:hAnsi="Arial"/>
          <w:sz w:val="18"/>
          <w:szCs w:val="18"/>
          <w:color w:val="auto"/>
        </w:rPr>
      </w:pPr>
    </w:p>
    <w:p>
      <w:pPr>
        <w:ind w:left="1280" w:right="119" w:hanging="356"/>
        <w:spacing w:after="0" w:line="241" w:lineRule="auto"/>
        <w:tabs>
          <w:tab w:leader="none" w:pos="1280" w:val="left"/>
        </w:tabs>
        <w:numPr>
          <w:ilvl w:val="0"/>
          <w:numId w:val="18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Limitation on Benefits. </w:t>
      </w:r>
      <w:r>
        <w:rPr>
          <w:rFonts w:ascii="Arial" w:cs="Arial" w:eastAsia="Arial" w:hAnsi="Arial"/>
          <w:sz w:val="18"/>
          <w:szCs w:val="18"/>
          <w:color w:val="auto"/>
        </w:rPr>
        <w:t>Notwithstanding any other provisions of this Plan to the contrary, if the receipt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payments or benefits under this Plan, alone or in combination with any other payments or distributions under any other plan, agreement or arrangement, would subject a Participant to tax under Code Section 4999, the Board may determine whether some amount of such payments or benefits would meet the definition of a “Reduced Amount.” If the Board determines that there is a Reduced Amount, the total payments or benefits to the Participant under all Awards (and all awards granted under Prior Plans) may be reduced to such Reduced Amount, but not below zero, with the amounts to be reduced so as to maximize the aggregate Net After Tax Receipts to the Participant; provided, that, notwithstanding the foregoing, payments or benefits that are not subject to Section 409A of the Code shall be reduced before any payment or benefits that are subject to Section 409A of the Code and all such reductions shall comply with Section 409A of the Code with respect to any amounts subject to Section 409A of the Code. If the Board determines that the benefits and payments must be reduced to the Reduced Amount, the Company must promptly notify the Participant of that determination, with a copy of the detailed calculations by the Board. All determinations of the Board under this Section 12 are final, conclusive and binding upon the Company and the Participant. It is the intention of the Company and the Participant to reduce the payments under this Plan (and the Prior Plans) only if the aggregate Net After Tax Receipts to the Participant would thereby be increased. As result of the uncertainty in the application of Code Section 4999 at the time of the initial determination by the Board under this Section 12, however, it is possible that amounts will have been paid under the Plan (or the Prior Plans) to or for the benefit of a Participant which should not have been so paid (“Overpayment”) or that additional amounts which will not have been paid under the Plan (or the Prior Plans) to or for the benefit of a Participant could have been so paid (“Underpayment”), in each case consistent with the calculation of the Reduced Amount. If the Board, based either upon the assertion of a deficiency by the Internal Revenue Service against the Company or the Participant, which the Board believes has a high probability of success, or controlling precedent or other substantial authority, determines that an Overpayment has been made, any such Overpayment must be treated for all purposes as a loan, to the extent permitted by applicable law, which the Participant must repay to the Company together with interest at the applicable federal rate under Code Section 7872(f)(2); provided, however, that no such loan may be deemed to have been made and no amount shall be payable by the</w:t>
      </w:r>
    </w:p>
    <w:p>
      <w:pPr>
        <w:spacing w:after="0" w:line="182" w:lineRule="exact"/>
        <w:rPr>
          <w:sz w:val="20"/>
          <w:szCs w:val="20"/>
          <w:color w:val="auto"/>
        </w:rPr>
      </w:pPr>
    </w:p>
    <w:p>
      <w:pPr>
        <w:ind w:left="49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Participant to the Company if and to the extent such deemed loan and payment would not either</w:t>
      </w:r>
    </w:p>
    <w:p>
      <w:pPr>
        <w:spacing w:after="0" w:line="14" w:lineRule="exact"/>
        <w:rPr>
          <w:sz w:val="20"/>
          <w:szCs w:val="20"/>
          <w:color w:val="auto"/>
        </w:rPr>
      </w:pPr>
    </w:p>
    <w:p>
      <w:pPr>
        <w:ind w:left="1280" w:right="279"/>
        <w:spacing w:after="0" w:line="226" w:lineRule="auto"/>
        <w:rPr>
          <w:sz w:val="20"/>
          <w:szCs w:val="20"/>
          <w:color w:val="auto"/>
        </w:rPr>
      </w:pPr>
      <w:r>
        <w:rPr>
          <w:rFonts w:ascii="Arial" w:cs="Arial" w:eastAsia="Arial" w:hAnsi="Arial"/>
          <w:sz w:val="18"/>
          <w:szCs w:val="18"/>
          <w:color w:val="auto"/>
        </w:rPr>
        <w:t>reduce the amount on which the Participant is subject to tax under Code Sections 1, 3101 or 4999 or generate a refund of such taxes. If the Board, based upon controlling precedent or other substantial</w:t>
      </w:r>
    </w:p>
    <w:p>
      <w:pPr>
        <w:ind w:left="1280"/>
        <w:spacing w:after="0" w:line="236" w:lineRule="auto"/>
        <w:rPr>
          <w:sz w:val="20"/>
          <w:szCs w:val="20"/>
          <w:color w:val="auto"/>
        </w:rPr>
      </w:pPr>
      <w:r>
        <w:rPr>
          <w:rFonts w:ascii="Arial" w:cs="Arial" w:eastAsia="Arial" w:hAnsi="Arial"/>
          <w:sz w:val="18"/>
          <w:szCs w:val="18"/>
          <w:color w:val="auto"/>
        </w:rPr>
        <w:t>authority, determines that an Underpayment has occurred, the Board must promptly notify the</w:t>
      </w:r>
    </w:p>
    <w:p>
      <w:pPr>
        <w:spacing w:after="0" w:line="1" w:lineRule="exact"/>
        <w:rPr>
          <w:sz w:val="20"/>
          <w:szCs w:val="20"/>
          <w:color w:val="auto"/>
        </w:rPr>
      </w:pPr>
    </w:p>
    <w:p>
      <w:pPr>
        <w:ind w:left="1280" w:right="159"/>
        <w:spacing w:after="0" w:line="226" w:lineRule="auto"/>
        <w:rPr>
          <w:sz w:val="20"/>
          <w:szCs w:val="20"/>
          <w:color w:val="auto"/>
        </w:rPr>
      </w:pPr>
      <w:r>
        <w:rPr>
          <w:rFonts w:ascii="Arial" w:cs="Arial" w:eastAsia="Arial" w:hAnsi="Arial"/>
          <w:sz w:val="18"/>
          <w:szCs w:val="18"/>
          <w:color w:val="auto"/>
        </w:rPr>
        <w:t>Company of the amount of the Underpayment, which then shall be paid promptly to the Participant but no later than the end of the Participant’s taxable year next following the Participant’s taxable year in</w:t>
      </w:r>
    </w:p>
    <w:p>
      <w:pPr>
        <w:ind w:left="1280"/>
        <w:spacing w:after="0" w:line="236" w:lineRule="auto"/>
        <w:rPr>
          <w:sz w:val="20"/>
          <w:szCs w:val="20"/>
          <w:color w:val="auto"/>
        </w:rPr>
      </w:pPr>
      <w:r>
        <w:rPr>
          <w:rFonts w:ascii="Arial" w:cs="Arial" w:eastAsia="Arial" w:hAnsi="Arial"/>
          <w:sz w:val="18"/>
          <w:szCs w:val="18"/>
          <w:color w:val="auto"/>
        </w:rPr>
        <w:t>which the determination is made that the underpayment has occurred. For purposes of this Section 12,</w:t>
      </w:r>
    </w:p>
    <w:p>
      <w:pPr>
        <w:spacing w:after="0" w:line="1" w:lineRule="exact"/>
        <w:rPr>
          <w:sz w:val="20"/>
          <w:szCs w:val="20"/>
          <w:color w:val="auto"/>
        </w:rPr>
      </w:pPr>
    </w:p>
    <w:p>
      <w:pPr>
        <w:ind w:left="1280" w:right="99" w:firstLine="4"/>
        <w:spacing w:after="0"/>
        <w:tabs>
          <w:tab w:leader="none" w:pos="1503" w:val="left"/>
        </w:tabs>
        <w:numPr>
          <w:ilvl w:val="1"/>
          <w:numId w:val="184"/>
        </w:numPr>
        <w:rPr>
          <w:rFonts w:ascii="Arial" w:cs="Arial" w:eastAsia="Arial" w:hAnsi="Arial"/>
          <w:sz w:val="18"/>
          <w:szCs w:val="18"/>
          <w:color w:val="auto"/>
        </w:rPr>
      </w:pPr>
      <w:r>
        <w:rPr>
          <w:rFonts w:ascii="Arial" w:cs="Arial" w:eastAsia="Arial" w:hAnsi="Arial"/>
          <w:sz w:val="18"/>
          <w:szCs w:val="18"/>
          <w:color w:val="auto"/>
        </w:rPr>
        <w:t>“Net After Tax Receipt” means the Present Value of payments and benefits under this Plan and any other plan, agreement or arrangement, net of all taxes imposed on the Participant with respect thereto under Code Sections 1, 3101 and 4999, determined by applying the highest marginal rate under Code Section 1 which applies to the Participant’s taxable income for the applicable taxable year; (ii) “Present Value” means the value determined in accordance with Code Section 280G(d)(4) and (iii) “Reduced Amount” means the smallest aggregate amount of all payments and benefits under this Plan and any other plan, agreement or arrangement, which (a) is less than the sum of all such payments and benefits under this Plan and any other plan, agreement or arrangement, and (b) results in aggregate Net After Tax Receipts which are equal to or greater than the Net After Tax Receipts which would result if the aggregate payments and benefits under this Plan and any other plan, agreement or arrangement, were any other amount less than the sum of all payments and benefits to be made under this Plan and any other plan, agreement or arrangement. Any reduction of payments or benefits pursuant to this Section 12 shall be made in the following order (first against any such items that are not subject to Section 409A of the Code): (i) first against any cash compensation in order of the latest amounts to be paid and otherwise on a pro rata basis, (ii) second against any benefits otherwise payable in order of the latest amounts to be delivered and otherwise on a pro rata basis; and (iii) third against any equity or related awards in order of the latest amounts to be settled and otherwise on a pro rata basis.</w:t>
      </w:r>
    </w:p>
    <w:p>
      <w:pPr>
        <w:spacing w:after="0" w:line="177" w:lineRule="exact"/>
        <w:rPr>
          <w:rFonts w:ascii="Arial" w:cs="Arial" w:eastAsia="Arial" w:hAnsi="Arial"/>
          <w:sz w:val="18"/>
          <w:szCs w:val="18"/>
          <w:color w:val="auto"/>
        </w:rPr>
      </w:pPr>
    </w:p>
    <w:p>
      <w:pPr>
        <w:ind w:left="1280" w:hanging="356"/>
        <w:spacing w:after="0"/>
        <w:tabs>
          <w:tab w:leader="none" w:pos="1280" w:val="left"/>
        </w:tabs>
        <w:numPr>
          <w:ilvl w:val="0"/>
          <w:numId w:val="185"/>
        </w:numPr>
        <w:rPr>
          <w:rFonts w:ascii="Arial" w:cs="Arial" w:eastAsia="Arial" w:hAnsi="Arial"/>
          <w:sz w:val="18"/>
          <w:szCs w:val="18"/>
          <w:i w:val="1"/>
          <w:iCs w:val="1"/>
          <w:color w:val="auto"/>
        </w:rPr>
      </w:pPr>
      <w:r>
        <w:rPr>
          <w:rFonts w:ascii="Arial" w:cs="Arial" w:eastAsia="Arial" w:hAnsi="Arial"/>
          <w:sz w:val="18"/>
          <w:szCs w:val="18"/>
          <w:i w:val="1"/>
          <w:iCs w:val="1"/>
          <w:color w:val="auto"/>
        </w:rPr>
        <w:t>Miscellaneous.</w:t>
      </w:r>
    </w:p>
    <w:p>
      <w:pPr>
        <w:spacing w:after="0" w:line="142" w:lineRule="exact"/>
        <w:rPr>
          <w:rFonts w:ascii="Arial" w:cs="Arial" w:eastAsia="Arial" w:hAnsi="Arial"/>
          <w:sz w:val="18"/>
          <w:szCs w:val="18"/>
          <w:i w:val="1"/>
          <w:iCs w:val="1"/>
          <w:color w:val="auto"/>
        </w:rPr>
      </w:pPr>
    </w:p>
    <w:p>
      <w:pPr>
        <w:ind w:left="1640" w:right="219" w:hanging="356"/>
        <w:spacing w:after="0" w:line="245" w:lineRule="auto"/>
        <w:tabs>
          <w:tab w:leader="none" w:pos="1640" w:val="left"/>
        </w:tabs>
        <w:numPr>
          <w:ilvl w:val="1"/>
          <w:numId w:val="185"/>
        </w:numPr>
        <w:rPr>
          <w:rFonts w:ascii="Arial" w:cs="Arial" w:eastAsia="Arial" w:hAnsi="Arial"/>
          <w:sz w:val="18"/>
          <w:szCs w:val="18"/>
          <w:color w:val="auto"/>
        </w:rPr>
      </w:pPr>
      <w:r>
        <w:rPr>
          <w:rFonts w:ascii="Arial" w:cs="Arial" w:eastAsia="Arial" w:hAnsi="Arial"/>
          <w:sz w:val="18"/>
          <w:szCs w:val="18"/>
          <w:i w:val="1"/>
          <w:iCs w:val="1"/>
          <w:color w:val="auto"/>
        </w:rPr>
        <w:t xml:space="preserve">No Right To Employment or Other Status. </w:t>
      </w:r>
      <w:r>
        <w:rPr>
          <w:rFonts w:ascii="Arial" w:cs="Arial" w:eastAsia="Arial" w:hAnsi="Arial"/>
          <w:sz w:val="18"/>
          <w:szCs w:val="18"/>
          <w:color w:val="auto"/>
        </w:rPr>
        <w:t>No person shall have any claim or right to be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an Award by virtue of adoption or amendment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09" w:lineRule="exact"/>
        <w:rPr>
          <w:rFonts w:ascii="Arial" w:cs="Arial" w:eastAsia="Arial" w:hAnsi="Arial"/>
          <w:sz w:val="18"/>
          <w:szCs w:val="18"/>
          <w:color w:val="auto"/>
        </w:rPr>
      </w:pPr>
    </w:p>
    <w:p>
      <w:pPr>
        <w:ind w:left="1640" w:right="259" w:hanging="356"/>
        <w:spacing w:after="0" w:line="252" w:lineRule="auto"/>
        <w:tabs>
          <w:tab w:leader="none" w:pos="1640" w:val="left"/>
        </w:tabs>
        <w:numPr>
          <w:ilvl w:val="1"/>
          <w:numId w:val="185"/>
        </w:numPr>
        <w:rPr>
          <w:rFonts w:ascii="Arial" w:cs="Arial" w:eastAsia="Arial" w:hAnsi="Arial"/>
          <w:sz w:val="18"/>
          <w:szCs w:val="18"/>
          <w:color w:val="auto"/>
        </w:rPr>
      </w:pPr>
      <w:r>
        <w:rPr>
          <w:rFonts w:ascii="Arial" w:cs="Arial" w:eastAsia="Arial" w:hAnsi="Arial"/>
          <w:sz w:val="18"/>
          <w:szCs w:val="18"/>
          <w:i w:val="1"/>
          <w:iCs w:val="1"/>
          <w:color w:val="auto"/>
        </w:rPr>
        <w:t xml:space="preserve">No Rights As Stockholder. </w:t>
      </w:r>
      <w:r>
        <w:rPr>
          <w:rFonts w:ascii="Arial" w:cs="Arial" w:eastAsia="Arial" w:hAnsi="Arial"/>
          <w:sz w:val="18"/>
          <w:szCs w:val="18"/>
          <w:color w:val="auto"/>
        </w:rPr>
        <w:t>Subject to the provisions of the Plan or the applicable Award, no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or Designated Beneficiary shall have any rights as a stockholder with respect to any shares of Common Stock to be issued with respect to an Award until becoming the record holder of such shares.</w:t>
      </w:r>
    </w:p>
    <w:p>
      <w:pPr>
        <w:spacing w:after="0" w:line="102" w:lineRule="exact"/>
        <w:rPr>
          <w:rFonts w:ascii="Arial" w:cs="Arial" w:eastAsia="Arial" w:hAnsi="Arial"/>
          <w:sz w:val="18"/>
          <w:szCs w:val="18"/>
          <w:color w:val="auto"/>
        </w:rPr>
      </w:pPr>
    </w:p>
    <w:p>
      <w:pPr>
        <w:ind w:left="1640" w:right="139" w:hanging="356"/>
        <w:spacing w:after="0" w:line="243" w:lineRule="auto"/>
        <w:tabs>
          <w:tab w:leader="none" w:pos="1640" w:val="left"/>
        </w:tabs>
        <w:numPr>
          <w:ilvl w:val="1"/>
          <w:numId w:val="185"/>
        </w:numPr>
        <w:rPr>
          <w:rFonts w:ascii="Arial" w:cs="Arial" w:eastAsia="Arial" w:hAnsi="Arial"/>
          <w:sz w:val="18"/>
          <w:szCs w:val="18"/>
          <w:color w:val="auto"/>
        </w:rPr>
      </w:pPr>
      <w:r>
        <w:rPr>
          <w:rFonts w:ascii="Arial" w:cs="Arial" w:eastAsia="Arial" w:hAnsi="Arial"/>
          <w:sz w:val="18"/>
          <w:szCs w:val="18"/>
          <w:i w:val="1"/>
          <w:iCs w:val="1"/>
          <w:color w:val="auto"/>
        </w:rPr>
        <w:t xml:space="preserve">Awards Subject to Share Retention Guidelines and Claw-Back Policies. </w:t>
      </w:r>
      <w:r>
        <w:rPr>
          <w:rFonts w:ascii="Arial" w:cs="Arial" w:eastAsia="Arial" w:hAnsi="Arial"/>
          <w:sz w:val="18"/>
          <w:szCs w:val="18"/>
          <w:color w:val="auto"/>
        </w:rPr>
        <w:t>Notwithstanding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herein to the contrary, (i) shares of Common Stock acquired by a Participant under the Plan upon the exercise, payment or settlement of an Award shall be subject to the terms of any stock retention guidelines currently in effect or subsequently adopted by the Board and (ii) all Awards granted hereunder shall be subject to the terms of any recoupment policy currently in effect or subsequently adopted by the Board to implement Section 304 of Sarbanes-Oxley, Dodd-Frank or Section 10D of the Exchange Act (or with any amendment or modification of such recoupment policy adopted by the Board) to the extent that such Award (whether or not previously exercised or settled) or the value of such Award is required to be returned to the Company pursuant to the terms of such recoupment policy. Participants are and at all times shall remain subject to the securities trading policies adopted by the Company from time to time throughout the period of time during which they may exercise Options, SARs or sell shares of Common Stock acquired pursuant to the Plan.</w:t>
      </w:r>
    </w:p>
    <w:p>
      <w:pPr>
        <w:spacing w:after="0" w:line="306" w:lineRule="exact"/>
        <w:rPr>
          <w:rFonts w:ascii="Arial" w:cs="Arial" w:eastAsia="Arial" w:hAnsi="Arial"/>
          <w:sz w:val="18"/>
          <w:szCs w:val="18"/>
          <w:color w:val="auto"/>
        </w:rPr>
      </w:pPr>
    </w:p>
    <w:p>
      <w:pPr>
        <w:ind w:left="1640" w:right="239" w:hanging="356"/>
        <w:spacing w:after="0" w:line="254" w:lineRule="auto"/>
        <w:tabs>
          <w:tab w:leader="none" w:pos="1640" w:val="left"/>
        </w:tabs>
        <w:numPr>
          <w:ilvl w:val="1"/>
          <w:numId w:val="185"/>
        </w:numPr>
        <w:rPr>
          <w:rFonts w:ascii="Arial" w:cs="Arial" w:eastAsia="Arial" w:hAnsi="Arial"/>
          <w:sz w:val="18"/>
          <w:szCs w:val="18"/>
          <w:color w:val="auto"/>
        </w:rPr>
      </w:pPr>
      <w:r>
        <w:rPr>
          <w:rFonts w:ascii="Arial" w:cs="Arial" w:eastAsia="Arial" w:hAnsi="Arial"/>
          <w:sz w:val="18"/>
          <w:szCs w:val="18"/>
          <w:i w:val="1"/>
          <w:iCs w:val="1"/>
          <w:color w:val="auto"/>
        </w:rPr>
        <w:t xml:space="preserve">Term of Plan. </w:t>
      </w:r>
      <w:r>
        <w:rPr>
          <w:rFonts w:ascii="Arial" w:cs="Arial" w:eastAsia="Arial" w:hAnsi="Arial"/>
          <w:sz w:val="18"/>
          <w:szCs w:val="18"/>
          <w:color w:val="auto"/>
        </w:rPr>
        <w:t>No Awards shall be granted under the Plan, subject to the right of the Board to</w:t>
      </w:r>
      <w:r>
        <w:rPr>
          <w:rFonts w:ascii="Arial" w:cs="Arial" w:eastAsia="Arial" w:hAnsi="Arial"/>
          <w:sz w:val="18"/>
          <w:szCs w:val="18"/>
          <w:i w:val="1"/>
          <w:iCs w:val="1"/>
          <w:color w:val="auto"/>
        </w:rPr>
        <w:t xml:space="preserve"> </w:t>
      </w:r>
      <w:r>
        <w:rPr>
          <w:rFonts w:ascii="Arial" w:cs="Arial" w:eastAsia="Arial" w:hAnsi="Arial"/>
          <w:sz w:val="18"/>
          <w:szCs w:val="18"/>
          <w:color w:val="auto"/>
        </w:rPr>
        <w:t>amend or terminate the Plan at any time pursuant to the terms of the Plan, after the earlier of the day immediately preceding the tenth (10</w:t>
      </w:r>
      <w:r>
        <w:rPr>
          <w:rFonts w:ascii="Arial" w:cs="Arial" w:eastAsia="Arial" w:hAnsi="Arial"/>
          <w:sz w:val="26"/>
          <w:szCs w:val="26"/>
          <w:color w:val="auto"/>
          <w:vertAlign w:val="superscript"/>
        </w:rPr>
        <w:t>th</w:t>
      </w:r>
      <w:r>
        <w:rPr>
          <w:rFonts w:ascii="Arial" w:cs="Arial" w:eastAsia="Arial" w:hAnsi="Arial"/>
          <w:sz w:val="18"/>
          <w:szCs w:val="18"/>
          <w:color w:val="auto"/>
        </w:rPr>
        <w:t>) anniversary of the Effective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C-16</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Date and the date all shares of Common Stock subject to the Plan shall have been issued and the</w:t>
      </w:r>
    </w:p>
    <w:p>
      <w:pPr>
        <w:spacing w:after="0" w:line="14" w:lineRule="exact"/>
        <w:rPr>
          <w:sz w:val="20"/>
          <w:szCs w:val="20"/>
          <w:color w:val="auto"/>
        </w:rPr>
      </w:pPr>
    </w:p>
    <w:p>
      <w:pPr>
        <w:ind w:left="1640" w:right="159"/>
        <w:spacing w:after="0" w:line="226" w:lineRule="auto"/>
        <w:rPr>
          <w:sz w:val="20"/>
          <w:szCs w:val="20"/>
          <w:color w:val="auto"/>
        </w:rPr>
      </w:pPr>
      <w:r>
        <w:rPr>
          <w:rFonts w:ascii="Arial" w:cs="Arial" w:eastAsia="Arial" w:hAnsi="Arial"/>
          <w:sz w:val="18"/>
          <w:szCs w:val="18"/>
          <w:color w:val="auto"/>
        </w:rPr>
        <w:t>restrictions on all Awards of Restricted Stock granted under the Plan shall have lapsed, according to the Plan’s provisions. Awards previously granted under the Plan may extend beyond the day</w:t>
      </w:r>
    </w:p>
    <w:p>
      <w:pPr>
        <w:spacing w:after="0" w:line="2" w:lineRule="exact"/>
        <w:rPr>
          <w:sz w:val="20"/>
          <w:szCs w:val="20"/>
          <w:color w:val="auto"/>
        </w:rPr>
      </w:pPr>
    </w:p>
    <w:p>
      <w:pPr>
        <w:ind w:left="1640" w:right="259"/>
        <w:spacing w:after="0" w:line="250" w:lineRule="auto"/>
        <w:rPr>
          <w:sz w:val="20"/>
          <w:szCs w:val="20"/>
          <w:color w:val="auto"/>
        </w:rPr>
      </w:pPr>
      <w:r>
        <w:rPr>
          <w:rFonts w:ascii="Arial" w:cs="Arial" w:eastAsia="Arial" w:hAnsi="Arial"/>
          <w:sz w:val="18"/>
          <w:szCs w:val="18"/>
          <w:color w:val="auto"/>
        </w:rPr>
        <w:t>immediately preceding the tenth (10th) anniversary of the Effective Date pursuant to the terms of the Awards.</w:t>
      </w:r>
    </w:p>
    <w:p>
      <w:pPr>
        <w:spacing w:after="0" w:line="104" w:lineRule="exact"/>
        <w:rPr>
          <w:sz w:val="20"/>
          <w:szCs w:val="20"/>
          <w:color w:val="auto"/>
        </w:rPr>
      </w:pPr>
    </w:p>
    <w:p>
      <w:pPr>
        <w:ind w:left="1640" w:right="119" w:hanging="356"/>
        <w:spacing w:after="0" w:line="242" w:lineRule="auto"/>
        <w:tabs>
          <w:tab w:leader="none" w:pos="1640"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Plan. </w:t>
      </w:r>
      <w:r>
        <w:rPr>
          <w:rFonts w:ascii="Arial" w:cs="Arial" w:eastAsia="Arial" w:hAnsi="Arial"/>
          <w:sz w:val="18"/>
          <w:szCs w:val="18"/>
          <w:color w:val="auto"/>
        </w:rPr>
        <w:t>The Board may amend, suspend or terminate the Plan or any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at any time provided that (i) no amendment that would require stockholder approval under the rules of The NASDAQ Stock Market (“NASDAQ”) (or other applicable exchange on which the Common Stock is traded) may be made effective unless and until such amendment shall have been approved by the Company’s stockholders and (ii) if the NASDAQ (or other applicable exchange on which the Common Stock is traded) amends its corporate governance rules so that such rules no longer require stockholder approval of “material amendments” to equity compensation plans, then, from and after the effective date of such amendment, no amendment to the Plan (A) materially increasing the number of shares authorized under the Plan (other than pursuant to Section 10), (B) expanding the types of Awards that may be granted under the Plan, or (C) materially expanding the class of participants eligible to participate in the Plan shall be effective unless stockholder approval is obtained.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12(d) shall apply to, and be binding on the holders of, all Awards outstanding under the Plan at the time the amendment is adopted, provided the Board determines that such amendment does not materially and adversely affect the rights of Participants under the Plan.</w:t>
      </w:r>
    </w:p>
    <w:p>
      <w:pPr>
        <w:spacing w:after="0" w:line="306" w:lineRule="exact"/>
        <w:rPr>
          <w:rFonts w:ascii="Arial" w:cs="Arial" w:eastAsia="Arial" w:hAnsi="Arial"/>
          <w:sz w:val="18"/>
          <w:szCs w:val="18"/>
          <w:color w:val="auto"/>
        </w:rPr>
      </w:pPr>
    </w:p>
    <w:p>
      <w:pPr>
        <w:ind w:left="1640" w:right="199" w:hanging="356"/>
        <w:spacing w:after="0" w:line="252" w:lineRule="auto"/>
        <w:tabs>
          <w:tab w:leader="none" w:pos="1640"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 xml:space="preserve">Provisions for Foreign Participants. </w:t>
      </w:r>
      <w:r>
        <w:rPr>
          <w:rFonts w:ascii="Arial" w:cs="Arial" w:eastAsia="Arial" w:hAnsi="Arial"/>
          <w:sz w:val="18"/>
          <w:szCs w:val="18"/>
          <w:color w:val="auto"/>
        </w:rPr>
        <w:t>The Board may modify Awards or Options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who are foreign nationals or employed outside the United States or establish subplans or procedures under the Plan to recognize differences in laws, rules, regulations or customs of such foreign jurisdictions with respect to tax, securities, currency, employee benefit or other matters.</w:t>
      </w:r>
    </w:p>
    <w:p>
      <w:pPr>
        <w:spacing w:after="0" w:line="318" w:lineRule="exact"/>
        <w:rPr>
          <w:rFonts w:ascii="Arial" w:cs="Arial" w:eastAsia="Arial" w:hAnsi="Arial"/>
          <w:sz w:val="18"/>
          <w:szCs w:val="18"/>
          <w:color w:val="auto"/>
        </w:rPr>
      </w:pPr>
    </w:p>
    <w:p>
      <w:pPr>
        <w:ind w:left="1640" w:right="179" w:hanging="356"/>
        <w:spacing w:after="0" w:line="243" w:lineRule="auto"/>
        <w:tabs>
          <w:tab w:leader="none" w:pos="1640"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Code Section 409A. </w:t>
      </w:r>
      <w:r>
        <w:rPr>
          <w:rFonts w:ascii="Arial" w:cs="Arial" w:eastAsia="Arial" w:hAnsi="Arial"/>
          <w:sz w:val="18"/>
          <w:szCs w:val="18"/>
          <w:color w:val="auto"/>
        </w:rPr>
        <w:t>To the extent applicable, the Plan and all Awards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interpreted in accordance with Section 409A. Except as provided in individual Award agreements initially or by amendment, if and to the extent (i) any portion of any payment, compensation or other benefit provided to a Participant pursuant to the Plan in connection with his or her employment termination constitutes “nonqualified deferred compensation” within the meaning of Section 409A and (ii) the Participant is a specified employee as defined in Section 409A(a)(2)(B)</w:t>
      </w:r>
    </w:p>
    <w:p>
      <w:pPr>
        <w:spacing w:after="0" w:line="2" w:lineRule="exact"/>
        <w:rPr>
          <w:rFonts w:ascii="Arial" w:cs="Arial" w:eastAsia="Arial" w:hAnsi="Arial"/>
          <w:sz w:val="18"/>
          <w:szCs w:val="18"/>
          <w:color w:val="auto"/>
        </w:rPr>
      </w:pPr>
    </w:p>
    <w:p>
      <w:pPr>
        <w:ind w:left="1640" w:right="99"/>
        <w:spacing w:after="0"/>
        <w:rPr>
          <w:rFonts w:ascii="Arial" w:cs="Arial" w:eastAsia="Arial" w:hAnsi="Arial"/>
          <w:sz w:val="18"/>
          <w:szCs w:val="18"/>
          <w:color w:val="auto"/>
        </w:rPr>
      </w:pPr>
      <w:r>
        <w:rPr>
          <w:rFonts w:ascii="Arial" w:cs="Arial" w:eastAsia="Arial" w:hAnsi="Arial"/>
          <w:sz w:val="18"/>
          <w:szCs w:val="18"/>
          <w:color w:val="auto"/>
        </w:rPr>
        <w:t>(i)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(6) months plus one (1) day after the date of “separation from service” (as​ determined under Section 409A) (the “New Payment Date”),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 To the extent applicable, for portion of any payment, compensation or other benefit provided to a Participant pursuant to the Plan in connection with his or her employment termination constitutes “nonqualified deferred compensation” within the meaning of Section 409A, termination of employment or other service shall be construed consistent with a “separation from service” (as​ determined under Section 409A). If an Award agreement does not specify a payment date, payment of the Award will be made no later than the 15th day of the third month following the end of the taxable year of the Participant during which the Participant’s right to payment is no longer subject to a substantial risk of forfeiture under Section 409A of the Code or, if later, no later than the 15th day of the third month following the end of the taxable year of the Company during which the Participant’s right to payment is no longer subject to a substantial risk of forfeiture under Section 409A</w:t>
      </w:r>
    </w:p>
    <w:p>
      <w:pPr>
        <w:spacing w:after="0" w:line="387" w:lineRule="exact"/>
        <w:rPr>
          <w:sz w:val="20"/>
          <w:szCs w:val="20"/>
          <w:color w:val="auto"/>
        </w:rPr>
      </w:pPr>
    </w:p>
    <w:p>
      <w:pPr>
        <w:ind w:left="49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of the Code. All rights to payments and benefits under an Award shall be treated as rights to</w:t>
      </w:r>
    </w:p>
    <w:p>
      <w:pPr>
        <w:spacing w:after="0" w:line="14" w:lineRule="exact"/>
        <w:rPr>
          <w:sz w:val="20"/>
          <w:szCs w:val="20"/>
          <w:color w:val="auto"/>
        </w:rPr>
      </w:pPr>
    </w:p>
    <w:p>
      <w:pPr>
        <w:ind w:left="1640" w:right="279"/>
        <w:spacing w:after="0" w:line="237" w:lineRule="auto"/>
        <w:rPr>
          <w:sz w:val="20"/>
          <w:szCs w:val="20"/>
          <w:color w:val="auto"/>
        </w:rPr>
      </w:pPr>
      <w:r>
        <w:rPr>
          <w:rFonts w:ascii="Arial" w:cs="Arial" w:eastAsia="Arial" w:hAnsi="Arial"/>
          <w:sz w:val="18"/>
          <w:szCs w:val="18"/>
          <w:color w:val="auto"/>
        </w:rPr>
        <w:t>receive a series of separate payments and benefits to the fullest extent allowed by Section 409A of the Code.</w:t>
      </w:r>
    </w:p>
    <w:p>
      <w:pPr>
        <w:spacing w:after="0" w:line="113" w:lineRule="exact"/>
        <w:rPr>
          <w:sz w:val="20"/>
          <w:szCs w:val="20"/>
          <w:color w:val="auto"/>
        </w:rPr>
      </w:pPr>
    </w:p>
    <w:p>
      <w:pPr>
        <w:ind w:left="1280" w:right="419"/>
        <w:spacing w:after="0" w:line="237" w:lineRule="auto"/>
        <w:rPr>
          <w:sz w:val="20"/>
          <w:szCs w:val="20"/>
          <w:color w:val="auto"/>
        </w:rPr>
      </w:pPr>
      <w:r>
        <w:rPr>
          <w:rFonts w:ascii="Arial" w:cs="Arial" w:eastAsia="Arial" w:hAnsi="Arial"/>
          <w:sz w:val="18"/>
          <w:szCs w:val="18"/>
          <w:color w:val="auto"/>
        </w:rPr>
        <w:t>The Company and its employees, agents and representatives make no representations or warranty and shall have no liability to the Participant or any other person if any provisions of or payments,</w:t>
      </w:r>
    </w:p>
    <w:p>
      <w:pPr>
        <w:ind w:left="1280"/>
        <w:spacing w:after="0" w:line="235" w:lineRule="auto"/>
        <w:rPr>
          <w:sz w:val="20"/>
          <w:szCs w:val="20"/>
          <w:color w:val="auto"/>
        </w:rPr>
      </w:pPr>
      <w:r>
        <w:rPr>
          <w:rFonts w:ascii="Arial" w:cs="Arial" w:eastAsia="Arial" w:hAnsi="Arial"/>
          <w:sz w:val="18"/>
          <w:szCs w:val="18"/>
          <w:color w:val="auto"/>
        </w:rPr>
        <w:t>compensation or other benefits under the Plan are determined to constitute nonqualified deferred</w:t>
      </w:r>
    </w:p>
    <w:p>
      <w:pPr>
        <w:spacing w:after="0" w:line="1" w:lineRule="exact"/>
        <w:rPr>
          <w:sz w:val="20"/>
          <w:szCs w:val="20"/>
          <w:color w:val="auto"/>
        </w:rPr>
      </w:pPr>
    </w:p>
    <w:p>
      <w:pPr>
        <w:ind w:left="1280" w:right="179"/>
        <w:spacing w:after="0" w:line="226" w:lineRule="auto"/>
        <w:rPr>
          <w:sz w:val="20"/>
          <w:szCs w:val="20"/>
          <w:color w:val="auto"/>
        </w:rPr>
      </w:pPr>
      <w:r>
        <w:rPr>
          <w:rFonts w:ascii="Arial" w:cs="Arial" w:eastAsia="Arial" w:hAnsi="Arial"/>
          <w:sz w:val="18"/>
          <w:szCs w:val="18"/>
          <w:color w:val="auto"/>
        </w:rPr>
        <w:t>compensation subject to Section 409A but do not satisfy the conditions of that section. Notwithstanding any provision of the Plan to the contrary, in the event that following the Effective Date</w:t>
      </w:r>
    </w:p>
    <w:p>
      <w:pPr>
        <w:ind w:left="1280"/>
        <w:spacing w:after="0" w:line="236" w:lineRule="auto"/>
        <w:rPr>
          <w:sz w:val="20"/>
          <w:szCs w:val="20"/>
          <w:color w:val="auto"/>
        </w:rPr>
      </w:pPr>
      <w:r>
        <w:rPr>
          <w:rFonts w:ascii="Arial" w:cs="Arial" w:eastAsia="Arial" w:hAnsi="Arial"/>
          <w:sz w:val="18"/>
          <w:szCs w:val="18"/>
          <w:color w:val="auto"/>
        </w:rPr>
        <w:t>the Board determines that any Award may be subject to Section 409A, the Board may (but is not</w:t>
      </w:r>
    </w:p>
    <w:p>
      <w:pPr>
        <w:spacing w:after="0" w:line="1" w:lineRule="exact"/>
        <w:rPr>
          <w:sz w:val="20"/>
          <w:szCs w:val="20"/>
          <w:color w:val="auto"/>
        </w:rPr>
      </w:pPr>
    </w:p>
    <w:p>
      <w:pPr>
        <w:ind w:left="1280" w:right="259"/>
        <w:spacing w:after="0" w:line="226" w:lineRule="auto"/>
        <w:rPr>
          <w:sz w:val="20"/>
          <w:szCs w:val="20"/>
          <w:color w:val="auto"/>
        </w:rPr>
      </w:pPr>
      <w:r>
        <w:rPr>
          <w:rFonts w:ascii="Arial" w:cs="Arial" w:eastAsia="Arial" w:hAnsi="Arial"/>
          <w:sz w:val="18"/>
          <w:szCs w:val="18"/>
          <w:color w:val="auto"/>
        </w:rPr>
        <w:t>obligated to), without a Participant’s consent, adopt such amendments to the Plan and the applicable Award or adopt other policies and procedures (including amendments, policies and procedures with</w:t>
      </w:r>
    </w:p>
    <w:p>
      <w:pPr>
        <w:ind w:left="1280"/>
        <w:spacing w:after="0" w:line="236" w:lineRule="auto"/>
        <w:rPr>
          <w:sz w:val="20"/>
          <w:szCs w:val="20"/>
          <w:color w:val="auto"/>
        </w:rPr>
      </w:pPr>
      <w:r>
        <w:rPr>
          <w:rFonts w:ascii="Arial" w:cs="Arial" w:eastAsia="Arial" w:hAnsi="Arial"/>
          <w:sz w:val="18"/>
          <w:szCs w:val="18"/>
          <w:color w:val="auto"/>
        </w:rPr>
        <w:t>retroactive effect), or take any other actions, that the Board determines are necessary or appropriate</w:t>
      </w:r>
    </w:p>
    <w:p>
      <w:pPr>
        <w:spacing w:after="0" w:line="1" w:lineRule="exact"/>
        <w:rPr>
          <w:sz w:val="20"/>
          <w:szCs w:val="20"/>
          <w:color w:val="auto"/>
        </w:rPr>
      </w:pPr>
    </w:p>
    <w:p>
      <w:pPr>
        <w:ind w:left="1280" w:right="179"/>
        <w:spacing w:after="0" w:line="226" w:lineRule="auto"/>
        <w:rPr>
          <w:sz w:val="20"/>
          <w:szCs w:val="20"/>
          <w:color w:val="auto"/>
        </w:rPr>
      </w:pPr>
      <w:r>
        <w:rPr>
          <w:rFonts w:ascii="Arial" w:cs="Arial" w:eastAsia="Arial" w:hAnsi="Arial"/>
          <w:sz w:val="18"/>
          <w:szCs w:val="18"/>
          <w:color w:val="auto"/>
        </w:rPr>
        <w:t>to (A) exempt the Award from Section 409A and/or preserve the intended tax treatment of the benefits provided with respect to the Award or (B) comply with the requirements of Section 409A and thereby</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avoid the application of any penalty taxes under Section 409A.</w:t>
      </w:r>
    </w:p>
    <w:p>
      <w:pPr>
        <w:spacing w:after="0" w:line="126" w:lineRule="exact"/>
        <w:rPr>
          <w:sz w:val="20"/>
          <w:szCs w:val="20"/>
          <w:color w:val="auto"/>
        </w:rPr>
      </w:pPr>
    </w:p>
    <w:p>
      <w:pPr>
        <w:ind w:left="1640" w:right="159" w:hanging="356"/>
        <w:spacing w:after="0" w:line="248" w:lineRule="auto"/>
        <w:tabs>
          <w:tab w:leader="none" w:pos="1640"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the Exchange Act. </w:t>
      </w:r>
      <w:r>
        <w:rPr>
          <w:rFonts w:ascii="Arial" w:cs="Arial" w:eastAsia="Arial" w:hAnsi="Arial"/>
          <w:sz w:val="18"/>
          <w:szCs w:val="18"/>
          <w:color w:val="auto"/>
        </w:rPr>
        <w:t>Notwithstanding any other provision of the Plan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contrary, no Participant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07" w:lineRule="exact"/>
        <w:rPr>
          <w:rFonts w:ascii="Arial" w:cs="Arial" w:eastAsia="Arial" w:hAnsi="Arial"/>
          <w:sz w:val="18"/>
          <w:szCs w:val="18"/>
          <w:color w:val="auto"/>
        </w:rPr>
      </w:pPr>
    </w:p>
    <w:p>
      <w:pPr>
        <w:ind w:left="1640" w:right="119" w:hanging="356"/>
        <w:spacing w:after="0" w:line="241" w:lineRule="auto"/>
        <w:tabs>
          <w:tab w:leader="none" w:pos="1640"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 xml:space="preserve">Data Privacy. </w:t>
      </w:r>
      <w:r>
        <w:rPr>
          <w:rFonts w:ascii="Arial" w:cs="Arial" w:eastAsia="Arial" w:hAnsi="Arial"/>
          <w:sz w:val="18"/>
          <w:szCs w:val="18"/>
          <w:color w:val="auto"/>
        </w:rPr>
        <w:t>As a condition of receipt of any Award, each Participant explicitly and</w:t>
      </w:r>
      <w:r>
        <w:rPr>
          <w:rFonts w:ascii="Arial" w:cs="Arial" w:eastAsia="Arial" w:hAnsi="Arial"/>
          <w:sz w:val="18"/>
          <w:szCs w:val="18"/>
          <w:i w:val="1"/>
          <w:iCs w:val="1"/>
          <w:color w:val="auto"/>
        </w:rPr>
        <w:t xml:space="preserve"> </w:t>
      </w:r>
      <w:r>
        <w:rPr>
          <w:rFonts w:ascii="Arial" w:cs="Arial" w:eastAsia="Arial" w:hAnsi="Arial"/>
          <w:sz w:val="18"/>
          <w:szCs w:val="18"/>
          <w:color w:val="auto"/>
        </w:rPr>
        <w:t>unambiguously consents to the collection, use and transfer, in electronic or other form, of personal data as described in this Section 12(i) by and among, as applicable, the Company and its subsidiaries for the exclusive purpose of implementing, administering and managing the Participant’s participation in the Plan. The Company and its subsidiaries may hold certain personal information about a Participant, including but not limited to, the Participant’s name, home address and telephone number, date of birth, social security or insurance number or other identification number, salary, nationality, job title(s), any shares of stock held in the Company or any of its subsidiaries, details of all Awards, in each case, for the purpose of implementing, managing and administering the Plan and Awards (the “Data”). The Company and its subsidiaries may transfer the Data amongst themselves as necessary for the purpose of implementation, administration and management of a Participant’s participation in the Plan, and the Company and its subsidiaries may each further transfer the Data to any third parties assisting the Company and its subsidiaries in the implementation, administration and management of the Plan. These recipients may be located in the Participant’s country, or elsewhere, and the Participant’s country may have different data privacy laws and protections than the recipients’ country. Through acceptance of an Award, each Participant authorizes such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Company or any of its subsidiaries or the Participant may elect to deposit any shares of Common Stock. The Data related to a Participant will be held only as long as is necessary to implement, administer, and manage the Participant’s participation in the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the Participant’s ability to participate in the Plan and, in the Board’s discretion, the Participant may forfeit any outstanding Awards if the Participant refuses or withdraws his or her consents as described herein. For more information on the consequences of refusal to consent or withdrawal of consent, Participants may contact their local human resources representative.</w:t>
      </w:r>
    </w:p>
    <w:p>
      <w:pPr>
        <w:spacing w:after="0" w:line="200" w:lineRule="exact"/>
        <w:rPr>
          <w:sz w:val="20"/>
          <w:szCs w:val="20"/>
          <w:color w:val="auto"/>
        </w:rPr>
      </w:pPr>
    </w:p>
    <w:p>
      <w:pPr>
        <w:spacing w:after="0" w:line="39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C-18</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1640" w:right="119" w:hanging="356"/>
        <w:spacing w:after="0" w:line="241" w:lineRule="auto"/>
        <w:tabs>
          <w:tab w:leader="none" w:pos="1640"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Jurisdiction; Waiver of Jury Trial</w:t>
      </w:r>
      <w:r>
        <w:rPr>
          <w:rFonts w:ascii="Arial" w:cs="Arial" w:eastAsia="Arial" w:hAnsi="Arial"/>
          <w:sz w:val="18"/>
          <w:szCs w:val="18"/>
          <w:color w:val="auto"/>
        </w:rPr>
        <w:t>. Any suit, action or proceeding with respect to the Plan or any</w:t>
      </w:r>
      <w:r>
        <w:rPr>
          <w:rFonts w:ascii="Arial" w:cs="Arial" w:eastAsia="Arial" w:hAnsi="Arial"/>
          <w:sz w:val="18"/>
          <w:szCs w:val="18"/>
          <w:i w:val="1"/>
          <w:iCs w:val="1"/>
          <w:color w:val="auto"/>
        </w:rPr>
        <w:t xml:space="preserve"> </w:t>
      </w:r>
      <w:r>
        <w:rPr>
          <w:rFonts w:ascii="Arial" w:cs="Arial" w:eastAsia="Arial" w:hAnsi="Arial"/>
          <w:sz w:val="18"/>
          <w:szCs w:val="18"/>
          <w:color w:val="auto"/>
        </w:rPr>
        <w:t>Award, or any judgment entered by any court of competent jurisdiction in respect of any thereof, shall be resolved only in the courts of the State of Texas or the United States District Court for the State of Texas and the appellate courts having jurisdiction of appeals in such courts. In that context, and without limiting the generality of the foregoing, the Company and each Participant shall irrevocably and unconditionally (a) submit in any proceeding relating to the Plan or any Award agreement, or for the recognition and enforcement of any judgment in respect thereof (a “Proceeding”), to the exclusive jurisdiction of the courts of the State of Texas, the court of the United States of America for the State of Texas, and appellate courts having jurisdiction of appeals from any of the foregoing, and agree that all claims in respect of any such Proceeding shall be heard and determined in such Texas State court or, to the extent permitted by law, in such federal court, (b) consent that any such Proceeding may and shall be brought in such courts and waives any objection that the Company and each Participant may now or thereafter have to the venue or jurisdiction of any such Proceeding in any such court or that such Proceeding was brought in an inconvenient court and agree not to plead or claim the same, (c) waive all right to trial by jury in any Proceeding (whether based on contract, tort or otherwise) arising out of or relating to the Plan or any Award Agreement, (d) agree that service of process in any such Proceeding may be effected by mailing a copy of such process by registered or certified mail (or any substantially similar form of mail), postage prepaid, to such party, in the case of a Participant, at the Participant’s address shown in the books and records of the Company or, in the case of the Company, at the Company’s principal offices, attention General Counsel, and (e) agree that nothing in the Plan shall affect the right to effect service of process in any other manner permitted by the laws of the State of Texas.</w:t>
      </w:r>
    </w:p>
    <w:p>
      <w:pPr>
        <w:spacing w:after="0" w:line="327" w:lineRule="exact"/>
        <w:rPr>
          <w:rFonts w:ascii="Arial" w:cs="Arial" w:eastAsia="Arial" w:hAnsi="Arial"/>
          <w:sz w:val="18"/>
          <w:szCs w:val="18"/>
          <w:color w:val="auto"/>
        </w:rPr>
      </w:pPr>
    </w:p>
    <w:p>
      <w:pPr>
        <w:ind w:left="1640" w:right="199" w:hanging="356"/>
        <w:spacing w:after="0" w:line="244" w:lineRule="auto"/>
        <w:tabs>
          <w:tab w:leader="none" w:pos="1640"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Unfunded Status of Awards; Creation of Trusts</w:t>
      </w:r>
      <w:r>
        <w:rPr>
          <w:rFonts w:ascii="Arial" w:cs="Arial" w:eastAsia="Arial" w:hAnsi="Arial"/>
          <w:sz w:val="18"/>
          <w:szCs w:val="18"/>
          <w:color w:val="auto"/>
        </w:rPr>
        <w:t>. The Plan is intended to constitute an “unfunded”</w:t>
      </w:r>
      <w:r>
        <w:rPr>
          <w:rFonts w:ascii="Arial" w:cs="Arial" w:eastAsia="Arial" w:hAnsi="Arial"/>
          <w:sz w:val="18"/>
          <w:szCs w:val="18"/>
          <w:i w:val="1"/>
          <w:iCs w:val="1"/>
          <w:color w:val="auto"/>
        </w:rPr>
        <w:t xml:space="preserve"> </w:t>
      </w:r>
      <w:r>
        <w:rPr>
          <w:rFonts w:ascii="Arial" w:cs="Arial" w:eastAsia="Arial" w:hAnsi="Arial"/>
          <w:sz w:val="18"/>
          <w:szCs w:val="18"/>
          <w:color w:val="auto"/>
        </w:rPr>
        <w:t>plan for incentive and deferred compensation. With respect to any payments not yet made to a Participant pursuant to an Award, nothing contained in the Plan or any Award agreement shall give any such Participant any rights that are greater than those of a general creditor of the Company; provided, however, that the Board may authorize the creation of trusts or make other arrangements to meet the Company’s obligations under the Plan to deliver cash, shares of Common Stock or other property pursuant to any Award which trusts or other arrangements shall be consistent with the “unfunded” status of the Plan unless the Board otherwise determines.</w:t>
      </w:r>
    </w:p>
    <w:p>
      <w:pPr>
        <w:spacing w:after="0" w:line="112" w:lineRule="exact"/>
        <w:rPr>
          <w:rFonts w:ascii="Arial" w:cs="Arial" w:eastAsia="Arial" w:hAnsi="Arial"/>
          <w:sz w:val="18"/>
          <w:szCs w:val="18"/>
          <w:color w:val="auto"/>
        </w:rPr>
      </w:pPr>
    </w:p>
    <w:p>
      <w:pPr>
        <w:ind w:left="1640" w:right="679" w:hanging="356"/>
        <w:spacing w:after="0" w:line="261" w:lineRule="auto"/>
        <w:tabs>
          <w:tab w:leader="none" w:pos="1640"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Military Service</w:t>
      </w:r>
      <w:r>
        <w:rPr>
          <w:rFonts w:ascii="Arial" w:cs="Arial" w:eastAsia="Arial" w:hAnsi="Arial"/>
          <w:sz w:val="18"/>
          <w:szCs w:val="18"/>
          <w:color w:val="auto"/>
        </w:rPr>
        <w:t>. To the extent required by applicable law, Awards shall be administered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Section 414(u) of the Code and the Uniformed Services Employment and Reemployment Rights Act of 1994.</w:t>
      </w:r>
    </w:p>
    <w:p>
      <w:pPr>
        <w:spacing w:after="0" w:line="94" w:lineRule="exact"/>
        <w:rPr>
          <w:rFonts w:ascii="Arial" w:cs="Arial" w:eastAsia="Arial" w:hAnsi="Arial"/>
          <w:sz w:val="18"/>
          <w:szCs w:val="18"/>
          <w:color w:val="auto"/>
        </w:rPr>
      </w:pPr>
    </w:p>
    <w:p>
      <w:pPr>
        <w:ind w:left="1640" w:right="139" w:hanging="356"/>
        <w:spacing w:after="0" w:line="248" w:lineRule="auto"/>
        <w:tabs>
          <w:tab w:leader="none" w:pos="1640"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Death/Disability</w:t>
      </w:r>
      <w:r>
        <w:rPr>
          <w:rFonts w:ascii="Arial" w:cs="Arial" w:eastAsia="Arial" w:hAnsi="Arial"/>
          <w:sz w:val="18"/>
          <w:szCs w:val="18"/>
          <w:color w:val="auto"/>
        </w:rPr>
        <w:t>. The Board may in its discretion require the transferee of a Participant to supply</w:t>
      </w:r>
      <w:r>
        <w:rPr>
          <w:rFonts w:ascii="Arial" w:cs="Arial" w:eastAsia="Arial" w:hAnsi="Arial"/>
          <w:sz w:val="18"/>
          <w:szCs w:val="18"/>
          <w:i w:val="1"/>
          <w:iCs w:val="1"/>
          <w:color w:val="auto"/>
        </w:rPr>
        <w:t xml:space="preserve"> </w:t>
      </w:r>
      <w:r>
        <w:rPr>
          <w:rFonts w:ascii="Arial" w:cs="Arial" w:eastAsia="Arial" w:hAnsi="Arial"/>
          <w:sz w:val="18"/>
          <w:szCs w:val="18"/>
          <w:color w:val="auto"/>
        </w:rPr>
        <w:t>it with written notice of the Participant’s death or disability and to supply it with a copy of the will (in the case of the Participant’s death) or such other evidence as the Board deems necessary to establish the validity of the transfer of an Award. The Board may also require that the agreement of the transferee to be bound by all of the terms and conditions of the Plan and the particular Award.</w:t>
      </w:r>
    </w:p>
    <w:p>
      <w:pPr>
        <w:spacing w:after="0" w:line="321" w:lineRule="exact"/>
        <w:rPr>
          <w:rFonts w:ascii="Arial" w:cs="Arial" w:eastAsia="Arial" w:hAnsi="Arial"/>
          <w:sz w:val="18"/>
          <w:szCs w:val="18"/>
          <w:color w:val="auto"/>
        </w:rPr>
      </w:pPr>
    </w:p>
    <w:p>
      <w:pPr>
        <w:ind w:left="1640" w:right="99" w:hanging="356"/>
        <w:spacing w:after="0" w:line="242" w:lineRule="auto"/>
        <w:tabs>
          <w:tab w:leader="none" w:pos="1640"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Payment on Behalf of Participant or Designated Beneficiary</w:t>
      </w:r>
      <w:r>
        <w:rPr>
          <w:rFonts w:ascii="Arial" w:cs="Arial" w:eastAsia="Arial" w:hAnsi="Arial"/>
          <w:sz w:val="18"/>
          <w:szCs w:val="18"/>
          <w:color w:val="auto"/>
        </w:rPr>
        <w:t>. If the Participant is incompetent to</w:t>
      </w:r>
      <w:r>
        <w:rPr>
          <w:rFonts w:ascii="Arial" w:cs="Arial" w:eastAsia="Arial" w:hAnsi="Arial"/>
          <w:sz w:val="18"/>
          <w:szCs w:val="18"/>
          <w:i w:val="1"/>
          <w:iCs w:val="1"/>
          <w:color w:val="auto"/>
        </w:rPr>
        <w:t xml:space="preserve"> </w:t>
      </w:r>
      <w:r>
        <w:rPr>
          <w:rFonts w:ascii="Arial" w:cs="Arial" w:eastAsia="Arial" w:hAnsi="Arial"/>
          <w:sz w:val="18"/>
          <w:szCs w:val="18"/>
          <w:color w:val="auto"/>
        </w:rPr>
        <w:t>handle Participant’s affairs at the time the Participant is eligible to receive a payment from the Plan, the Board will make payment to the Participant’s court-appointed personal representative or, if none, the Board, in its sole discretion, may make payment to the Participant’s duly appointed guardian, legal representative, next-of-kin or attorney-in-fact for the benefit of the Participant. If the Designated Beneficiary of a deceased Participant is a minor or is legally incompetent, the Board will make payment to the Designated Beneficiary’s court-appointed guardian or personal representative or to a trust established for the benefit of the Designated Beneficiary, or if no such guardian, representative or trust exists, the Board, in its sole discretion, may make payment to the Designated Beneficiary’s surviving parent or his or her next-of-kin for the benefit of the Designated Beneficiary. If the Board for any reason considers it improper to direct any payment as specified in this Section, the Board may request a court of appropriate jurisdiction</w:t>
      </w:r>
    </w:p>
    <w:p>
      <w:pPr>
        <w:spacing w:after="0" w:line="182" w:lineRule="exact"/>
        <w:rPr>
          <w:sz w:val="20"/>
          <w:szCs w:val="20"/>
          <w:color w:val="auto"/>
        </w:rPr>
      </w:pPr>
    </w:p>
    <w:p>
      <w:pPr>
        <w:ind w:left="49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158115</wp:posOffset>
            </wp:positionV>
            <wp:extent cx="6831965"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1640" w:right="319"/>
        <w:spacing w:after="0" w:line="261" w:lineRule="auto"/>
        <w:rPr>
          <w:sz w:val="20"/>
          <w:szCs w:val="20"/>
          <w:color w:val="auto"/>
        </w:rPr>
      </w:pPr>
      <w:r>
        <w:rPr>
          <w:rFonts w:ascii="Arial" w:cs="Arial" w:eastAsia="Arial" w:hAnsi="Arial"/>
          <w:sz w:val="18"/>
          <w:szCs w:val="18"/>
          <w:color w:val="auto"/>
        </w:rPr>
        <w:t>to determine the appropriate payee. Any payment made by the Company pursuant to this Plan shall be in full satisfaction of all liability of the Plan and the Company with respect to any benefit due a Participant or a Participant’s Designated Beneficiary under this Plan.</w:t>
      </w:r>
    </w:p>
    <w:p>
      <w:pPr>
        <w:spacing w:after="0" w:line="94" w:lineRule="exact"/>
        <w:rPr>
          <w:sz w:val="20"/>
          <w:szCs w:val="20"/>
          <w:color w:val="auto"/>
        </w:rPr>
      </w:pPr>
    </w:p>
    <w:p>
      <w:pPr>
        <w:ind w:left="1640" w:right="199" w:hanging="356"/>
        <w:spacing w:after="0" w:line="244" w:lineRule="auto"/>
        <w:tabs>
          <w:tab w:leader="none" w:pos="1640"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Whistleblower</w:t>
      </w:r>
      <w:r>
        <w:rPr>
          <w:rFonts w:ascii="Arial" w:cs="Arial" w:eastAsia="Arial" w:hAnsi="Arial"/>
          <w:sz w:val="18"/>
          <w:szCs w:val="18"/>
          <w:color w:val="auto"/>
        </w:rPr>
        <w:t>. Nothing contained herein prohibits the Participant from: (i) reporting possible</w:t>
      </w:r>
      <w:r>
        <w:rPr>
          <w:rFonts w:ascii="Arial" w:cs="Arial" w:eastAsia="Arial" w:hAnsi="Arial"/>
          <w:sz w:val="18"/>
          <w:szCs w:val="18"/>
          <w:i w:val="1"/>
          <w:iCs w:val="1"/>
          <w:color w:val="auto"/>
        </w:rPr>
        <w:t xml:space="preserve"> </w:t>
      </w:r>
      <w:r>
        <w:rPr>
          <w:rFonts w:ascii="Arial" w:cs="Arial" w:eastAsia="Arial" w:hAnsi="Arial"/>
          <w:sz w:val="18"/>
          <w:szCs w:val="18"/>
          <w:color w:val="auto"/>
        </w:rPr>
        <w:t>violations of federal law or regulations, including any possible securities laws violations, to any governmental agency or entity; (ii) making any other disclosures that are protected under the whistleblower provisions of federal law or regulations; or (iii) otherwise fully participating in any federal whistleblower programs, including but not limited to any such programs managed by the Securities Exchange Commission (“SEC”). The Participant does not need prior authorization from the Company to make any such reports or disclosures, and is not required to notify the Company about such disclosures.</w:t>
      </w:r>
    </w:p>
    <w:p>
      <w:pPr>
        <w:spacing w:after="0" w:line="112" w:lineRule="exact"/>
        <w:rPr>
          <w:rFonts w:ascii="Arial" w:cs="Arial" w:eastAsia="Arial" w:hAnsi="Arial"/>
          <w:sz w:val="18"/>
          <w:szCs w:val="18"/>
          <w:color w:val="auto"/>
        </w:rPr>
      </w:pPr>
    </w:p>
    <w:p>
      <w:pPr>
        <w:ind w:left="1640" w:right="279" w:hanging="356"/>
        <w:spacing w:after="0" w:line="252" w:lineRule="auto"/>
        <w:tabs>
          <w:tab w:leader="none" w:pos="1640"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provisions of the Plan and all Awards made hereunder shall be governed</w:t>
      </w:r>
      <w:r>
        <w:rPr>
          <w:rFonts w:ascii="Arial" w:cs="Arial" w:eastAsia="Arial" w:hAnsi="Arial"/>
          <w:sz w:val="18"/>
          <w:szCs w:val="18"/>
          <w:i w:val="1"/>
          <w:iCs w:val="1"/>
          <w:color w:val="auto"/>
        </w:rPr>
        <w:t xml:space="preserve"> </w:t>
      </w:r>
      <w:r>
        <w:rPr>
          <w:rFonts w:ascii="Arial" w:cs="Arial" w:eastAsia="Arial" w:hAnsi="Arial"/>
          <w:sz w:val="18"/>
          <w:szCs w:val="18"/>
          <w:color w:val="auto"/>
        </w:rPr>
        <w:t>by and interpreted in accordance with the laws of the State of Delaware, excluding choice-of-law principles of the law of such state that would require the application of the laws of a jurisdiction other than such state.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C-20</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-55245</wp:posOffset>
            </wp:positionV>
            <wp:extent cx="6292215" cy="814387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663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30480</wp:posOffset>
            </wp:positionV>
            <wp:extent cx="6831965"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6831965" cy="852551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31965" cy="852551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01579B"/>
    <w:multiLevelType w:val="hybridMultilevel"/>
    <w:lvl w:ilvl="0">
      <w:lvlJc w:val="left"/>
      <w:lvlText w:val="☐"/>
      <w:numFmt w:val="bullet"/>
      <w:start w:val="1"/>
    </w:lvl>
  </w:abstractNum>
  <w:abstractNum w:abstractNumId="1">
    <w:nsid w:val="49DA307D"/>
    <w:multiLevelType w:val="hybridMultilevel"/>
    <w:lvl w:ilvl="0">
      <w:lvlJc w:val="left"/>
      <w:lvlText w:val="☒"/>
      <w:numFmt w:val="bullet"/>
      <w:start w:val="1"/>
    </w:lvl>
  </w:abstractNum>
  <w:abstractNum w:abstractNumId="2">
    <w:nsid w:val="7055A5F5"/>
    <w:multiLevelType w:val="hybridMultilevel"/>
    <w:lvl w:ilvl="0">
      <w:lvlJc w:val="left"/>
      <w:lvlText w:val="☐"/>
      <w:numFmt w:val="bullet"/>
      <w:start w:val="1"/>
    </w:lvl>
  </w:abstractNum>
  <w:abstractNum w:abstractNumId="3">
    <w:nsid w:val="5FB8370B"/>
    <w:multiLevelType w:val="hybridMultilevel"/>
    <w:lvl w:ilvl="0">
      <w:lvlJc w:val="left"/>
      <w:lvlText w:val="☒"/>
      <w:numFmt w:val="bullet"/>
      <w:start w:val="1"/>
    </w:lvl>
  </w:abstractNum>
  <w:abstractNum w:abstractNumId="4">
    <w:nsid w:val="50801EE1"/>
    <w:multiLevelType w:val="hybridMultilevel"/>
    <w:lvl w:ilvl="0">
      <w:lvlJc w:val="left"/>
      <w:lvlText w:val="☐"/>
      <w:numFmt w:val="bullet"/>
      <w:start w:val="1"/>
    </w:lvl>
  </w:abstractNum>
  <w:abstractNum w:abstractNumId="5">
    <w:nsid w:val="488AC1A"/>
    <w:multiLevelType w:val="hybridMultilevel"/>
    <w:lvl w:ilvl="0">
      <w:lvlJc w:val="left"/>
      <w:lvlText w:val="7"/>
      <w:numFmt w:val="bullet"/>
      <w:start w:val="1"/>
    </w:lvl>
  </w:abstractNum>
  <w:abstractNum w:abstractNumId="6">
    <w:nsid w:val="5FB8011C"/>
    <w:multiLevelType w:val="hybridMultilevel"/>
    <w:lvl w:ilvl="0">
      <w:lvlJc w:val="left"/>
      <w:lvlText w:val="​"/>
      <w:numFmt w:val="bullet"/>
      <w:start w:val="1"/>
    </w:lvl>
    <w:lvl w:ilvl="1">
      <w:lvlJc w:val="left"/>
      <w:lvlText w:val="%2"/>
      <w:numFmt w:val="decimal"/>
      <w:start w:val="35"/>
    </w:lvl>
  </w:abstractNum>
  <w:abstractNum w:abstractNumId="7">
    <w:nsid w:val="6AA78F7F"/>
    <w:multiLevelType w:val="hybridMultilevel"/>
    <w:lvl w:ilvl="0">
      <w:lvlJc w:val="left"/>
      <w:lvlText w:val="​"/>
      <w:numFmt w:val="bullet"/>
      <w:start w:val="1"/>
    </w:lvl>
  </w:abstractNum>
  <w:abstractNum w:abstractNumId="8">
    <w:nsid w:val="7672BD23"/>
    <w:multiLevelType w:val="hybridMultilevel"/>
    <w:lvl w:ilvl="0">
      <w:lvlJc w:val="left"/>
      <w:lvlText w:val="(%1)"/>
      <w:numFmt w:val="decimal"/>
      <w:start w:val="1"/>
    </w:lvl>
  </w:abstractNum>
  <w:abstractNum w:abstractNumId="9">
    <w:nsid w:val="6FC75AF8"/>
    <w:multiLevelType w:val="hybridMultilevel"/>
    <w:lvl w:ilvl="0">
      <w:lvlJc w:val="left"/>
      <w:lvlText w:val="■"/>
      <w:numFmt w:val="bullet"/>
      <w:start w:val="1"/>
    </w:lvl>
  </w:abstractNum>
  <w:abstractNum w:abstractNumId="10">
    <w:nsid w:val="6A5F7029"/>
    <w:multiLevelType w:val="hybridMultilevel"/>
    <w:lvl w:ilvl="0">
      <w:lvlJc w:val="left"/>
      <w:lvlText w:val="(%1)"/>
      <w:numFmt w:val="lowerRoman"/>
      <w:start w:val="1"/>
    </w:lvl>
  </w:abstractNum>
  <w:abstractNum w:abstractNumId="11">
    <w:nsid w:val="7D5E18F8"/>
    <w:multiLevelType w:val="hybridMultilevel"/>
    <w:lvl w:ilvl="0">
      <w:lvlJc w:val="left"/>
      <w:lvlText w:val="■"/>
      <w:numFmt w:val="bullet"/>
      <w:start w:val="1"/>
    </w:lvl>
  </w:abstractNum>
  <w:abstractNum w:abstractNumId="12">
    <w:nsid w:val="5F3534A4"/>
    <w:multiLevelType w:val="hybridMultilevel"/>
    <w:lvl w:ilvl="0">
      <w:lvlJc w:val="left"/>
      <w:lvlText w:val="■"/>
      <w:numFmt w:val="bullet"/>
      <w:start w:val="1"/>
    </w:lvl>
  </w:abstractNum>
  <w:abstractNum w:abstractNumId="13">
    <w:nsid w:val="73A1821B"/>
    <w:multiLevelType w:val="hybridMultilevel"/>
    <w:lvl w:ilvl="0">
      <w:lvlJc w:val="left"/>
      <w:lvlText w:val="■"/>
      <w:numFmt w:val="bullet"/>
      <w:start w:val="1"/>
    </w:lvl>
  </w:abstractNum>
  <w:abstractNum w:abstractNumId="14">
    <w:nsid w:val="7DE67713"/>
    <w:multiLevelType w:val="hybridMultilevel"/>
    <w:lvl w:ilvl="0">
      <w:lvlJc w:val="left"/>
      <w:lvlText w:val="■"/>
      <w:numFmt w:val="bullet"/>
      <w:start w:val="1"/>
    </w:lvl>
  </w:abstractNum>
  <w:abstractNum w:abstractNumId="15">
    <w:nsid w:val="555C55B5"/>
    <w:multiLevelType w:val="hybridMultilevel"/>
    <w:lvl w:ilvl="0">
      <w:lvlJc w:val="left"/>
      <w:lvlText w:val="■"/>
      <w:numFmt w:val="bullet"/>
      <w:start w:val="1"/>
    </w:lvl>
  </w:abstractNum>
  <w:abstractNum w:abstractNumId="16">
    <w:nsid w:val="3FA62ACA"/>
    <w:multiLevelType w:val="hybridMultilevel"/>
    <w:lvl w:ilvl="0">
      <w:lvlJc w:val="left"/>
      <w:lvlText w:val="■"/>
      <w:numFmt w:val="bullet"/>
      <w:start w:val="1"/>
    </w:lvl>
  </w:abstractNum>
  <w:abstractNum w:abstractNumId="17">
    <w:nsid w:val="14FCE74E"/>
    <w:multiLevelType w:val="hybridMultilevel"/>
    <w:lvl w:ilvl="0">
      <w:lvlJc w:val="left"/>
      <w:lvlText w:val="■"/>
      <w:numFmt w:val="bullet"/>
      <w:start w:val="1"/>
    </w:lvl>
  </w:abstractNum>
  <w:abstractNum w:abstractNumId="18">
    <w:nsid w:val="6A3DD3E8"/>
    <w:multiLevelType w:val="hybridMultilevel"/>
    <w:lvl w:ilvl="0">
      <w:lvlJc w:val="left"/>
      <w:lvlText w:val="■"/>
      <w:numFmt w:val="bullet"/>
      <w:start w:val="1"/>
    </w:lvl>
  </w:abstractNum>
  <w:abstractNum w:abstractNumId="19">
    <w:nsid w:val="71C91298"/>
    <w:multiLevelType w:val="hybridMultilevel"/>
    <w:lvl w:ilvl="0">
      <w:lvlJc w:val="left"/>
      <w:lvlText w:val="■"/>
      <w:numFmt w:val="bullet"/>
      <w:start w:val="1"/>
    </w:lvl>
  </w:abstractNum>
  <w:abstractNum w:abstractNumId="20">
    <w:nsid w:val="9DAF632"/>
    <w:multiLevelType w:val="hybridMultilevel"/>
    <w:lvl w:ilvl="0">
      <w:lvlJc w:val="left"/>
      <w:lvlText w:val="■"/>
      <w:numFmt w:val="bullet"/>
      <w:start w:val="1"/>
    </w:lvl>
  </w:abstractNum>
  <w:abstractNum w:abstractNumId="21">
    <w:nsid w:val="53299938"/>
    <w:multiLevelType w:val="hybridMultilevel"/>
    <w:lvl w:ilvl="0">
      <w:lvlJc w:val="left"/>
      <w:lvlText w:val="■"/>
      <w:numFmt w:val="bullet"/>
      <w:start w:val="1"/>
    </w:lvl>
  </w:abstractNum>
  <w:abstractNum w:abstractNumId="22">
    <w:nsid w:val="1FBFE8E0"/>
    <w:multiLevelType w:val="hybridMultilevel"/>
    <w:lvl w:ilvl="0">
      <w:lvlJc w:val="left"/>
      <w:lvlText w:val="​"/>
      <w:numFmt w:val="bullet"/>
      <w:start w:val="1"/>
    </w:lvl>
  </w:abstractNum>
  <w:abstractNum w:abstractNumId="23">
    <w:nsid w:val="5092CA79"/>
    <w:multiLevelType w:val="hybridMultilevel"/>
    <w:lvl w:ilvl="0">
      <w:lvlJc w:val="left"/>
      <w:lvlText w:val="■"/>
      <w:numFmt w:val="bullet"/>
      <w:start w:val="1"/>
    </w:lvl>
  </w:abstractNum>
  <w:abstractNum w:abstractNumId="24">
    <w:nsid w:val="1D545C4D"/>
    <w:multiLevelType w:val="hybridMultilevel"/>
    <w:lvl w:ilvl="0">
      <w:lvlJc w:val="left"/>
      <w:lvlText w:val="■"/>
      <w:numFmt w:val="bullet"/>
      <w:start w:val="1"/>
    </w:lvl>
  </w:abstractNum>
  <w:abstractNum w:abstractNumId="25">
    <w:nsid w:val="59ADEA3D"/>
    <w:multiLevelType w:val="hybridMultilevel"/>
    <w:lvl w:ilvl="0">
      <w:lvlJc w:val="left"/>
      <w:lvlText w:val="■"/>
      <w:numFmt w:val="bullet"/>
      <w:start w:val="1"/>
    </w:lvl>
  </w:abstractNum>
  <w:abstractNum w:abstractNumId="26">
    <w:nsid w:val="288F1A34"/>
    <w:multiLevelType w:val="hybridMultilevel"/>
    <w:lvl w:ilvl="0">
      <w:lvlJc w:val="left"/>
      <w:lvlText w:val="■"/>
      <w:numFmt w:val="bullet"/>
      <w:start w:val="1"/>
    </w:lvl>
  </w:abstractNum>
  <w:abstractNum w:abstractNumId="27">
    <w:nsid w:val="2A155DBC"/>
    <w:multiLevelType w:val="hybridMultilevel"/>
    <w:lvl w:ilvl="0">
      <w:lvlJc w:val="left"/>
      <w:lvlText w:val="■"/>
      <w:numFmt w:val="bullet"/>
      <w:start w:val="1"/>
    </w:lvl>
  </w:abstractNum>
  <w:abstractNum w:abstractNumId="28">
    <w:nsid w:val="1D9F6E5F"/>
    <w:multiLevelType w:val="hybridMultilevel"/>
    <w:lvl w:ilvl="0">
      <w:lvlJc w:val="left"/>
      <w:lvlText w:val="■"/>
      <w:numFmt w:val="bullet"/>
      <w:start w:val="1"/>
    </w:lvl>
  </w:abstractNum>
  <w:abstractNum w:abstractNumId="29">
    <w:nsid w:val="97E1B4E"/>
    <w:multiLevelType w:val="hybridMultilevel"/>
    <w:lvl w:ilvl="0">
      <w:lvlJc w:val="left"/>
      <w:lvlText w:val="■"/>
      <w:numFmt w:val="bullet"/>
      <w:start w:val="1"/>
    </w:lvl>
  </w:abstractNum>
  <w:abstractNum w:abstractNumId="30">
    <w:nsid w:val="51088277"/>
    <w:multiLevelType w:val="hybridMultilevel"/>
    <w:lvl w:ilvl="0">
      <w:lvlJc w:val="left"/>
      <w:lvlText w:val="■"/>
      <w:numFmt w:val="bullet"/>
      <w:start w:val="1"/>
    </w:lvl>
  </w:abstractNum>
  <w:abstractNum w:abstractNumId="31">
    <w:nsid w:val="1CA0C5FA"/>
    <w:multiLevelType w:val="hybridMultilevel"/>
    <w:lvl w:ilvl="0">
      <w:lvlJc w:val="left"/>
      <w:lvlText w:val="■"/>
      <w:numFmt w:val="bullet"/>
      <w:start w:val="1"/>
    </w:lvl>
  </w:abstractNum>
  <w:abstractNum w:abstractNumId="32">
    <w:nsid w:val="53584BCB"/>
    <w:multiLevelType w:val="hybridMultilevel"/>
    <w:lvl w:ilvl="0">
      <w:lvlJc w:val="left"/>
      <w:lvlText w:val="​"/>
      <w:numFmt w:val="bullet"/>
      <w:start w:val="1"/>
    </w:lvl>
    <w:lvl w:ilvl="1">
      <w:lvlJc w:val="left"/>
      <w:lvlText w:val="■"/>
      <w:numFmt w:val="bullet"/>
      <w:start w:val="1"/>
    </w:lvl>
  </w:abstractNum>
  <w:abstractNum w:abstractNumId="33">
    <w:nsid w:val="415E286C"/>
    <w:multiLevelType w:val="hybridMultilevel"/>
    <w:lvl w:ilvl="0">
      <w:lvlJc w:val="left"/>
      <w:lvlText w:val="■"/>
      <w:numFmt w:val="bullet"/>
      <w:start w:val="1"/>
    </w:lvl>
  </w:abstractNum>
  <w:abstractNum w:abstractNumId="34">
    <w:nsid w:val="7C58FD05"/>
    <w:multiLevelType w:val="hybridMultilevel"/>
    <w:lvl w:ilvl="0">
      <w:lvlJc w:val="left"/>
      <w:lvlText w:val="■"/>
      <w:numFmt w:val="bullet"/>
      <w:start w:val="1"/>
    </w:lvl>
  </w:abstractNum>
  <w:abstractNum w:abstractNumId="35">
    <w:nsid w:val="23D86AAC"/>
    <w:multiLevelType w:val="hybridMultilevel"/>
    <w:lvl w:ilvl="0">
      <w:lvlJc w:val="left"/>
      <w:lvlText w:val="■"/>
      <w:numFmt w:val="bullet"/>
      <w:start w:val="1"/>
    </w:lvl>
  </w:abstractNum>
  <w:abstractNum w:abstractNumId="36">
    <w:nsid w:val="45E6D486"/>
    <w:multiLevelType w:val="hybridMultilevel"/>
    <w:lvl w:ilvl="0">
      <w:lvlJc w:val="left"/>
      <w:lvlText w:val="■"/>
      <w:numFmt w:val="bullet"/>
      <w:start w:val="1"/>
    </w:lvl>
  </w:abstractNum>
  <w:abstractNum w:abstractNumId="37">
    <w:nsid w:val="5C10FE21"/>
    <w:multiLevelType w:val="hybridMultilevel"/>
    <w:lvl w:ilvl="0">
      <w:lvlJc w:val="left"/>
      <w:lvlText w:val="■"/>
      <w:numFmt w:val="bullet"/>
      <w:start w:val="1"/>
    </w:lvl>
  </w:abstractNum>
  <w:abstractNum w:abstractNumId="38">
    <w:nsid w:val="E7FFA2B"/>
    <w:multiLevelType w:val="hybridMultilevel"/>
    <w:lvl w:ilvl="0">
      <w:lvlJc w:val="left"/>
      <w:lvlText w:val="​"/>
      <w:numFmt w:val="bullet"/>
      <w:start w:val="1"/>
    </w:lvl>
    <w:lvl w:ilvl="1">
      <w:lvlJc w:val="left"/>
      <w:lvlText w:val="■"/>
      <w:numFmt w:val="bullet"/>
      <w:start w:val="1"/>
    </w:lvl>
  </w:abstractNum>
  <w:abstractNum w:abstractNumId="39">
    <w:nsid w:val="3C5991AA"/>
    <w:multiLevelType w:val="hybridMultilevel"/>
    <w:lvl w:ilvl="0">
      <w:lvlJc w:val="left"/>
      <w:lvlText w:val="■"/>
      <w:numFmt w:val="bullet"/>
      <w:start w:val="1"/>
    </w:lvl>
  </w:abstractNum>
  <w:abstractNum w:abstractNumId="40">
    <w:nsid w:val="4BD8591A"/>
    <w:multiLevelType w:val="hybridMultilevel"/>
    <w:lvl w:ilvl="0">
      <w:lvlJc w:val="left"/>
      <w:lvlText w:val="■"/>
      <w:numFmt w:val="bullet"/>
      <w:start w:val="1"/>
    </w:lvl>
  </w:abstractNum>
  <w:abstractNum w:abstractNumId="41">
    <w:nsid w:val="78DF6A55"/>
    <w:multiLevelType w:val="hybridMultilevel"/>
    <w:lvl w:ilvl="0">
      <w:lvlJc w:val="left"/>
      <w:lvlText w:val="■"/>
      <w:numFmt w:val="bullet"/>
      <w:start w:val="1"/>
    </w:lvl>
  </w:abstractNum>
  <w:abstractNum w:abstractNumId="42">
    <w:nsid w:val="39B7AAA2"/>
    <w:multiLevelType w:val="hybridMultilevel"/>
    <w:lvl w:ilvl="0">
      <w:lvlJc w:val="left"/>
      <w:lvlText w:val="■"/>
      <w:numFmt w:val="bullet"/>
      <w:start w:val="1"/>
    </w:lvl>
  </w:abstractNum>
  <w:abstractNum w:abstractNumId="43">
    <w:nsid w:val="2B0D8DBE"/>
    <w:multiLevelType w:val="hybridMultilevel"/>
    <w:lvl w:ilvl="0">
      <w:lvlJc w:val="left"/>
      <w:lvlText w:val="■"/>
      <w:numFmt w:val="bullet"/>
      <w:start w:val="1"/>
    </w:lvl>
  </w:abstractNum>
  <w:abstractNum w:abstractNumId="44">
    <w:nsid w:val="6C80EC70"/>
    <w:multiLevelType w:val="hybridMultilevel"/>
    <w:lvl w:ilvl="0">
      <w:lvlJc w:val="left"/>
      <w:lvlText w:val="■"/>
      <w:numFmt w:val="bullet"/>
      <w:start w:val="1"/>
    </w:lvl>
  </w:abstractNum>
  <w:abstractNum w:abstractNumId="45">
    <w:nsid w:val="379E21B5"/>
    <w:multiLevelType w:val="hybridMultilevel"/>
    <w:lvl w:ilvl="0">
      <w:lvlJc w:val="left"/>
      <w:lvlText w:val="■"/>
      <w:numFmt w:val="bullet"/>
      <w:start w:val="1"/>
    </w:lvl>
  </w:abstractNum>
  <w:abstractNum w:abstractNumId="46">
    <w:nsid w:val="69E373"/>
    <w:multiLevelType w:val="hybridMultilevel"/>
    <w:lvl w:ilvl="0">
      <w:lvlJc w:val="left"/>
      <w:lvlText w:val="■"/>
      <w:numFmt w:val="bullet"/>
      <w:start w:val="1"/>
    </w:lvl>
  </w:abstractNum>
  <w:abstractNum w:abstractNumId="47">
    <w:nsid w:val="2C27173B"/>
    <w:multiLevelType w:val="hybridMultilevel"/>
    <w:lvl w:ilvl="0">
      <w:lvlJc w:val="left"/>
      <w:lvlText w:val="​"/>
      <w:numFmt w:val="bullet"/>
      <w:start w:val="1"/>
    </w:lvl>
    <w:lvl w:ilvl="1">
      <w:lvlJc w:val="left"/>
      <w:lvlText w:val="■"/>
      <w:numFmt w:val="bullet"/>
      <w:start w:val="1"/>
    </w:lvl>
  </w:abstractNum>
  <w:abstractNum w:abstractNumId="48">
    <w:nsid w:val="4C9B0904"/>
    <w:multiLevelType w:val="hybridMultilevel"/>
    <w:lvl w:ilvl="0">
      <w:lvlJc w:val="left"/>
      <w:lvlText w:val="■"/>
      <w:numFmt w:val="bullet"/>
      <w:start w:val="1"/>
    </w:lvl>
  </w:abstractNum>
  <w:abstractNum w:abstractNumId="49">
    <w:nsid w:val="6AA7B75C"/>
    <w:multiLevelType w:val="hybridMultilevel"/>
    <w:lvl w:ilvl="0">
      <w:lvlJc w:val="left"/>
      <w:lvlText w:val="■"/>
      <w:numFmt w:val="bullet"/>
      <w:start w:val="1"/>
    </w:lvl>
  </w:abstractNum>
  <w:abstractNum w:abstractNumId="50">
    <w:nsid w:val="1DF029D3"/>
    <w:multiLevelType w:val="hybridMultilevel"/>
    <w:lvl w:ilvl="0">
      <w:lvlJc w:val="left"/>
      <w:lvlText w:val="■"/>
      <w:numFmt w:val="bullet"/>
      <w:start w:val="1"/>
    </w:lvl>
  </w:abstractNum>
  <w:abstractNum w:abstractNumId="51">
    <w:nsid w:val="5675FF36"/>
    <w:multiLevelType w:val="hybridMultilevel"/>
    <w:lvl w:ilvl="0">
      <w:lvlJc w:val="left"/>
      <w:lvlText w:val="■"/>
      <w:numFmt w:val="bullet"/>
      <w:start w:val="1"/>
    </w:lvl>
  </w:abstractNum>
  <w:abstractNum w:abstractNumId="52">
    <w:nsid w:val="3DD15094"/>
    <w:multiLevelType w:val="hybridMultilevel"/>
    <w:lvl w:ilvl="0">
      <w:lvlJc w:val="left"/>
      <w:lvlText w:val="■"/>
      <w:numFmt w:val="bullet"/>
      <w:start w:val="1"/>
    </w:lvl>
  </w:abstractNum>
  <w:abstractNum w:abstractNumId="53">
    <w:nsid w:val="3DB012B3"/>
    <w:multiLevelType w:val="hybridMultilevel"/>
    <w:lvl w:ilvl="0">
      <w:lvlJc w:val="left"/>
      <w:lvlText w:val="■"/>
      <w:numFmt w:val="bullet"/>
      <w:start w:val="1"/>
    </w:lvl>
  </w:abstractNum>
  <w:abstractNum w:abstractNumId="54">
    <w:nsid w:val="2708C9AF"/>
    <w:multiLevelType w:val="hybridMultilevel"/>
    <w:lvl w:ilvl="0">
      <w:lvlJc w:val="left"/>
      <w:lvlText w:val="■"/>
      <w:numFmt w:val="bullet"/>
      <w:start w:val="1"/>
    </w:lvl>
  </w:abstractNum>
  <w:abstractNum w:abstractNumId="55">
    <w:nsid w:val="5B25ACE2"/>
    <w:multiLevelType w:val="hybridMultilevel"/>
    <w:lvl w:ilvl="0">
      <w:lvlJc w:val="left"/>
      <w:lvlText w:val="​"/>
      <w:numFmt w:val="bullet"/>
      <w:start w:val="1"/>
    </w:lvl>
  </w:abstractNum>
  <w:abstractNum w:abstractNumId="56">
    <w:nsid w:val="175DFCF0"/>
    <w:multiLevelType w:val="hybridMultilevel"/>
    <w:lvl w:ilvl="0">
      <w:lvlJc w:val="left"/>
      <w:lvlText w:val="■"/>
      <w:numFmt w:val="bullet"/>
      <w:start w:val="1"/>
    </w:lvl>
  </w:abstractNum>
  <w:abstractNum w:abstractNumId="57">
    <w:nsid w:val="4F97E3E4"/>
    <w:multiLevelType w:val="hybridMultilevel"/>
    <w:lvl w:ilvl="0">
      <w:lvlJc w:val="left"/>
      <w:lvlText w:val="■"/>
      <w:numFmt w:val="bullet"/>
      <w:start w:val="1"/>
    </w:lvl>
  </w:abstractNum>
  <w:abstractNum w:abstractNumId="58">
    <w:nsid w:val="53B0A9E"/>
    <w:multiLevelType w:val="hybridMultilevel"/>
    <w:lvl w:ilvl="0">
      <w:lvlJc w:val="left"/>
      <w:lvlText w:val="■"/>
      <w:numFmt w:val="bullet"/>
      <w:start w:val="1"/>
    </w:lvl>
  </w:abstractNum>
  <w:abstractNum w:abstractNumId="59">
    <w:nsid w:val="34FD6B4F"/>
    <w:multiLevelType w:val="hybridMultilevel"/>
    <w:lvl w:ilvl="0">
      <w:lvlJc w:val="left"/>
      <w:lvlText w:val="■"/>
      <w:numFmt w:val="bullet"/>
      <w:start w:val="1"/>
    </w:lvl>
  </w:abstractNum>
  <w:abstractNum w:abstractNumId="60">
    <w:nsid w:val="5915FF32"/>
    <w:multiLevelType w:val="hybridMultilevel"/>
    <w:lvl w:ilvl="0">
      <w:lvlJc w:val="left"/>
      <w:lvlText w:val="■"/>
      <w:numFmt w:val="bullet"/>
      <w:start w:val="1"/>
    </w:lvl>
  </w:abstractNum>
  <w:abstractNum w:abstractNumId="61">
    <w:nsid w:val="56438D15"/>
    <w:multiLevelType w:val="hybridMultilevel"/>
    <w:lvl w:ilvl="0">
      <w:lvlJc w:val="left"/>
      <w:lvlText w:val="(%1)"/>
      <w:numFmt w:val="lowerRoman"/>
      <w:start w:val="1"/>
    </w:lvl>
    <w:lvl w:ilvl="1">
      <w:lvlJc w:val="left"/>
      <w:lvlText w:val="(%2)"/>
      <w:numFmt w:val="upperLetter"/>
      <w:start w:val="1"/>
    </w:lvl>
  </w:abstractNum>
  <w:abstractNum w:abstractNumId="62">
    <w:nsid w:val="519E3149"/>
    <w:multiLevelType w:val="hybridMultilevel"/>
    <w:lvl w:ilvl="0">
      <w:lvlJc w:val="left"/>
      <w:lvlText w:val="(%1)"/>
      <w:numFmt w:val="upperLetter"/>
      <w:start w:val="2"/>
    </w:lvl>
  </w:abstractNum>
  <w:abstractNum w:abstractNumId="63">
    <w:nsid w:val="2C6E4AFD"/>
    <w:multiLevelType w:val="hybridMultilevel"/>
    <w:lvl w:ilvl="0">
      <w:lvlJc w:val="left"/>
      <w:lvlText w:val="(%1)"/>
      <w:numFmt w:val="lowerRoman"/>
      <w:start w:val="1"/>
    </w:lvl>
  </w:abstractNum>
  <w:abstractNum w:abstractNumId="64">
    <w:nsid w:val="17A1B582"/>
    <w:multiLevelType w:val="hybridMultilevel"/>
    <w:lvl w:ilvl="0">
      <w:lvlJc w:val="left"/>
      <w:lvlText w:val="(%1)"/>
      <w:numFmt w:val="lowerRoman"/>
      <w:start w:val="2"/>
    </w:lvl>
  </w:abstractNum>
  <w:abstractNum w:abstractNumId="65">
    <w:nsid w:val="4DF72E4E"/>
    <w:multiLevelType w:val="hybridMultilevel"/>
    <w:lvl w:ilvl="0">
      <w:lvlJc w:val="left"/>
      <w:lvlText w:val="(%1)"/>
      <w:numFmt w:val="lowerRoman"/>
      <w:start w:val="1"/>
    </w:lvl>
  </w:abstractNum>
  <w:abstractNum w:abstractNumId="66">
    <w:nsid w:val="5046B5A9"/>
    <w:multiLevelType w:val="hybridMultilevel"/>
    <w:lvl w:ilvl="0">
      <w:lvlJc w:val="left"/>
      <w:lvlText w:val="(%1)"/>
      <w:numFmt w:val="lowerRoman"/>
      <w:start w:val="1"/>
    </w:lvl>
  </w:abstractNum>
  <w:abstractNum w:abstractNumId="67">
    <w:nsid w:val="5D888A08"/>
    <w:multiLevelType w:val="hybridMultilevel"/>
    <w:lvl w:ilvl="0">
      <w:lvlJc w:val="left"/>
      <w:lvlText w:val="​"/>
      <w:numFmt w:val="bullet"/>
      <w:start w:val="1"/>
    </w:lvl>
    <w:lvl w:ilvl="1">
      <w:lvlJc w:val="left"/>
      <w:lvlText w:val="(%2)"/>
      <w:numFmt w:val="lowerRoman"/>
      <w:start w:val="1"/>
    </w:lvl>
  </w:abstractNum>
  <w:abstractNum w:abstractNumId="68">
    <w:nsid w:val="2A082C70"/>
    <w:multiLevelType w:val="hybridMultilevel"/>
    <w:lvl w:ilvl="0">
      <w:lvlJc w:val="left"/>
      <w:lvlText w:val="​"/>
      <w:numFmt w:val="bullet"/>
      <w:start w:val="1"/>
    </w:lvl>
    <w:lvl w:ilvl="1">
      <w:lvlJc w:val="left"/>
      <w:lvlText w:val="(%2)"/>
      <w:numFmt w:val="lowerRoman"/>
      <w:start w:val="1"/>
    </w:lvl>
  </w:abstractNum>
  <w:abstractNum w:abstractNumId="69">
    <w:nsid w:val="5EC6AFD4"/>
    <w:multiLevelType w:val="hybridMultilevel"/>
    <w:lvl w:ilvl="0">
      <w:lvlJc w:val="left"/>
      <w:lvlText w:val="​"/>
      <w:numFmt w:val="bullet"/>
      <w:start w:val="1"/>
    </w:lvl>
    <w:lvl w:ilvl="1">
      <w:lvlJc w:val="left"/>
      <w:lvlText w:val="(%2)"/>
      <w:numFmt w:val="lowerLetter"/>
      <w:start w:val="9"/>
    </w:lvl>
    <w:lvl w:ilvl="2">
      <w:lvlJc w:val="left"/>
      <w:lvlText w:val="(%3)"/>
      <w:numFmt w:val="lowerLetter"/>
      <w:start w:val="1"/>
    </w:lvl>
  </w:abstractNum>
  <w:abstractNum w:abstractNumId="70">
    <w:nsid w:val="19E21BB2"/>
    <w:multiLevelType w:val="hybridMultilevel"/>
    <w:lvl w:ilvl="0">
      <w:lvlJc w:val="left"/>
      <w:lvlText w:val="(%1)"/>
      <w:numFmt w:val="lowerRoman"/>
      <w:start w:val="2"/>
    </w:lvl>
  </w:abstractNum>
  <w:abstractNum w:abstractNumId="71">
    <w:nsid w:val="75E0858A"/>
    <w:multiLevelType w:val="hybridMultilevel"/>
    <w:lvl w:ilvl="0">
      <w:lvlJc w:val="left"/>
      <w:lvlText w:val="(%1)"/>
      <w:numFmt w:val="lowerRoman"/>
      <w:start w:val="4"/>
    </w:lvl>
  </w:abstractNum>
  <w:abstractNum w:abstractNumId="72">
    <w:nsid w:val="57A61A29"/>
    <w:multiLevelType w:val="hybridMultilevel"/>
    <w:lvl w:ilvl="0">
      <w:lvlJc w:val="left"/>
      <w:lvlText w:val="​"/>
      <w:numFmt w:val="bullet"/>
      <w:start w:val="1"/>
    </w:lvl>
    <w:lvl w:ilvl="1">
      <w:lvlJc w:val="left"/>
      <w:lvlText w:val="(%2)"/>
      <w:numFmt w:val="lowerRoman"/>
      <w:start w:val="1"/>
    </w:lvl>
  </w:abstractNum>
  <w:abstractNum w:abstractNumId="73">
    <w:nsid w:val="5399C654"/>
    <w:multiLevelType w:val="hybridMultilevel"/>
    <w:lvl w:ilvl="0">
      <w:lvlJc w:val="left"/>
      <w:lvlText w:val="(%1)"/>
      <w:numFmt w:val="lowerRoman"/>
      <w:start w:val="2"/>
    </w:lvl>
  </w:abstractNum>
  <w:abstractNum w:abstractNumId="74">
    <w:nsid w:val="20EE1348"/>
    <w:multiLevelType w:val="hybridMultilevel"/>
    <w:lvl w:ilvl="0">
      <w:lvlJc w:val="left"/>
      <w:lvlText w:val="■"/>
      <w:numFmt w:val="bullet"/>
      <w:start w:val="1"/>
    </w:lvl>
  </w:abstractNum>
  <w:abstractNum w:abstractNumId="75">
    <w:nsid w:val="4427069A"/>
    <w:multiLevelType w:val="hybridMultilevel"/>
    <w:lvl w:ilvl="0">
      <w:lvlJc w:val="left"/>
      <w:lvlText w:val="■"/>
      <w:numFmt w:val="bullet"/>
      <w:start w:val="1"/>
    </w:lvl>
  </w:abstractNum>
  <w:abstractNum w:abstractNumId="76">
    <w:nsid w:val="B37E80A"/>
    <w:multiLevelType w:val="hybridMultilevel"/>
    <w:lvl w:ilvl="0">
      <w:lvlJc w:val="left"/>
      <w:lvlText w:val="(%1)"/>
      <w:numFmt w:val="decimal"/>
      <w:start w:val="1"/>
    </w:lvl>
  </w:abstractNum>
  <w:abstractNum w:abstractNumId="77">
    <w:nsid w:val="2157F6BC"/>
    <w:multiLevelType w:val="hybridMultilevel"/>
    <w:lvl w:ilvl="0">
      <w:lvlJc w:val="left"/>
      <w:lvlText w:val="(%1)"/>
      <w:numFmt w:val="decimal"/>
      <w:start w:val="1"/>
    </w:lvl>
  </w:abstractNum>
  <w:abstractNum w:abstractNumId="78">
    <w:nsid w:val="704E1DD5"/>
    <w:multiLevelType w:val="hybridMultilevel"/>
    <w:lvl w:ilvl="0">
      <w:lvlJc w:val="left"/>
      <w:lvlText w:val="(%1)"/>
      <w:numFmt w:val="decimal"/>
      <w:start w:val="2"/>
    </w:lvl>
  </w:abstractNum>
  <w:abstractNum w:abstractNumId="79">
    <w:nsid w:val="57D2F10E"/>
    <w:multiLevelType w:val="hybridMultilevel"/>
    <w:lvl w:ilvl="0">
      <w:lvlJc w:val="left"/>
      <w:lvlText w:val="(%1)"/>
      <w:numFmt w:val="decimal"/>
      <w:start w:val="1"/>
    </w:lvl>
  </w:abstractNum>
  <w:abstractNum w:abstractNumId="80">
    <w:nsid w:val="BFFAE18"/>
    <w:multiLevelType w:val="hybridMultilevel"/>
    <w:lvl w:ilvl="0">
      <w:lvlJc w:val="left"/>
      <w:lvlText w:val="(%1)"/>
      <w:numFmt w:val="decimal"/>
      <w:start w:val="2"/>
    </w:lvl>
  </w:abstractNum>
  <w:abstractNum w:abstractNumId="81">
    <w:nsid w:val="E3E47A8"/>
    <w:multiLevelType w:val="hybridMultilevel"/>
    <w:lvl w:ilvl="0">
      <w:lvlJc w:val="left"/>
      <w:lvlText w:val="​"/>
      <w:numFmt w:val="bullet"/>
      <w:start w:val="1"/>
    </w:lvl>
    <w:lvl w:ilvl="1">
      <w:lvlJc w:val="left"/>
      <w:lvlText w:val="■"/>
      <w:numFmt w:val="bullet"/>
      <w:start w:val="1"/>
    </w:lvl>
  </w:abstractNum>
  <w:abstractNum w:abstractNumId="82">
    <w:nsid w:val="2E48F044"/>
    <w:multiLevelType w:val="hybridMultilevel"/>
    <w:lvl w:ilvl="0">
      <w:lvlJc w:val="left"/>
      <w:lvlText w:val="■"/>
      <w:numFmt w:val="bullet"/>
      <w:start w:val="1"/>
    </w:lvl>
  </w:abstractNum>
  <w:abstractNum w:abstractNumId="83">
    <w:nsid w:val="49D0FEAC"/>
    <w:multiLevelType w:val="hybridMultilevel"/>
    <w:lvl w:ilvl="0">
      <w:lvlJc w:val="left"/>
      <w:lvlText w:val="■"/>
      <w:numFmt w:val="bullet"/>
      <w:start w:val="1"/>
    </w:lvl>
  </w:abstractNum>
  <w:abstractNum w:abstractNumId="84">
    <w:nsid w:val="4BEE5A5B"/>
    <w:multiLevelType w:val="hybridMultilevel"/>
    <w:lvl w:ilvl="0">
      <w:lvlJc w:val="left"/>
      <w:lvlText w:val="■"/>
      <w:numFmt w:val="bullet"/>
      <w:start w:val="1"/>
    </w:lvl>
  </w:abstractNum>
  <w:abstractNum w:abstractNumId="85">
    <w:nsid w:val="5551B9F3"/>
    <w:multiLevelType w:val="hybridMultilevel"/>
    <w:lvl w:ilvl="0">
      <w:lvlJc w:val="left"/>
      <w:lvlText w:val="​"/>
      <w:numFmt w:val="bullet"/>
      <w:start w:val="1"/>
    </w:lvl>
    <w:lvl w:ilvl="1">
      <w:lvlJc w:val="left"/>
      <w:lvlText w:val="■"/>
      <w:numFmt w:val="bullet"/>
      <w:start w:val="1"/>
    </w:lvl>
  </w:abstractNum>
  <w:abstractNum w:abstractNumId="86">
    <w:nsid w:val="24F6AB8E"/>
    <w:multiLevelType w:val="hybridMultilevel"/>
    <w:lvl w:ilvl="0">
      <w:lvlJc w:val="left"/>
      <w:lvlText w:val="■"/>
      <w:numFmt w:val="bullet"/>
      <w:start w:val="1"/>
    </w:lvl>
  </w:abstractNum>
  <w:abstractNum w:abstractNumId="87">
    <w:nsid w:val="634C574C"/>
    <w:multiLevelType w:val="hybridMultilevel"/>
    <w:lvl w:ilvl="0">
      <w:lvlJc w:val="left"/>
      <w:lvlText w:val="■"/>
      <w:numFmt w:val="bullet"/>
      <w:start w:val="1"/>
    </w:lvl>
  </w:abstractNum>
  <w:abstractNum w:abstractNumId="88">
    <w:nsid w:val="24E99DD7"/>
    <w:multiLevelType w:val="hybridMultilevel"/>
    <w:lvl w:ilvl="0">
      <w:lvlJc w:val="left"/>
      <w:lvlText w:val="■"/>
      <w:numFmt w:val="bullet"/>
      <w:start w:val="1"/>
    </w:lvl>
  </w:abstractNum>
  <w:abstractNum w:abstractNumId="89">
    <w:nsid w:val="2A31B62D"/>
    <w:multiLevelType w:val="hybridMultilevel"/>
    <w:lvl w:ilvl="0">
      <w:lvlJc w:val="left"/>
      <w:lvlText w:val="■"/>
      <w:numFmt w:val="bullet"/>
      <w:start w:val="1"/>
    </w:lvl>
  </w:abstractNum>
  <w:abstractNum w:abstractNumId="90">
    <w:nsid w:val="1849C29B"/>
    <w:multiLevelType w:val="hybridMultilevel"/>
    <w:lvl w:ilvl="0">
      <w:lvlJc w:val="left"/>
      <w:lvlText w:val="​"/>
      <w:numFmt w:val="bullet"/>
      <w:start w:val="1"/>
    </w:lvl>
  </w:abstractNum>
  <w:abstractNum w:abstractNumId="91">
    <w:nsid w:val="7DFF9D09"/>
    <w:multiLevelType w:val="hybridMultilevel"/>
    <w:lvl w:ilvl="0">
      <w:lvlJc w:val="left"/>
      <w:lvlText w:val="■"/>
      <w:numFmt w:val="bullet"/>
      <w:start w:val="1"/>
    </w:lvl>
  </w:abstractNum>
  <w:abstractNum w:abstractNumId="92">
    <w:nsid w:val="754342"/>
    <w:multiLevelType w:val="hybridMultilevel"/>
    <w:lvl w:ilvl="0">
      <w:lvlJc w:val="left"/>
      <w:lvlText w:val="■"/>
      <w:numFmt w:val="bullet"/>
      <w:start w:val="1"/>
    </w:lvl>
  </w:abstractNum>
  <w:abstractNum w:abstractNumId="93">
    <w:nsid w:val="69E7F3E5"/>
    <w:multiLevelType w:val="hybridMultilevel"/>
    <w:lvl w:ilvl="0">
      <w:lvlJc w:val="left"/>
      <w:lvlText w:val="■"/>
      <w:numFmt w:val="bullet"/>
      <w:start w:val="1"/>
    </w:lvl>
  </w:abstractNum>
  <w:abstractNum w:abstractNumId="94">
    <w:nsid w:val="2A6DE806"/>
    <w:multiLevelType w:val="hybridMultilevel"/>
    <w:lvl w:ilvl="0">
      <w:lvlJc w:val="left"/>
      <w:lvlText w:val="■"/>
      <w:numFmt w:val="bullet"/>
      <w:start w:val="1"/>
    </w:lvl>
  </w:abstractNum>
  <w:abstractNum w:abstractNumId="95">
    <w:nsid w:val="1816F8C4"/>
    <w:multiLevelType w:val="hybridMultilevel"/>
    <w:lvl w:ilvl="0">
      <w:lvlJc w:val="left"/>
      <w:lvlText w:val="■"/>
      <w:numFmt w:val="bullet"/>
      <w:start w:val="1"/>
    </w:lvl>
  </w:abstractNum>
  <w:abstractNum w:abstractNumId="96">
    <w:nsid w:val="37DF2233"/>
    <w:multiLevelType w:val="hybridMultilevel"/>
    <w:lvl w:ilvl="0">
      <w:lvlJc w:val="left"/>
      <w:lvlText w:val="■"/>
      <w:numFmt w:val="bullet"/>
      <w:start w:val="1"/>
    </w:lvl>
  </w:abstractNum>
  <w:abstractNum w:abstractNumId="97">
    <w:nsid w:val="7AB49DAF"/>
    <w:multiLevelType w:val="hybridMultilevel"/>
    <w:lvl w:ilvl="0">
      <w:lvlJc w:val="left"/>
      <w:lvlText w:val="■"/>
      <w:numFmt w:val="bullet"/>
      <w:start w:val="1"/>
    </w:lvl>
  </w:abstractNum>
  <w:abstractNum w:abstractNumId="98">
    <w:nsid w:val="759F82CD"/>
    <w:multiLevelType w:val="hybridMultilevel"/>
    <w:lvl w:ilvl="0">
      <w:lvlJc w:val="left"/>
      <w:lvlText w:val="■"/>
      <w:numFmt w:val="bullet"/>
      <w:start w:val="1"/>
    </w:lvl>
  </w:abstractNum>
  <w:abstractNum w:abstractNumId="99">
    <w:nsid w:val="61E74EA3"/>
    <w:multiLevelType w:val="hybridMultilevel"/>
    <w:lvl w:ilvl="0">
      <w:lvlJc w:val="left"/>
      <w:lvlText w:val="​"/>
      <w:numFmt w:val="bullet"/>
      <w:start w:val="1"/>
    </w:lvl>
  </w:abstractNum>
  <w:abstractNum w:abstractNumId="100">
    <w:nsid w:val="597B4D84"/>
    <w:multiLevelType w:val="hybridMultilevel"/>
    <w:lvl w:ilvl="0">
      <w:lvlJc w:val="left"/>
      <w:lvlText w:val="■"/>
      <w:numFmt w:val="bullet"/>
      <w:start w:val="1"/>
    </w:lvl>
  </w:abstractNum>
  <w:abstractNum w:abstractNumId="101">
    <w:nsid w:val="F819E7F"/>
    <w:multiLevelType w:val="hybridMultilevel"/>
    <w:lvl w:ilvl="0">
      <w:lvlJc w:val="left"/>
      <w:lvlText w:val="■"/>
      <w:numFmt w:val="bullet"/>
      <w:start w:val="1"/>
    </w:lvl>
  </w:abstractNum>
  <w:abstractNum w:abstractNumId="102">
    <w:nsid w:val="57C7D42D"/>
    <w:multiLevelType w:val="hybridMultilevel"/>
    <w:lvl w:ilvl="0">
      <w:lvlJc w:val="left"/>
      <w:lvlText w:val="​"/>
      <w:numFmt w:val="bullet"/>
      <w:start w:val="1"/>
    </w:lvl>
  </w:abstractNum>
  <w:abstractNum w:abstractNumId="103">
    <w:nsid w:val="312167AD"/>
    <w:multiLevelType w:val="hybridMultilevel"/>
    <w:lvl w:ilvl="0">
      <w:lvlJc w:val="left"/>
      <w:lvlText w:val="(%1)"/>
      <w:numFmt w:val="decimal"/>
      <w:start w:val="1"/>
    </w:lvl>
  </w:abstractNum>
  <w:abstractNum w:abstractNumId="104">
    <w:nsid w:val="631B64D4"/>
    <w:multiLevelType w:val="hybridMultilevel"/>
    <w:lvl w:ilvl="0">
      <w:lvlJc w:val="left"/>
      <w:lvlText w:val="(%1)"/>
      <w:numFmt w:val="decimal"/>
      <w:start w:val="1"/>
    </w:lvl>
  </w:abstractNum>
  <w:abstractNum w:abstractNumId="105">
    <w:nsid w:val="78B5E776"/>
    <w:multiLevelType w:val="hybridMultilevel"/>
    <w:lvl w:ilvl="0">
      <w:lvlJc w:val="left"/>
      <w:lvlText w:val="(%1)"/>
      <w:numFmt w:val="decimal"/>
      <w:start w:val="1"/>
    </w:lvl>
  </w:abstractNum>
  <w:abstractNum w:abstractNumId="106">
    <w:nsid w:val="75486E47"/>
    <w:multiLevelType w:val="hybridMultilevel"/>
    <w:lvl w:ilvl="0">
      <w:lvlJc w:val="left"/>
      <w:lvlText w:val="■"/>
      <w:numFmt w:val="bullet"/>
      <w:start w:val="1"/>
    </w:lvl>
  </w:abstractNum>
  <w:abstractNum w:abstractNumId="107">
    <w:nsid w:val="6E534CDE"/>
    <w:multiLevelType w:val="hybridMultilevel"/>
    <w:lvl w:ilvl="0">
      <w:lvlJc w:val="left"/>
      <w:lvlText w:val="(%1)"/>
      <w:numFmt w:val="decimal"/>
      <w:start w:val="1"/>
    </w:lvl>
  </w:abstractNum>
  <w:abstractNum w:abstractNumId="108">
    <w:nsid w:val="1A0DDE32"/>
    <w:multiLevelType w:val="hybridMultilevel"/>
    <w:lvl w:ilvl="0">
      <w:lvlJc w:val="left"/>
      <w:lvlText w:val="■"/>
      <w:numFmt w:val="bullet"/>
      <w:start w:val="1"/>
    </w:lvl>
  </w:abstractNum>
  <w:abstractNum w:abstractNumId="109">
    <w:nsid w:val="65968C1C"/>
    <w:multiLevelType w:val="hybridMultilevel"/>
    <w:lvl w:ilvl="0">
      <w:lvlJc w:val="left"/>
      <w:lvlText w:val="■"/>
      <w:numFmt w:val="bullet"/>
      <w:start w:val="1"/>
    </w:lvl>
  </w:abstractNum>
  <w:abstractNum w:abstractNumId="110">
    <w:nsid w:val="46263DEC"/>
    <w:multiLevelType w:val="hybridMultilevel"/>
    <w:lvl w:ilvl="0">
      <w:lvlJc w:val="left"/>
      <w:lvlText w:val="(%1)"/>
      <w:numFmt w:val="decimal"/>
      <w:start w:val="1"/>
    </w:lvl>
  </w:abstractNum>
  <w:abstractNum w:abstractNumId="111">
    <w:nsid w:val="260D8C4A"/>
    <w:multiLevelType w:val="hybridMultilevel"/>
    <w:lvl w:ilvl="0">
      <w:lvlJc w:val="left"/>
      <w:lvlText w:val="%1"/>
      <w:numFmt w:val="decimal"/>
      <w:start w:val="1"/>
    </w:lvl>
    <w:lvl w:ilvl="1">
      <w:lvlJc w:val="left"/>
      <w:lvlText w:val="(%2)"/>
      <w:numFmt w:val="lowerLetter"/>
      <w:start w:val="1"/>
    </w:lvl>
  </w:abstractNum>
  <w:abstractNum w:abstractNumId="112">
    <w:nsid w:val="73D4D3C4"/>
    <w:multiLevelType w:val="hybridMultilevel"/>
    <w:lvl w:ilvl="0">
      <w:lvlJc w:val="left"/>
      <w:lvlText w:val="(%1)"/>
      <w:numFmt w:val="decimal"/>
      <w:start w:val="4"/>
    </w:lvl>
    <w:lvl w:ilvl="1">
      <w:lvlJc w:val="left"/>
      <w:lvlText w:val="%2"/>
      <w:numFmt w:val="lowerLetter"/>
      <w:start w:val="1"/>
    </w:lvl>
  </w:abstractNum>
  <w:abstractNum w:abstractNumId="113">
    <w:nsid w:val="746F2E30"/>
    <w:multiLevelType w:val="hybridMultilevel"/>
    <w:lvl w:ilvl="0">
      <w:lvlJc w:val="left"/>
      <w:lvlText w:val="(%1)"/>
      <w:numFmt w:val="decimal"/>
      <w:start w:val="1"/>
    </w:lvl>
  </w:abstractNum>
  <w:abstractNum w:abstractNumId="114">
    <w:nsid w:val="6FDE8AF6"/>
    <w:multiLevelType w:val="hybridMultilevel"/>
    <w:lvl w:ilvl="0">
      <w:lvlJc w:val="left"/>
      <w:lvlText w:val="(%1)"/>
      <w:numFmt w:val="decimal"/>
      <w:start w:val="3"/>
    </w:lvl>
  </w:abstractNum>
  <w:abstractNum w:abstractNumId="115">
    <w:nsid w:val="3FC32E20"/>
    <w:multiLevelType w:val="hybridMultilevel"/>
    <w:lvl w:ilvl="0">
      <w:lvlJc w:val="left"/>
      <w:lvlText w:val="(%1)"/>
      <w:numFmt w:val="decimal"/>
      <w:start w:val="1"/>
    </w:lvl>
  </w:abstractNum>
  <w:abstractNum w:abstractNumId="116">
    <w:nsid w:val="49C0E823"/>
    <w:multiLevelType w:val="hybridMultilevel"/>
    <w:lvl w:ilvl="0">
      <w:lvlJc w:val="left"/>
      <w:lvlText w:val="(%1)"/>
      <w:numFmt w:val="decimal"/>
      <w:start w:val="15"/>
    </w:lvl>
  </w:abstractNum>
  <w:abstractNum w:abstractNumId="117">
    <w:nsid w:val="14D53685"/>
    <w:multiLevelType w:val="hybridMultilevel"/>
    <w:lvl w:ilvl="0">
      <w:lvlJc w:val="left"/>
      <w:lvlText w:val="(%1)"/>
      <w:numFmt w:val="decimal"/>
      <w:start w:val="1"/>
    </w:lvl>
  </w:abstractNum>
  <w:abstractNum w:abstractNumId="118">
    <w:nsid w:val="230F856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19">
    <w:nsid w:val="6EAA85FB"/>
    <w:multiLevelType w:val="hybridMultilevel"/>
    <w:lvl w:ilvl="0">
      <w:lvlJc w:val="left"/>
      <w:lvlText w:val="(%1)"/>
      <w:numFmt w:val="lowerLetter"/>
      <w:start w:val="1"/>
    </w:lvl>
  </w:abstractNum>
  <w:abstractNum w:abstractNumId="120">
    <w:nsid w:val="3F06ECB2"/>
    <w:multiLevelType w:val="hybridMultilevel"/>
    <w:lvl w:ilvl="0">
      <w:lvlJc w:val="left"/>
      <w:lvlText w:val="(%1)"/>
      <w:numFmt w:val="lowerLetter"/>
      <w:start w:val="3"/>
    </w:lvl>
  </w:abstractNum>
  <w:abstractNum w:abstractNumId="121">
    <w:nsid w:val="3B594807"/>
    <w:multiLevelType w:val="hybridMultilevel"/>
    <w:lvl w:ilvl="0">
      <w:lvlJc w:val="left"/>
      <w:lvlText w:val="(%1)"/>
      <w:numFmt w:val="lowerRoman"/>
      <w:start w:val="1"/>
    </w:lvl>
  </w:abstractNum>
  <w:abstractNum w:abstractNumId="122">
    <w:nsid w:val="6CAA2304"/>
    <w:multiLevelType w:val="hybridMultilevel"/>
    <w:lvl w:ilvl="0">
      <w:lvlJc w:val="left"/>
      <w:lvlText w:val="(%1)"/>
      <w:numFmt w:val="lowerRoman"/>
      <w:start w:val="1"/>
    </w:lvl>
  </w:abstractNum>
  <w:abstractNum w:abstractNumId="123">
    <w:nsid w:val="3F7C2FF4"/>
    <w:multiLevelType w:val="hybridMultilevel"/>
    <w:lvl w:ilvl="0">
      <w:lvlJc w:val="left"/>
      <w:lvlText w:val="(%1)"/>
      <w:numFmt w:val="lowerRoman"/>
      <w:start w:val="5"/>
    </w:lvl>
  </w:abstractNum>
  <w:abstractNum w:abstractNumId="124">
    <w:nsid w:val="25413BEC"/>
    <w:multiLevelType w:val="hybridMultilevel"/>
    <w:lvl w:ilvl="0">
      <w:lvlJc w:val="left"/>
      <w:lvlText w:val="(%1)"/>
      <w:numFmt w:val="decimal"/>
      <w:start w:val="1"/>
    </w:lvl>
  </w:abstractNum>
  <w:abstractNum w:abstractNumId="125">
    <w:nsid w:val="17180B0B"/>
    <w:multiLevelType w:val="hybridMultilevel"/>
    <w:lvl w:ilvl="0">
      <w:lvlJc w:val="left"/>
      <w:lvlText w:val="(%1)"/>
      <w:numFmt w:val="decimal"/>
      <w:start w:val="1"/>
    </w:lvl>
  </w:abstractNum>
  <w:abstractNum w:abstractNumId="126">
    <w:nsid w:val="579328B9"/>
    <w:multiLevelType w:val="hybridMultilevel"/>
    <w:lvl w:ilvl="0">
      <w:lvlJc w:val="left"/>
      <w:lvlText w:val="(%1)"/>
      <w:numFmt w:val="decimal"/>
      <w:start w:val="3"/>
    </w:lvl>
  </w:abstractNum>
  <w:abstractNum w:abstractNumId="127">
    <w:nsid w:val="5D205E20"/>
    <w:multiLevelType w:val="hybridMultilevel"/>
    <w:lvl w:ilvl="0">
      <w:lvlJc w:val="left"/>
      <w:lvlText w:val="(%1)"/>
      <w:numFmt w:val="decimal"/>
      <w:start w:val="4"/>
    </w:lvl>
  </w:abstractNum>
  <w:abstractNum w:abstractNumId="128">
    <w:nsid w:val="11CCA8BA"/>
    <w:multiLevelType w:val="hybridMultilevel"/>
    <w:lvl w:ilvl="0">
      <w:lvlJc w:val="left"/>
      <w:lvlText w:val="​"/>
      <w:numFmt w:val="bullet"/>
      <w:start w:val="1"/>
    </w:lvl>
  </w:abstractNum>
  <w:abstractNum w:abstractNumId="129">
    <w:nsid w:val="4D32AB86"/>
    <w:multiLevelType w:val="hybridMultilevel"/>
    <w:lvl w:ilvl="0">
      <w:lvlJc w:val="left"/>
      <w:lvlText w:val="(%1)"/>
      <w:numFmt w:val="decimal"/>
      <w:start w:val="1"/>
    </w:lvl>
  </w:abstractNum>
  <w:abstractNum w:abstractNumId="130">
    <w:nsid w:val="3F07ACC3"/>
    <w:multiLevelType w:val="hybridMultilevel"/>
    <w:lvl w:ilvl="0">
      <w:lvlJc w:val="left"/>
      <w:lvlText w:val="(%1)"/>
      <w:numFmt w:val="lowerRoman"/>
      <w:start w:val="2"/>
    </w:lvl>
  </w:abstractNum>
  <w:abstractNum w:abstractNumId="131">
    <w:nsid w:val="6B47F63E"/>
    <w:multiLevelType w:val="hybridMultilevel"/>
    <w:lvl w:ilvl="0">
      <w:lvlJc w:val="left"/>
      <w:lvlText w:val="(%1)"/>
      <w:numFmt w:val="lowerRoman"/>
      <w:start w:val="4"/>
    </w:lvl>
  </w:abstractNum>
  <w:abstractNum w:abstractNumId="132">
    <w:nsid w:val="5CB44A05"/>
    <w:multiLevelType w:val="hybridMultilevel"/>
    <w:lvl w:ilvl="0">
      <w:lvlJc w:val="left"/>
      <w:lvlText w:val="​"/>
      <w:numFmt w:val="bullet"/>
      <w:start w:val="1"/>
    </w:lvl>
  </w:abstractNum>
  <w:abstractNum w:abstractNumId="133">
    <w:nsid w:val="16CF80F1"/>
    <w:multiLevelType w:val="hybridMultilevel"/>
    <w:lvl w:ilvl="0">
      <w:lvlJc w:val="left"/>
      <w:lvlText w:val="​"/>
      <w:numFmt w:val="bullet"/>
      <w:start w:val="1"/>
    </w:lvl>
  </w:abstractNum>
  <w:abstractNum w:abstractNumId="134">
    <w:nsid w:val="1C695DEC"/>
    <w:multiLevelType w:val="hybridMultilevel"/>
    <w:lvl w:ilvl="0">
      <w:lvlJc w:val="left"/>
      <w:lvlText w:val="​"/>
      <w:numFmt w:val="bullet"/>
      <w:start w:val="1"/>
    </w:lvl>
  </w:abstractNum>
  <w:abstractNum w:abstractNumId="135">
    <w:nsid w:val="3FCFAED9"/>
    <w:multiLevelType w:val="hybridMultilevel"/>
    <w:lvl w:ilvl="0">
      <w:lvlJc w:val="left"/>
      <w:lvlText w:val="​"/>
      <w:numFmt w:val="bullet"/>
      <w:start w:val="1"/>
    </w:lvl>
  </w:abstractNum>
  <w:abstractNum w:abstractNumId="136">
    <w:nsid w:val="F856867"/>
    <w:multiLevelType w:val="hybridMultilevel"/>
    <w:lvl w:ilvl="0">
      <w:lvlJc w:val="left"/>
      <w:lvlText w:val="(%1)"/>
      <w:numFmt w:val="decimal"/>
      <w:start w:val="1"/>
    </w:lvl>
  </w:abstractNum>
  <w:abstractNum w:abstractNumId="137">
    <w:nsid w:val="11B1CC33"/>
    <w:multiLevelType w:val="hybridMultilevel"/>
    <w:lvl w:ilvl="0">
      <w:lvlJc w:val="left"/>
      <w:lvlText w:val="(%1)"/>
      <w:numFmt w:val="decimal"/>
      <w:start w:val="1"/>
    </w:lvl>
  </w:abstractNum>
  <w:abstractNum w:abstractNumId="138">
    <w:nsid w:val="2E22FBB7"/>
    <w:multiLevelType w:val="hybridMultilevel"/>
    <w:lvl w:ilvl="0">
      <w:lvlJc w:val="left"/>
      <w:lvlText w:val="(%1)"/>
      <w:numFmt w:val="lowerRoman"/>
      <w:start w:val="1"/>
    </w:lvl>
  </w:abstractNum>
  <w:abstractNum w:abstractNumId="139">
    <w:nsid w:val="29934699"/>
    <w:multiLevelType w:val="hybridMultilevel"/>
    <w:lvl w:ilvl="0">
      <w:lvlJc w:val="left"/>
      <w:lvlText w:val="■"/>
      <w:numFmt w:val="bullet"/>
      <w:start w:val="1"/>
    </w:lvl>
  </w:abstractNum>
  <w:abstractNum w:abstractNumId="140">
    <w:nsid w:val="77485850"/>
    <w:multiLevelType w:val="hybridMultilevel"/>
    <w:lvl w:ilvl="0">
      <w:lvlJc w:val="left"/>
      <w:lvlText w:val="■"/>
      <w:numFmt w:val="bullet"/>
      <w:start w:val="1"/>
    </w:lvl>
  </w:abstractNum>
  <w:abstractNum w:abstractNumId="141">
    <w:nsid w:val="744939A3"/>
    <w:multiLevelType w:val="hybridMultilevel"/>
    <w:lvl w:ilvl="0">
      <w:lvlJc w:val="left"/>
      <w:lvlText w:val="(%1)"/>
      <w:numFmt w:val="lowerRoman"/>
      <w:start w:val="1"/>
    </w:lvl>
  </w:abstractNum>
  <w:abstractNum w:abstractNumId="142">
    <w:nsid w:val="4FA0D2E3"/>
    <w:multiLevelType w:val="hybridMultilevel"/>
    <w:lvl w:ilvl="0">
      <w:lvlJc w:val="left"/>
      <w:lvlText w:val="(%1)"/>
      <w:numFmt w:val="lowerRoman"/>
      <w:start w:val="2"/>
    </w:lvl>
    <w:lvl w:ilvl="1">
      <w:lvlJc w:val="left"/>
      <w:lvlText w:val="(%2)"/>
      <w:numFmt w:val="upperLetter"/>
      <w:start w:val="1"/>
    </w:lvl>
  </w:abstractNum>
  <w:abstractNum w:abstractNumId="143">
    <w:nsid w:val="6B1D2C14"/>
    <w:multiLevelType w:val="hybridMultilevel"/>
    <w:lvl w:ilvl="0">
      <w:lvlJc w:val="left"/>
      <w:lvlText w:val="(%1)"/>
      <w:numFmt w:val="lowerRoman"/>
      <w:start w:val="1"/>
    </w:lvl>
  </w:abstractNum>
  <w:abstractNum w:abstractNumId="144">
    <w:nsid w:val="68B867D3"/>
    <w:multiLevelType w:val="hybridMultilevel"/>
    <w:lvl w:ilvl="0">
      <w:lvlJc w:val="left"/>
      <w:lvlText w:val="■"/>
      <w:numFmt w:val="bullet"/>
      <w:start w:val="1"/>
    </w:lvl>
  </w:abstractNum>
  <w:abstractNum w:abstractNumId="145">
    <w:nsid w:val="3F7F5DD9"/>
    <w:multiLevelType w:val="hybridMultilevel"/>
    <w:lvl w:ilvl="0">
      <w:lvlJc w:val="left"/>
      <w:lvlText w:val="*"/>
      <w:numFmt w:val="bullet"/>
      <w:start w:val="1"/>
    </w:lvl>
    <w:lvl w:ilvl="1">
      <w:lvlJc w:val="left"/>
      <w:lvlText w:val="■"/>
      <w:numFmt w:val="bullet"/>
      <w:start w:val="1"/>
    </w:lvl>
  </w:abstractNum>
  <w:abstractNum w:abstractNumId="146">
    <w:nsid w:val="2AE05A34"/>
    <w:multiLevelType w:val="hybridMultilevel"/>
    <w:lvl w:ilvl="0">
      <w:lvlJc w:val="left"/>
      <w:lvlText w:val="(%1)"/>
      <w:numFmt w:val="decimal"/>
      <w:start w:val="1"/>
    </w:lvl>
  </w:abstractNum>
  <w:abstractNum w:abstractNumId="147">
    <w:nsid w:val="32794FF7"/>
    <w:multiLevelType w:val="hybridMultilevel"/>
    <w:lvl w:ilvl="0">
      <w:lvlJc w:val="left"/>
      <w:lvlText w:val="(%1)"/>
      <w:numFmt w:val="decimal"/>
      <w:start w:val="9"/>
    </w:lvl>
  </w:abstractNum>
  <w:abstractNum w:abstractNumId="148">
    <w:nsid w:val="5454945E"/>
    <w:multiLevelType w:val="hybridMultilevel"/>
    <w:lvl w:ilvl="0">
      <w:lvlJc w:val="left"/>
      <w:lvlText w:val="​"/>
      <w:numFmt w:val="bullet"/>
      <w:start w:val="1"/>
    </w:lvl>
  </w:abstractNum>
  <w:abstractNum w:abstractNumId="149">
    <w:nsid w:val="4DEFDFA0"/>
    <w:multiLevelType w:val="hybridMultilevel"/>
    <w:lvl w:ilvl="0">
      <w:lvlJc w:val="left"/>
      <w:lvlText w:val="​"/>
      <w:numFmt w:val="bullet"/>
      <w:start w:val="1"/>
    </w:lvl>
  </w:abstractNum>
  <w:abstractNum w:abstractNumId="150">
    <w:nsid w:val="2123D5F2"/>
    <w:multiLevelType w:val="hybridMultilevel"/>
    <w:lvl w:ilvl="0">
      <w:lvlJc w:val="left"/>
      <w:lvlText w:val="​"/>
      <w:numFmt w:val="bullet"/>
      <w:start w:val="1"/>
    </w:lvl>
  </w:abstractNum>
  <w:abstractNum w:abstractNumId="151">
    <w:nsid w:val="135B8110"/>
    <w:multiLevelType w:val="hybridMultilevel"/>
    <w:lvl w:ilvl="0">
      <w:lvlJc w:val="left"/>
      <w:lvlText w:val="​"/>
      <w:numFmt w:val="bullet"/>
      <w:start w:val="1"/>
    </w:lvl>
  </w:abstractNum>
  <w:abstractNum w:abstractNumId="152">
    <w:nsid w:val="94927A8"/>
    <w:multiLevelType w:val="hybridMultilevel"/>
    <w:lvl w:ilvl="0">
      <w:lvlJc w:val="left"/>
      <w:lvlText w:val="​"/>
      <w:numFmt w:val="bullet"/>
      <w:start w:val="1"/>
    </w:lvl>
  </w:abstractNum>
  <w:abstractNum w:abstractNumId="153">
    <w:nsid w:val="DCDF8F6"/>
    <w:multiLevelType w:val="hybridMultilevel"/>
    <w:lvl w:ilvl="0">
      <w:lvlJc w:val="left"/>
      <w:lvlText w:val="(%1)"/>
      <w:numFmt w:val="lowerRoman"/>
      <w:start w:val="1"/>
    </w:lvl>
  </w:abstractNum>
  <w:abstractNum w:abstractNumId="154">
    <w:nsid w:val="52D7B105"/>
    <w:multiLevelType w:val="hybridMultilevel"/>
    <w:lvl w:ilvl="0">
      <w:lvlJc w:val="left"/>
      <w:lvlText w:val="​"/>
      <w:numFmt w:val="bullet"/>
      <w:start w:val="1"/>
    </w:lvl>
  </w:abstractNum>
  <w:abstractNum w:abstractNumId="155">
    <w:nsid w:val="2E8A6394"/>
    <w:multiLevelType w:val="hybridMultilevel"/>
    <w:lvl w:ilvl="0">
      <w:lvlJc w:val="left"/>
      <w:lvlText w:val="​"/>
      <w:numFmt w:val="bullet"/>
      <w:start w:val="1"/>
    </w:lvl>
  </w:abstractNum>
  <w:abstractNum w:abstractNumId="156">
    <w:nsid w:val="24E60401"/>
    <w:multiLevelType w:val="hybridMultilevel"/>
    <w:lvl w:ilvl="0">
      <w:lvlJc w:val="left"/>
      <w:lvlText w:val="%1."/>
      <w:numFmt w:val="decimal"/>
      <w:start w:val="1"/>
    </w:lvl>
    <w:lvl w:ilvl="1">
      <w:lvlJc w:val="left"/>
      <w:lvlText w:val="(%2)"/>
      <w:numFmt w:val="lowerLetter"/>
      <w:start w:val="1"/>
    </w:lvl>
  </w:abstractNum>
  <w:abstractNum w:abstractNumId="157">
    <w:nsid w:val="2A6AD9BE"/>
    <w:multiLevelType w:val="hybridMultilevel"/>
    <w:lvl w:ilvl="0">
      <w:lvlJc w:val="left"/>
      <w:lvlText w:val="%1"/>
      <w:numFmt w:val="decimal"/>
      <w:start w:val="1"/>
    </w:lvl>
    <w:lvl w:ilvl="1">
      <w:lvlJc w:val="left"/>
      <w:lvlText w:val="(%2)"/>
      <w:numFmt w:val="lowerLetter"/>
      <w:start w:val="2"/>
    </w:lvl>
  </w:abstractNum>
  <w:abstractNum w:abstractNumId="158">
    <w:nsid w:val="BAAC1B4"/>
    <w:multiLevelType w:val="hybridMultilevel"/>
    <w:lvl w:ilvl="0">
      <w:lvlJc w:val="left"/>
      <w:lvlText w:val="%1."/>
      <w:numFmt w:val="decimal"/>
      <w:start w:val="4"/>
    </w:lvl>
    <w:lvl w:ilvl="1">
      <w:lvlJc w:val="left"/>
      <w:lvlText w:val="(%2)"/>
      <w:numFmt w:val="lowerLetter"/>
      <w:start w:val="1"/>
    </w:lvl>
  </w:abstractNum>
  <w:abstractNum w:abstractNumId="159">
    <w:nsid w:val="36B2ACBC"/>
    <w:multiLevelType w:val="hybridMultilevel"/>
    <w:lvl w:ilvl="0">
      <w:lvlJc w:val="left"/>
      <w:lvlText w:val="(%1)"/>
      <w:numFmt w:val="lowerRoman"/>
      <w:start w:val="2"/>
    </w:lvl>
  </w:abstractNum>
  <w:abstractNum w:abstractNumId="160">
    <w:nsid w:val="779D8544"/>
    <w:multiLevelType w:val="hybridMultilevel"/>
    <w:lvl w:ilvl="0">
      <w:lvlJc w:val="left"/>
      <w:lvlText w:val="(%1)"/>
      <w:numFmt w:val="lowerLetter"/>
      <w:start w:val="2"/>
    </w:lvl>
  </w:abstractNum>
  <w:abstractNum w:abstractNumId="161">
    <w:nsid w:val="4AB26E78"/>
    <w:multiLevelType w:val="hybridMultilevel"/>
    <w:lvl w:ilvl="0">
      <w:lvlJc w:val="left"/>
      <w:lvlText w:val="(%1)"/>
      <w:numFmt w:val="lowerLetter"/>
      <w:start w:val="3"/>
    </w:lvl>
  </w:abstractNum>
  <w:abstractNum w:abstractNumId="162">
    <w:nsid w:val="21FAA2FA"/>
    <w:multiLevelType w:val="hybridMultilevel"/>
    <w:lvl w:ilvl="0">
      <w:lvlJc w:val="left"/>
      <w:lvlText w:val="%1."/>
      <w:numFmt w:val="decimal"/>
      <w:start w:val="5"/>
    </w:lvl>
    <w:lvl w:ilvl="1">
      <w:lvlJc w:val="left"/>
      <w:lvlText w:val="(%2)"/>
      <w:numFmt w:val="lowerLetter"/>
      <w:start w:val="1"/>
    </w:lvl>
  </w:abstractNum>
  <w:abstractNum w:abstractNumId="163">
    <w:nsid w:val="5451CF49"/>
    <w:multiLevelType w:val="hybridMultilevel"/>
    <w:lvl w:ilvl="0">
      <w:lvlJc w:val="left"/>
      <w:lvlText w:val="(%1)"/>
      <w:numFmt w:val="lowerLetter"/>
      <w:start w:val="6"/>
    </w:lvl>
    <w:lvl w:ilvl="1">
      <w:lvlJc w:val="left"/>
      <w:lvlText w:val="(%2)"/>
      <w:numFmt w:val="lowerRoman"/>
      <w:start w:val="1"/>
    </w:lvl>
  </w:abstractNum>
  <w:abstractNum w:abstractNumId="164">
    <w:nsid w:val="6181EF69"/>
    <w:multiLevelType w:val="hybridMultilevel"/>
    <w:lvl w:ilvl="0">
      <w:lvlJc w:val="left"/>
      <w:lvlText w:val="(%1)"/>
      <w:numFmt w:val="lowerLetter"/>
      <w:start w:val="61"/>
    </w:lvl>
  </w:abstractNum>
  <w:abstractNum w:abstractNumId="165">
    <w:nsid w:val="3E6400E6"/>
    <w:multiLevelType w:val="hybridMultilevel"/>
    <w:lvl w:ilvl="0">
      <w:lvlJc w:val="left"/>
      <w:lvlText w:val="(%1)"/>
      <w:numFmt w:val="lowerRoman"/>
      <w:start w:val="4"/>
    </w:lvl>
  </w:abstractNum>
  <w:abstractNum w:abstractNumId="166">
    <w:nsid w:val="14217E23"/>
    <w:multiLevelType w:val="hybridMultilevel"/>
    <w:lvl w:ilvl="0">
      <w:lvlJc w:val="left"/>
      <w:lvlText w:val="(%1)"/>
      <w:numFmt w:val="lowerLetter"/>
      <w:start w:val="7"/>
    </w:lvl>
    <w:lvl w:ilvl="1">
      <w:lvlJc w:val="left"/>
      <w:lvlText w:val="(%2)"/>
      <w:numFmt w:val="lowerRoman"/>
      <w:start w:val="1"/>
    </w:lvl>
  </w:abstractNum>
  <w:abstractNum w:abstractNumId="167">
    <w:nsid w:val="710757D0"/>
    <w:multiLevelType w:val="hybridMultilevel"/>
    <w:lvl w:ilvl="0">
      <w:lvlJc w:val="left"/>
      <w:lvlText w:val="%1"/>
      <w:numFmt w:val="decimal"/>
      <w:start w:val="1"/>
    </w:lvl>
    <w:lvl w:ilvl="1">
      <w:lvlJc w:val="left"/>
      <w:lvlText w:val="(%2)"/>
      <w:numFmt w:val="lowerLetter"/>
      <w:start w:val="8"/>
    </w:lvl>
    <w:lvl w:ilvl="2">
      <w:lvlJc w:val="left"/>
      <w:lvlText w:val="%3"/>
      <w:numFmt w:val="decimal"/>
      <w:start w:val="1"/>
    </w:lvl>
  </w:abstractNum>
  <w:abstractNum w:abstractNumId="168">
    <w:nsid w:val="5015CD1A"/>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169">
    <w:nsid w:val="424479DA"/>
    <w:multiLevelType w:val="hybridMultilevel"/>
    <w:lvl w:ilvl="0">
      <w:lvlJc w:val="left"/>
      <w:lvlText w:val="(%1)"/>
      <w:numFmt w:val="lowerLetter"/>
      <w:start w:val="4"/>
    </w:lvl>
    <w:lvl w:ilvl="1">
      <w:lvlJc w:val="left"/>
      <w:lvlText w:val="(%2)"/>
      <w:numFmt w:val="lowerRoman"/>
      <w:start w:val="1"/>
    </w:lvl>
  </w:abstractNum>
  <w:abstractNum w:abstractNumId="170">
    <w:nsid w:val="1A9A9E69"/>
    <w:multiLevelType w:val="hybridMultilevel"/>
    <w:lvl w:ilvl="0">
      <w:lvlJc w:val="left"/>
      <w:lvlText w:val="%1"/>
      <w:numFmt w:val="decimal"/>
      <w:start w:val="1"/>
    </w:lvl>
    <w:lvl w:ilvl="1">
      <w:lvlJc w:val="left"/>
      <w:lvlText w:val="(%2)"/>
      <w:numFmt w:val="lowerLetter"/>
      <w:start w:val="5"/>
    </w:lvl>
  </w:abstractNum>
  <w:abstractNum w:abstractNumId="171">
    <w:nsid w:val="475E256A"/>
    <w:multiLevelType w:val="hybridMultilevel"/>
    <w:lvl w:ilvl="0">
      <w:lvlJc w:val="left"/>
      <w:lvlText w:val="%1."/>
      <w:numFmt w:val="decimal"/>
      <w:start w:val="7"/>
    </w:lvl>
    <w:lvl w:ilvl="1">
      <w:lvlJc w:val="left"/>
      <w:lvlText w:val="(%2)"/>
      <w:numFmt w:val="lowerLetter"/>
      <w:start w:val="1"/>
    </w:lvl>
  </w:abstractNum>
  <w:abstractNum w:abstractNumId="172">
    <w:nsid w:val="368DB37E"/>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173">
    <w:nsid w:val="6A3B714C"/>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174">
    <w:nsid w:val="327B517E"/>
    <w:multiLevelType w:val="hybridMultilevel"/>
    <w:lvl w:ilvl="0">
      <w:lvlJc w:val="left"/>
      <w:lvlText w:val="%1."/>
      <w:numFmt w:val="decimal"/>
      <w:start w:val="9"/>
    </w:lvl>
    <w:lvl w:ilvl="1">
      <w:lvlJc w:val="left"/>
      <w:lvlText w:val="(%2)"/>
      <w:numFmt w:val="lowerLetter"/>
      <w:start w:val="1"/>
    </w:lvl>
  </w:abstractNum>
  <w:abstractNum w:abstractNumId="175">
    <w:nsid w:val="1F461B51"/>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176">
    <w:nsid w:val="29BACF25"/>
    <w:multiLevelType w:val="hybridMultilevel"/>
    <w:lvl w:ilvl="0">
      <w:lvlJc w:val="left"/>
      <w:lvlText w:val="(%1)"/>
      <w:numFmt w:val="lowerLetter"/>
      <w:start w:val="3"/>
    </w:lvl>
    <w:lvl w:ilvl="1">
      <w:lvlJc w:val="left"/>
      <w:lvlText w:val="(%2)"/>
      <w:numFmt w:val="lowerRoman"/>
      <w:start w:val="1"/>
    </w:lvl>
  </w:abstractNum>
  <w:abstractNum w:abstractNumId="177">
    <w:nsid w:val="5D5BABB3"/>
    <w:multiLevelType w:val="hybridMultilevel"/>
    <w:lvl w:ilvl="0">
      <w:lvlJc w:val="left"/>
      <w:lvlText w:val="(%1)"/>
      <w:numFmt w:val="lowerLetter"/>
      <w:start w:val="61"/>
    </w:lvl>
  </w:abstractNum>
  <w:abstractNum w:abstractNumId="178">
    <w:nsid w:val="51BF6B48"/>
    <w:multiLevelType w:val="hybridMultilevel"/>
    <w:lvl w:ilvl="0">
      <w:lvlJc w:val="left"/>
      <w:lvlText w:val="(%1)"/>
      <w:numFmt w:val="upperLetter"/>
      <w:start w:val="1"/>
    </w:lvl>
  </w:abstractNum>
  <w:abstractNum w:abstractNumId="179">
    <w:nsid w:val="7E0F6384"/>
    <w:multiLevelType w:val="hybridMultilevel"/>
    <w:lvl w:ilvl="0">
      <w:lvlJc w:val="left"/>
      <w:lvlText w:val="%1."/>
      <w:numFmt w:val="decimal"/>
      <w:start w:val="11"/>
    </w:lvl>
    <w:lvl w:ilvl="1">
      <w:lvlJc w:val="left"/>
      <w:lvlText w:val="(%2)"/>
      <w:numFmt w:val="lowerLetter"/>
      <w:start w:val="1"/>
    </w:lvl>
  </w:abstractNum>
  <w:abstractNum w:abstractNumId="180">
    <w:nsid w:val="2B4B8B53"/>
    <w:multiLevelType w:val="hybridMultilevel"/>
    <w:lvl w:ilvl="0">
      <w:lvlJc w:val="left"/>
      <w:lvlText w:val="(%1)"/>
      <w:numFmt w:val="lowerLetter"/>
      <w:start w:val="6"/>
    </w:lvl>
  </w:abstractNum>
  <w:abstractNum w:abstractNumId="181">
    <w:nsid w:val="72E3413A"/>
    <w:multiLevelType w:val="hybridMultilevel"/>
    <w:lvl w:ilvl="0">
      <w:lvlJc w:val="left"/>
      <w:lvlText w:val="%1"/>
      <w:numFmt w:val="decimal"/>
      <w:start w:val="1"/>
    </w:lvl>
    <w:lvl w:ilvl="1">
      <w:lvlJc w:val="left"/>
      <w:lvlText w:val="(%2)"/>
      <w:numFmt w:val="lowerLetter"/>
      <w:start w:val="10"/>
    </w:lvl>
  </w:abstractNum>
  <w:abstractNum w:abstractNumId="182">
    <w:nsid w:val="116AE494"/>
    <w:multiLevelType w:val="hybridMultilevel"/>
    <w:lvl w:ilvl="0">
      <w:lvlJc w:val="left"/>
      <w:lvlText w:val="%1."/>
      <w:numFmt w:val="decimal"/>
      <w:start w:val="12"/>
    </w:lvl>
    <w:lvl w:ilvl="1">
      <w:lvlJc w:val="left"/>
      <w:lvlText w:val="%2"/>
      <w:numFmt w:val="lowerLetter"/>
      <w:start w:val="1"/>
    </w:lvl>
  </w:abstractNum>
  <w:abstractNum w:abstractNumId="183">
    <w:nsid w:val="3494B2FB"/>
    <w:multiLevelType w:val="hybridMultilevel"/>
    <w:lvl w:ilvl="0">
      <w:lvlJc w:val="left"/>
      <w:lvlText w:val="%1"/>
      <w:numFmt w:val="decimal"/>
      <w:start w:val="1"/>
    </w:lvl>
    <w:lvl w:ilvl="1">
      <w:lvlJc w:val="left"/>
      <w:lvlText w:val="(%2)"/>
      <w:numFmt w:val="lowerLetter"/>
      <w:start w:val="9"/>
    </w:lvl>
  </w:abstractNum>
  <w:abstractNum w:abstractNumId="184">
    <w:nsid w:val="B13A31"/>
    <w:multiLevelType w:val="hybridMultilevel"/>
    <w:lvl w:ilvl="0">
      <w:lvlJc w:val="left"/>
      <w:lvlText w:val="%1."/>
      <w:numFmt w:val="decimal"/>
      <w:start w:val="13"/>
    </w:lvl>
    <w:lvl w:ilvl="1">
      <w:lvlJc w:val="left"/>
      <w:lvlText w:val="(%2)"/>
      <w:numFmt w:val="lowerLetter"/>
      <w:start w:val="1"/>
    </w:lvl>
  </w:abstractNum>
  <w:abstractNum w:abstractNumId="185">
    <w:nsid w:val="64429599"/>
    <w:multiLevelType w:val="hybridMultilevel"/>
    <w:lvl w:ilvl="0">
      <w:lvlJc w:val="left"/>
      <w:lvlText w:val="(%1)"/>
      <w:numFmt w:val="lowerLetter"/>
      <w:start w:val="5"/>
    </w:lvl>
  </w:abstractNum>
  <w:abstractNum w:abstractNumId="186">
    <w:nsid w:val="631F1690"/>
    <w:multiLevelType w:val="hybridMultilevel"/>
    <w:lvl w:ilvl="0">
      <w:lvlJc w:val="left"/>
      <w:lvlText w:val="(%1)"/>
      <w:numFmt w:val="lowerLetter"/>
      <w:start w:val="8"/>
    </w:lvl>
  </w:abstractNum>
  <w:abstractNum w:abstractNumId="187">
    <w:nsid w:val="25973E32"/>
    <w:multiLevelType w:val="hybridMultilevel"/>
    <w:lvl w:ilvl="0">
      <w:lvlJc w:val="left"/>
      <w:lvlText w:val="(%1)"/>
      <w:numFmt w:val="lowerLetter"/>
      <w:start w:val="10"/>
    </w:lvl>
  </w:abstractNum>
  <w:abstractNum w:abstractNumId="188">
    <w:nsid w:val="EAD6F57"/>
    <w:multiLevelType w:val="hybridMultilevel"/>
    <w:lvl w:ilvl="0">
      <w:lvlJc w:val="left"/>
      <w:lvlText w:val="(%1)"/>
      <w:numFmt w:val="lowerLetter"/>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jpe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jpeg"/><Relationship Id="rId524" Type="http://schemas.openxmlformats.org/officeDocument/2006/relationships/image" Target="media/image517.jpe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jpe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jpeg"/><Relationship Id="rId536" Type="http://schemas.openxmlformats.org/officeDocument/2006/relationships/image" Target="media/image529.png"/><Relationship Id="rId537" Type="http://schemas.openxmlformats.org/officeDocument/2006/relationships/image" Target="media/image530.jpeg"/><Relationship Id="rId538" Type="http://schemas.openxmlformats.org/officeDocument/2006/relationships/image" Target="media/image531.jpe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jpe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jpeg"/><Relationship Id="rId547" Type="http://schemas.openxmlformats.org/officeDocument/2006/relationships/image" Target="media/image540.jpeg"/><Relationship Id="rId548" Type="http://schemas.openxmlformats.org/officeDocument/2006/relationships/image" Target="media/image541.jpeg"/><Relationship Id="rId549" Type="http://schemas.openxmlformats.org/officeDocument/2006/relationships/image" Target="media/image542.jpeg"/><Relationship Id="rId550" Type="http://schemas.openxmlformats.org/officeDocument/2006/relationships/image" Target="media/image543.png"/><Relationship Id="rId551" Type="http://schemas.openxmlformats.org/officeDocument/2006/relationships/image" Target="media/image544.jpeg"/><Relationship Id="rId552" Type="http://schemas.openxmlformats.org/officeDocument/2006/relationships/image" Target="media/image545.jpe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jpeg"/><Relationship Id="rId557" Type="http://schemas.openxmlformats.org/officeDocument/2006/relationships/image" Target="media/image550.jpeg"/><Relationship Id="rId558" Type="http://schemas.openxmlformats.org/officeDocument/2006/relationships/image" Target="media/image551.png"/><Relationship Id="rId559" Type="http://schemas.openxmlformats.org/officeDocument/2006/relationships/image" Target="media/image552.jpeg"/><Relationship Id="rId560" Type="http://schemas.openxmlformats.org/officeDocument/2006/relationships/image" Target="media/image553.jpe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jpe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jpeg"/><Relationship Id="rId594" Type="http://schemas.openxmlformats.org/officeDocument/2006/relationships/image" Target="media/image587.png"/><Relationship Id="rId595" Type="http://schemas.openxmlformats.org/officeDocument/2006/relationships/image" Target="media/image5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2025-04-14T10:39:02Z</dcterms:created>
  <dcterms:modified xsi:type="dcterms:W3CDTF">2025-04-14T10:39:02Z</dcterms:modified>
</cp:coreProperties>
</file>