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29, 2012</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4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52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4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0" w:lineRule="exact"/>
        <w:rPr>
          <w:sz w:val="24"/>
          <w:szCs w:val="24"/>
          <w:color w:val="auto"/>
        </w:rPr>
      </w:pPr>
    </w:p>
    <w:p>
      <w:pPr>
        <w:sectPr>
          <w:pgSz w:w="11900" w:h="16838" w:orient="portrait"/>
          <w:cols w:equalWidth="0" w:num="4">
            <w:col w:w="2600" w:space="720"/>
            <w:col w:w="1780" w:space="720"/>
            <w:col w:w="2240" w:space="720"/>
            <w:col w:w="2580"/>
          </w:cols>
          <w:pgMar w:left="240" w:top="685" w:right="299" w:bottom="1440" w:gutter="0" w:footer="0" w:header="0"/>
          <w:type w:val="continuous"/>
        </w:sectPr>
      </w:pPr>
    </w:p>
    <w:p>
      <w:pPr>
        <w:jc w:val="center"/>
        <w:ind w:left="1840"/>
        <w:spacing w:after="0"/>
        <w:rPr>
          <w:sz w:val="20"/>
          <w:szCs w:val="20"/>
          <w:color w:val="auto"/>
        </w:rPr>
      </w:pPr>
      <w:r>
        <w:rPr>
          <w:rFonts w:ascii="Arial" w:cs="Arial" w:eastAsia="Arial" w:hAnsi="Arial"/>
          <w:sz w:val="14"/>
          <w:szCs w:val="14"/>
          <w:color w:val="auto"/>
        </w:rPr>
        <w:t>(Do not check if a</w:t>
      </w:r>
    </w:p>
    <w:p>
      <w:pPr>
        <w:jc w:val="center"/>
        <w:ind w:left="1840"/>
        <w:spacing w:after="0"/>
        <w:rPr>
          <w:sz w:val="20"/>
          <w:szCs w:val="20"/>
          <w:color w:val="auto"/>
        </w:rPr>
      </w:pPr>
      <w:r>
        <w:rPr>
          <w:rFonts w:ascii="Arial" w:cs="Arial" w:eastAsia="Arial" w:hAnsi="Arial"/>
          <w:sz w:val="14"/>
          <w:szCs w:val="14"/>
          <w:color w:val="auto"/>
        </w:rPr>
        <w:t>smaller reporting company)</w:t>
      </w:r>
    </w:p>
    <w:p>
      <w:pPr>
        <w:spacing w:after="0" w:line="162"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ectPr>
          <w:pgSz w:w="11900" w:h="16838" w:orient="portrait"/>
          <w:cols w:equalWidth="0" w:num="1">
            <w:col w:w="11360"/>
          </w:cols>
          <w:pgMar w:left="240" w:top="685" w:right="299" w:bottom="1440" w:gutter="0" w:footer="0" w:header="0"/>
          <w:type w:val="continuous"/>
        </w:sectPr>
      </w:pPr>
    </w:p>
    <w:p>
      <w:pPr>
        <w:spacing w:after="0" w:line="28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July 18, 2012, there were 279,985,455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29, 2012</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360" w:type="dxa"/>
            <w:vAlign w:val="bottom"/>
            <w:gridSpan w:val="19"/>
            <w:vMerge w:val="restart"/>
          </w:tcPr>
          <w:p>
            <w:pP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Cautionary Note Regarding Forward-Looking Statements</w:t>
              </w:r>
            </w:hyperlink>
          </w:p>
        </w:tc>
        <w:tc>
          <w:tcPr>
            <w:tcW w:w="4440" w:type="dxa"/>
            <w:vAlign w:val="bottom"/>
            <w:gridSpan w:val="8"/>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360" w:type="dxa"/>
            <w:vAlign w:val="bottom"/>
            <w:gridSpan w:val="19"/>
            <w:vMerge w:val="continue"/>
          </w:tcPr>
          <w:p>
            <w:pPr>
              <w:spacing w:after="0"/>
              <w:rPr>
                <w:sz w:val="14"/>
                <w:szCs w:val="14"/>
                <w:color w:val="auto"/>
              </w:rPr>
            </w:pPr>
          </w:p>
        </w:tc>
        <w:tc>
          <w:tcPr>
            <w:tcW w:w="4440" w:type="dxa"/>
            <w:vAlign w:val="bottom"/>
            <w:gridSpan w:val="8"/>
            <w:vMerge w:val="continue"/>
          </w:tcPr>
          <w:p>
            <w:pPr>
              <w:spacing w:after="0"/>
              <w:rPr>
                <w:sz w:val="14"/>
                <w:szCs w:val="14"/>
                <w:color w:val="auto"/>
              </w:rPr>
            </w:pPr>
          </w:p>
        </w:tc>
        <w:tc>
          <w:tcPr>
            <w:tcW w:w="34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400" w:type="dxa"/>
            <w:vAlign w:val="bottom"/>
            <w:tcBorders>
              <w:top w:val="single" w:sz="8" w:color="0000EE"/>
            </w:tcBorders>
            <w:gridSpan w:val="2"/>
          </w:tcPr>
          <w:p>
            <w:pPr>
              <w:spacing w:after="0"/>
              <w:rPr>
                <w:sz w:val="24"/>
                <w:szCs w:val="24"/>
                <w:color w:val="auto"/>
              </w:rPr>
            </w:pPr>
          </w:p>
        </w:tc>
        <w:tc>
          <w:tcPr>
            <w:tcW w:w="444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92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 as of June 29, 2012 and December 31, 2011 (unaudited)</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Operations for the Three and Six Months Ended June 29, 2012 and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June 30, 2011 (unaudited)</w:t>
              </w:r>
            </w:hyperlink>
          </w:p>
        </w:tc>
        <w:tc>
          <w:tcPr>
            <w:tcW w:w="5500" w:type="dxa"/>
            <w:vAlign w:val="bottom"/>
            <w:tcBorders>
              <w:top w:val="single" w:sz="8" w:color="0000EE"/>
            </w:tcBorders>
            <w:gridSpan w:val="10"/>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Loss for the Three and Six Months ended June 29,</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2012 and June 30, 2011 (unaudited)</w:t>
              </w:r>
            </w:hyperlink>
          </w:p>
        </w:tc>
        <w:tc>
          <w:tcPr>
            <w:tcW w:w="42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Cash Flows for the Six Months Ended June 29, 2012 and June 30,</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2011 (unaudited)</w:t>
              </w:r>
            </w:hyperlink>
          </w:p>
        </w:tc>
        <w:tc>
          <w:tcPr>
            <w:tcW w:w="48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60" w:type="dxa"/>
            <w:vAlign w:val="bottom"/>
            <w:gridSpan w:val="17"/>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 (unaudited)</w:t>
              </w:r>
            </w:hyperlink>
          </w:p>
        </w:tc>
        <w:tc>
          <w:tcPr>
            <w:tcW w:w="316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3680" w:type="dxa"/>
            <w:vAlign w:val="bottom"/>
            <w:tcBorders>
              <w:left w:val="single" w:sz="8" w:color="0000EE"/>
            </w:tcBorders>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7"/>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1.</w:t>
              </w:r>
            </w:hyperlink>
          </w:p>
        </w:tc>
        <w:tc>
          <w:tcPr>
            <w:tcW w:w="360" w:type="dxa"/>
            <w:vAlign w:val="bottom"/>
            <w:tcBorders>
              <w:top w:val="single" w:sz="8" w:color="0000EE"/>
            </w:tcBorders>
            <w:gridSpan w:val="2"/>
          </w:tcPr>
          <w:p>
            <w:pPr>
              <w:spacing w:after="0"/>
              <w:rPr>
                <w:sz w:val="17"/>
                <w:szCs w:val="17"/>
                <w:color w:val="auto"/>
              </w:rPr>
            </w:pPr>
          </w:p>
        </w:tc>
        <w:tc>
          <w:tcPr>
            <w:tcW w:w="17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140" w:type="dxa"/>
            <w:vAlign w:val="bottom"/>
            <w:gridSpan w:val="1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960" w:type="dxa"/>
            <w:vAlign w:val="bottom"/>
            <w:tcBorders>
              <w:left w:val="single" w:sz="8" w:color="0000EE"/>
            </w:tcBorders>
            <w:gridSpan w:val="9"/>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1A.</w:t>
              </w:r>
            </w:hyperlink>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960" w:type="dxa"/>
            <w:vAlign w:val="bottom"/>
            <w:tcBorders>
              <w:left w:val="single" w:sz="8" w:color="0000EE"/>
            </w:tcBorders>
            <w:gridSpan w:val="9"/>
            <w:shd w:val="clear" w:color="auto" w:fill="0000EE"/>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5.</w:t>
              </w:r>
            </w:hyperlink>
          </w:p>
        </w:tc>
        <w:tc>
          <w:tcPr>
            <w:tcW w:w="360" w:type="dxa"/>
            <w:vAlign w:val="bottom"/>
            <w:gridSpan w:val="2"/>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40" w:type="dxa"/>
            <w:vAlign w:val="bottom"/>
            <w:gridSpan w:val="1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6.</w:t>
              </w:r>
            </w:hyperlink>
          </w:p>
        </w:tc>
        <w:tc>
          <w:tcPr>
            <w:tcW w:w="360" w:type="dxa"/>
            <w:vAlign w:val="bottom"/>
            <w:gridSpan w:val="2"/>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96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96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Exhibit Index</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U.S. Private Securities Litigation Reform Act of 1995, which are subject to a number of risks and uncertainties. All statements other than statements of historical facts contained in this report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 looking statements contain these identifying words. Examples of forward-looking statements include, but are not limited to, statements regarding the following: plans, objectives, goals, strategies, future events or performance, trends, investments, customer growth, operational performance and costs, liquidity and financial positions, competition, estimated expenditures and investments, impacts of laws, rules and regulations, revenues and earnings, performance and other statements that are other than statements of historical facts.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They are neither statements of historical fact nor guarantees or assurances of future performance. Our actual results could differ materially from those anticipated in these forward-looking statements as a result of various factors, including, but not limited to, the timing of our recognition of revenues; our ability to recruit and retain key personnel; difficulties supporting our new strategic focus on channel sales; difficulties retaining and expanding our customer base; difficulties leveraging market opportunities; restructuring activities; our ability to realize benefits from acquisitions (including with respect to the proposed acquisition of Network Equipment Technologies, Inc.); litigation; actions taken by significant stockholders; difficulties providing solutions that meet the needs of customers; market acceptance of our products and services; rapid technological and market change; our ability to protect our intellectual property rights; our ability to maintain partner, reseller, distribution and vendor support and supply relationships; higher risks in international operations and markets; the impact of increased competition; currency fluctuations; changes in the market price of our common stock; and/or failure or circumvention of our controls and procedures.</w:t>
      </w:r>
    </w:p>
    <w:p>
      <w:pPr>
        <w:spacing w:after="0" w:line="17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Important factors that could cause actual results to differ materially from those in these forward-looking statements are discussed in Part I, Items 2 and 3, "Management's Discussion and Analysis of Financial Condition and Results of Operations" and "Quantitative and Qualitative Disclosures about Market Risk," and Part II, Item 1A, "Risk Factors," herein. We undertake no obligation to publicly update any forward-looking statement, whether as a result of new information, future developments or otherwise, except as may be required by law. We therefore caution you against relying on any of these forward-looking statements, which speak only as of the date made.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June 29,</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1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234,740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Accounts receivable, net of allowance for doubtful accounts of $0 at June 29, 2012 and</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2011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18,281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21,939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22,084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485,427</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504,715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shd w:val="clear" w:color="auto" w:fill="CCEEFF"/>
          </w:tcPr>
          <w:p>
            <w:pPr>
              <w:ind w:left="23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11,601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83,559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Preferred stock, $0.01 par value; 5,000,000 shares authorized, none issued and outstanding</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88"/>
              </w:rPr>
              <w:t>Common stock, $0.001 par value; 600,000,000 shares authorized; 279,982,468 shares issued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w w:val="96"/>
              </w:rPr>
              <w:t>and outstanding at June 29, 2012 and 279,318,396 shares issued and outstanding at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December 31, 2011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1,314,946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1,309,919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(920,367)</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5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401,868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415,301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notes to the unaudited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5"/>
              </w:rPr>
              <w:t>June 29,</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June 29,</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Product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32,586</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29,446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73,997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65,399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vMerge w:val="restart"/>
          </w:tcPr>
          <w:p>
            <w:pPr>
              <w:ind w:left="34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51,772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121,949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119,071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Product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vMerge w:val="restart"/>
          </w:tcPr>
          <w:p>
            <w:pPr>
              <w:ind w:left="340"/>
              <w:spacing w:after="0"/>
              <w:rPr>
                <w:sz w:val="20"/>
                <w:szCs w:val="20"/>
                <w:color w:val="auto"/>
              </w:rPr>
            </w:pPr>
            <w:r>
              <w:rPr>
                <w:rFonts w:ascii="Arial" w:cs="Arial" w:eastAsia="Arial" w:hAnsi="Arial"/>
                <w:sz w:val="18"/>
                <w:szCs w:val="18"/>
                <w:color w:val="auto"/>
              </w:rPr>
              <w:t>Total cost of revenue</w:t>
            </w: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62,510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40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vMerge w:val="restart"/>
          </w:tcPr>
          <w:p>
            <w:pPr>
              <w:ind w:left="34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92,538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(6,746)</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(17,989)</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income, net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loss per share:</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279,926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278,400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279,708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278,080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279,926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279,708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278,080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7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June 29,</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w w:val="82"/>
              </w:rPr>
              <w:t>June 30,</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5"/>
              </w:rPr>
              <w:t>June 29,</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w w:val="92"/>
              </w:rPr>
              <w:t>Unrealized (loss) gain on available-for-sale marketable securities, net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tax</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0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(11,477)</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(18,461)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(18,131)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June 29,</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(18,163)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cash flows used in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(3,390)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operating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(3,010)</w:t>
            </w: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(25,336)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(11,281)</w:t>
            </w:r>
          </w:p>
        </w:tc>
        <w:tc>
          <w:tcPr>
            <w:tcW w:w="0" w:type="dxa"/>
            <w:vAlign w:val="bottom"/>
          </w:tcPr>
          <w:p>
            <w:pPr>
              <w:spacing w:after="0"/>
              <w:rPr>
                <w:sz w:val="1"/>
                <w:szCs w:val="1"/>
                <w:color w:val="auto"/>
              </w:rPr>
            </w:pPr>
          </w:p>
        </w:tc>
      </w:tr>
      <w:tr>
        <w:trPr>
          <w:trHeight w:val="27"/>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7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(128,931)</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Sale/maturities of marketable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148,045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130,194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w w:val="99"/>
              </w:rPr>
              <w:t>Proceeds from sale of common stock in connection with employee stock purchase plan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w w:val="89"/>
              </w:rPr>
              <w:t>Payment of tax withholding obligations related to net share settlements of restricted stock awards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of capital lease obligations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105,451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106,112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Income tax refunds received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Capital expenditures incurred, but not yet paid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1,813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acquired under operating lease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Sonus Networks, Inc. ("Sonus" or the "Company") was incorporated in 1997 and is a leading provider of next-generation session initiation protocol ("SIP")-based solutions, including Voice over Internet Protocol ("VoIP"), video and Unified Communications through secure, reliable and scalable Internet Protocol ("IP") networks. The Company's infrastructure solutions allow efficient and reliable delivery of voice and multimedia sessions over IP networks while allowing customers to manage the flows of such sessions in their networks using business policies.</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Company's target customers comprise both service providers and enterprises. Customers and prospective customers in the service provider space are traditional and emerging communications providers, including long distance carriers, local exchange carriers, Internet service providers, wireless operators, cable operators, international telephone companies and carriers that provide services to other carriers. Enterprise customers and target enterprise customers include financial institutions, retailers, state and local governments, and other multinational corporations. The Company collaborates with its customers to identify and develop new, advanced services and applications that can help to reduce costs, improve productivity and generate new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include all adjustments, consisting only of normal recurring items, necessary for their fair presentation in conformity with accounting principles generally accepted in the United States of America ("GAAP") and the rules and regulations of the U.S. Securities and Exchange Commission ("SEC").</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Effective in fiscal 2012, the Company began to report its first, second and third quarters on a 4-4-5 basis, with the quarter ending on the Friday closest to the last day of each third month. In fiscal 2012, the Company's first quarter ended on March 30, 2012, the second quarter ended on June 29, 2012 and the third quarter will end on September 28, 2012. The Company's year-end will continue to be December 31.</w:t>
      </w:r>
    </w:p>
    <w:p>
      <w:pPr>
        <w:spacing w:after="0" w:line="19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Interim results are not necessarily indicative of results for a full year. The information included in this Quarterly Report on Form 10-Q should be read in conjunction with the Company's Annual Report on Form 10-K for the year ended December 31, 2011 ("Annual Report") filed on February 24, 2012 with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condensed consolidated financial statements include the accounts of Sonus and its wholly-owned subsidiaries.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revenues and expenses during the reporting periods. Significant estimates and judgments relied upon in preparing these financial statements include revenue recognition for multiple element arrangements, inventory valuations, assumptions used to determine the fair value of stock-based compensation, legal contingencies and recoverability of Sonus' net deferred tax assets and the related valuation allowances.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 xml:space="preserve">On June 16, 2011, the Financial Accounting Standards Board ("FASB") issued Accounting Standards Update ("ASU") No.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Presentation of Comprehensive Income </w:t>
      </w:r>
      <w:r>
        <w:rPr>
          <w:rFonts w:ascii="Arial" w:cs="Arial" w:eastAsia="Arial" w:hAnsi="Arial"/>
          <w:sz w:val="16"/>
          <w:szCs w:val="16"/>
          <w:color w:val="auto"/>
        </w:rPr>
        <w:t>("ASU 2011-05"), which revises the manner in which entities present comprehensive income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new guidance requires companies to report components of comprehensive income in either: (1) a continuous statement of comprehensive income; or (2) two separate consecutive statements. ASU 2011-05 does not change the items that must be reported in other comprehensive income. On December 23, 2011, the FASB issued ASU No. 2011-12</w:t>
      </w:r>
      <w:r>
        <w:rPr>
          <w:rFonts w:ascii="Arial" w:cs="Arial" w:eastAsia="Arial" w:hAnsi="Arial"/>
          <w:sz w:val="16"/>
          <w:szCs w:val="16"/>
          <w:i w:val="1"/>
          <w:iCs w:val="1"/>
          <w:color w:val="auto"/>
        </w:rPr>
        <w:t>, 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("ASU 2011-12"),</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defers certain provisions of ASU 2011-05, including the provision that requires entities to present reclassification adjustments out of accumulated other comprehensive income by component in both the statement in which net income is presented and the statement in which other comprehensive income is presented. The unaffected provisions of ASU 2011-05 became effective for the Company in its reporting of the first quarter of fiscal 2012. The adoption of ASU 2011-05 did not have any impact on the Company's results of operations, financial position or cash flows.</w:t>
      </w:r>
    </w:p>
    <w:p>
      <w:pPr>
        <w:spacing w:after="0" w:line="17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On May 12, 2011, the FASB issued ASU No. 2011-04, </w:t>
      </w:r>
      <w:r>
        <w:rPr>
          <w:rFonts w:ascii="Arial" w:cs="Arial" w:eastAsia="Arial" w:hAnsi="Arial"/>
          <w:sz w:val="18"/>
          <w:szCs w:val="18"/>
          <w:i w:val="1"/>
          <w:iCs w:val="1"/>
          <w:color w:val="auto"/>
        </w:rPr>
        <w:t>Fair Value Measurement (Topic 820): 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("ASU 2011-04"), which provides guidance on how (not when) to measure fair value and on what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about fair value measurements. ASU 2011-04 expands previously existing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disclosure requirements for fair value measurements, including disclosures regarding transfers between Level 1 and Level 2 in the fair value hierarchy currently disclosed. ASU 2011-04 became effective for the Company on January 1, 2012. The adoption of ASU 2011-04 did not have any impact on the Company's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recognizes revenue from sales when persuasive evidence of an arrangement exists, delivery has occurred, the sale price is fixed or determinable, and collectability of the related receivable is probable. In instances where customer acceptance is required, revenue is deferred until the acceptance has been achieved. When fees for products or services are not fixed and determinable, the Company defers the recording of receivables, deferred revenue and revenue until such time as the fees become due or are collected.</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Revenue from maintenance and support services is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 Revenue from other professional services is typically recognized as the services are delivered if all other revenue recognition criteria have been met.</w:t>
      </w:r>
    </w:p>
    <w:p>
      <w:pPr>
        <w:spacing w:after="0" w:line="19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Company's products typically have both software and non-software components that function together to deliver the products' essential functionality. In addition, hardware sold generally cannot be used apart from the software. Therefore, the Company considers its principal products to be both software and hardware-related. Many of the Company's sales involve multiple element arrangements that include product, maintenance and various professional services.</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Beginning January 1, 2011, the Company adopted the provisions of ASU No. 2009-13, </w:t>
      </w:r>
      <w:r>
        <w:rPr>
          <w:rFonts w:ascii="Arial" w:cs="Arial" w:eastAsia="Arial" w:hAnsi="Arial"/>
          <w:sz w:val="16"/>
          <w:szCs w:val="16"/>
          <w:i w:val="1"/>
          <w:iCs w:val="1"/>
          <w:color w:val="auto"/>
        </w:rPr>
        <w:t>Revenue Recognition (Topic 605): Multiple-Deliverable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("ASU 2009-13") and ASU No. 2009-14,</w:t>
      </w:r>
      <w:r>
        <w:rPr>
          <w:rFonts w:ascii="Arial" w:cs="Arial" w:eastAsia="Arial" w:hAnsi="Arial"/>
          <w:sz w:val="16"/>
          <w:szCs w:val="16"/>
          <w:i w:val="1"/>
          <w:iCs w:val="1"/>
          <w:color w:val="auto"/>
        </w:rPr>
        <w:t xml:space="preserve"> Software (Topic 985): Certain Revenue Arrangements That Include Software Elements </w:t>
      </w:r>
      <w:r>
        <w:rPr>
          <w:rFonts w:ascii="Arial" w:cs="Arial" w:eastAsia="Arial" w:hAnsi="Arial"/>
          <w:sz w:val="16"/>
          <w:szCs w:val="16"/>
          <w:color w:val="auto"/>
        </w:rPr>
        <w:t>("ASU 2009-14")</w:t>
      </w:r>
      <w:r>
        <w:rPr>
          <w:rFonts w:ascii="Arial" w:cs="Arial" w:eastAsia="Arial" w:hAnsi="Arial"/>
          <w:sz w:val="16"/>
          <w:szCs w:val="16"/>
          <w:i w:val="1"/>
          <w:iCs w:val="1"/>
          <w:color w:val="auto"/>
        </w:rPr>
        <w:t xml:space="preserve"> </w:t>
      </w:r>
      <w:r>
        <w:rPr>
          <w:rFonts w:ascii="Arial" w:cs="Arial" w:eastAsia="Arial" w:hAnsi="Arial"/>
          <w:sz w:val="16"/>
          <w:szCs w:val="16"/>
          <w:color w:val="auto"/>
        </w:rPr>
        <w:t>for new and materially modified arrangements that contain tangible products (hardware) with software elements, which comprise the majority of the Company's revenue transactions. For multiple element arrangements entered into subject to the guidance set forth in ASU 2009-13, arrangement consideration is allocated to each element based on the relative selling prices of all of the elements in the arrangement using the fair value hierarchy as required by ASU 2009-13. The Company limits the amount of revenue recognized for delivered elements to the amount that is not contingent on the future delivery of products or services, future performance obligations, or subject to customer-specific return or refund privileges.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For transactions entered into prior to January 1, 2011 and prospectively for software-only sales, the Company recognizes revenue in accordance with ASC No. 985-605, </w:t>
      </w:r>
      <w:r>
        <w:rPr>
          <w:rFonts w:ascii="Arial" w:cs="Arial" w:eastAsia="Arial" w:hAnsi="Arial"/>
          <w:sz w:val="16"/>
          <w:szCs w:val="16"/>
          <w:i w:val="1"/>
          <w:iCs w:val="1"/>
          <w:color w:val="auto"/>
        </w:rPr>
        <w:t>Software—Revenue Recognition</w:t>
      </w:r>
      <w:r>
        <w:rPr>
          <w:rFonts w:ascii="Arial" w:cs="Arial" w:eastAsia="Arial" w:hAnsi="Arial"/>
          <w:sz w:val="16"/>
          <w:szCs w:val="16"/>
          <w:color w:val="auto"/>
        </w:rPr>
        <w:t xml:space="preserve"> ("ASC 985-605"). Under this guidance, revenue for any undelivered elements that are considered not essential to the functionality of the product and for which vendor-specific objective evidence of selling price ("VSOE") has been established is deferred and recognized upon delivery utilizing the residual method. If the Company has undelivered product for which VSOE has not been established, it defers all revenue on the entire arrangement until VSOE is established or until such elements are delivered,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provided that all other revenue recognition criteria are met. If the Company has undelivered services for which VSOE has not been established, the entire arrangement is recognized as revenue over the longest remaining service period from the point in time that all services have commenced and all products have been delivered, provided that all other revenue recognition criteria are met.</w:t>
      </w:r>
    </w:p>
    <w:p>
      <w:pPr>
        <w:spacing w:after="0" w:line="19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Company establishes VSOE based upon the price charged when the same element is sold separately or established by management having the relevant pricing authority. The Company has VSOE for its maintenance and support services and certain professional services. When VSOE exists it is used to determine the selling price of a deliverable. The Company has not been able to establish VSOE of any of its products and for certain of its services because the Company has not sold such products or services on a stand-alone basis, not priced its products or services within a narrow range, or had limited sales history.</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When VSOE is not established, the Company attempts to establish the selling price of each element based on third-party evidence of selling price ("TPE"). The Company's solution typically differs from that of its peers as there are no similar or interchangeable competitor products or services. The Company's various product and service offerings contain a significant level of customization and differentiation and therefore, comparable pricing of competitors' products and services with similar functionality cannot be obtained. Accordingly, the Company is not able to determine TPE for its products or services.</w:t>
      </w:r>
    </w:p>
    <w:p>
      <w:pPr>
        <w:spacing w:after="0" w:line="16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When the Company is unable to establish selling price using VSOE or TPE, the Company uses estimated selling price ("ESP") in its allocation of arrangement consideration for the relevant deliverables. The objective of ESP is to determine the price at which the Company would transact a sale if a product or service was sold on a stand-alone basis. The Company determines ESP for its products and certain services by considering multiple factors including, but not limited to, overall market conditions, including geographic or regional-specific market factors, profit objectives and historical pricing practices for such deliverables. The determination of ESP is a formal process within the Company that includes review and approval by the Company's management.</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Deferred revenue typically includes customer deposits and amounts associated with partial product shipments and maintenance or service contracts. Deferred revenue expected to be recognized as revenue more than one year subsequent to the balance sheet date is reported with long-term liabilities in the condensed consolidated balance sheets. The Company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excludes any taxes assessed by a governmental authority that are directly imposed on a revenue-producing transaction (i.e., sales, use, value added) from its revenue and costs. Reimbursement received for out-of-pocket expenses and shipping costs is recorded as revenue.</w:t>
      </w:r>
    </w:p>
    <w:p>
      <w:pPr>
        <w:spacing w:after="0" w:line="139"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Company sells the majority of its products directly to its end customers. For products sold to resellers and distributors with whom the Company has sufficient history regarding the potential for product returns or refunds or any form of concession, the Company recognizes revenue on a sell-in basis. For all other resellers and distributors, the Company recognizes revenue on a sell-through basis.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calculations of shares used to compute basic and diluted loss per share for the three and six months ended June 29, 2012 and June 30, 2011 were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580" w:type="dxa"/>
            <w:vAlign w:val="bottom"/>
            <w:gridSpan w:val="3"/>
          </w:tcPr>
          <w:p>
            <w:pPr>
              <w:jc w:val="right"/>
              <w:ind w:right="126"/>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72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72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June 29,</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46"/>
              <w:spacing w:after="0" w:line="129" w:lineRule="exact"/>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right"/>
              <w:ind w:right="47"/>
              <w:spacing w:after="0" w:line="129" w:lineRule="exact"/>
              <w:rPr>
                <w:sz w:val="20"/>
                <w:szCs w:val="20"/>
                <w:color w:val="auto"/>
              </w:rPr>
            </w:pPr>
            <w:r>
              <w:rPr>
                <w:rFonts w:ascii="Arial" w:cs="Arial" w:eastAsia="Arial" w:hAnsi="Arial"/>
                <w:sz w:val="14"/>
                <w:szCs w:val="14"/>
                <w:b w:val="1"/>
                <w:bCs w:val="1"/>
                <w:color w:val="auto"/>
                <w:w w:val="99"/>
              </w:rPr>
              <w:t>June 29,</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46"/>
              <w:spacing w:after="0" w:line="129" w:lineRule="exact"/>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278,080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278,080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Options to purchase the Company's common stock and unvested shares of restricted stock aggregating 27.6 million shares of common stock have not been included for the three and six months ended June 29, 2012 because their effect would have been antidilutive. Options to purchase the Company's common stock, unvested shares of restricted stock and unvested performance-based stock awards aggregating 21.3 million shares of common stock have not been included for the three and six months ended June 30, 2011 because their effect would have been antidilutive.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LONG-TERM INVESTMENTS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and corporate obligations, which management believes to be high quality (investment grade) credit instruments.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amortized cost, gross unrealized gains and losses and fair value of the Company's marketable debt and equity securities and investments at June 29, 2012 and December 31, 2011 were comprised of the following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June 29, 2012</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75,182</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gridSpan w:val="2"/>
            <w:vMerge w:val="restart"/>
          </w:tcPr>
          <w:p>
            <w:pPr>
              <w:ind w:left="1140"/>
              <w:spacing w:after="0"/>
              <w:rPr>
                <w:sz w:val="20"/>
                <w:szCs w:val="20"/>
                <w:color w:val="auto"/>
              </w:rPr>
            </w:pPr>
            <w:r>
              <w:rPr>
                <w:rFonts w:ascii="Arial" w:cs="Arial" w:eastAsia="Arial" w:hAnsi="Arial"/>
                <w:sz w:val="18"/>
                <w:szCs w:val="18"/>
                <w:color w:val="auto"/>
              </w:rPr>
              <w:t>Marketable securities</w:t>
            </w:r>
          </w:p>
        </w:tc>
        <w:tc>
          <w:tcPr>
            <w:tcW w:w="1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continu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91,789</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115,860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115,846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234,731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234,740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15,058</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15,063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22,879</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940" w:type="dxa"/>
            <w:vAlign w:val="bottom"/>
            <w:vMerge w:val="restart"/>
          </w:tcPr>
          <w:p>
            <w:pPr>
              <w:jc w:val="right"/>
              <w:ind w:right="612"/>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LONG-TERM INVESTMENTS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5"/>
              </w:rPr>
              <w:t>December 31, 2011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106,631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106,727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223,954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224,090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44,144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55,440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contractual maturity dates for the Company's available-for-sale securities are one year or less from the respective balance sheet dates for the securities that are classified as Marketable securities and more than one year from the respective balance sheet dates for the securities that are classified as Investments in the condensed consolidated balance sheets.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Company's financial assets or liabilities are measured using inputs from the three-tier fair value hierarchy, which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61"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or liabilities in active markets or quoted prices for identical assets or liabilities in markets with insufficient volume or infrequent transactions (less active markets).</w:t>
      </w:r>
    </w:p>
    <w:p>
      <w:pPr>
        <w:spacing w:after="0" w:line="194" w:lineRule="exact"/>
        <w:rPr>
          <w:sz w:val="20"/>
          <w:szCs w:val="20"/>
          <w:color w:val="auto"/>
        </w:rPr>
      </w:pPr>
    </w:p>
    <w:p>
      <w:pPr>
        <w:ind w:left="540" w:right="64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the fair value of the assets or liabilities.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LONG-TERM INVESTMENTS (Continued)</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following table shows the fair value of the Company's financial assets at June 29, 2012 and December 31, 2011. These financial assets are comprised of the Company's available-for-sale debt and equity securities and reported under the captions Cash and cash equivalents, Marketable securities and Investments in the condensed consolidated balance sheets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June 29, 2012 using: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1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5"/>
              </w:rPr>
              <w:t>June 29,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140"/>
              <w:spacing w:after="0"/>
              <w:rPr>
                <w:sz w:val="20"/>
                <w:szCs w:val="20"/>
                <w:color w:val="auto"/>
              </w:rPr>
            </w:pPr>
            <w:r>
              <w:rPr>
                <w:rFonts w:ascii="Arial" w:cs="Arial" w:eastAsia="Arial" w:hAnsi="Arial"/>
                <w:sz w:val="18"/>
                <w:szCs w:val="18"/>
                <w:color w:val="auto"/>
              </w:rPr>
              <w:t>Marketable securities</w:t>
            </w:r>
          </w:p>
        </w:tc>
        <w:tc>
          <w:tcPr>
            <w:tcW w:w="1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234,740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234,740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2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15,063</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LONG-TERM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left="659"/>
              <w:spacing w:after="0"/>
              <w:rPr>
                <w:sz w:val="20"/>
                <w:szCs w:val="20"/>
                <w:color w:val="auto"/>
              </w:rPr>
            </w:pPr>
            <w:r>
              <w:rPr>
                <w:rFonts w:ascii="Arial" w:cs="Arial" w:eastAsia="Arial" w:hAnsi="Arial"/>
                <w:sz w:val="14"/>
                <w:szCs w:val="14"/>
                <w:b w:val="1"/>
                <w:bCs w:val="1"/>
                <w:color w:val="auto"/>
                <w:w w:val="86"/>
              </w:rPr>
              <w:t>December 31, 2011 using:</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Quoted prices</w:t>
            </w:r>
          </w:p>
        </w:tc>
        <w:tc>
          <w:tcPr>
            <w:tcW w:w="160" w:type="dxa"/>
            <w:vAlign w:val="bottom"/>
          </w:tcPr>
          <w:p>
            <w:pPr>
              <w:spacing w:after="0"/>
              <w:rPr>
                <w:sz w:val="11"/>
                <w:szCs w:val="11"/>
                <w:color w:val="auto"/>
              </w:rPr>
            </w:pPr>
          </w:p>
        </w:tc>
        <w:tc>
          <w:tcPr>
            <w:tcW w:w="13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Significant other</w:t>
            </w:r>
          </w:p>
        </w:tc>
        <w:tc>
          <w:tcPr>
            <w:tcW w:w="100" w:type="dxa"/>
            <w:vAlign w:val="bottom"/>
          </w:tcPr>
          <w:p>
            <w:pPr>
              <w:spacing w:after="0"/>
              <w:rPr>
                <w:sz w:val="11"/>
                <w:szCs w:val="11"/>
                <w:color w:val="auto"/>
              </w:rPr>
            </w:pPr>
          </w:p>
        </w:tc>
        <w:tc>
          <w:tcPr>
            <w:tcW w:w="82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5"/>
              </w:rPr>
              <w:t>markets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44,130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44,130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marketable securities and investments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condensed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at June 29, 2012 and December 31, 2011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June 29,</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13,776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11,556</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7,826</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6,689</w:t>
            </w: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21,602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18,245</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(18,262)</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(15,434)</w:t>
            </w: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(included in Other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2,811</w:t>
            </w:r>
          </w:p>
        </w:tc>
      </w:tr>
      <w:tr>
        <w:trPr>
          <w:trHeight w:val="27"/>
        </w:trPr>
        <w:tc>
          <w:tcPr>
            <w:tcW w:w="5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June 29, 2012 and December 31, 2011 consisted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Intellectual property</w:t>
            </w:r>
          </w:p>
        </w:tc>
        <w:tc>
          <w:tcPr>
            <w:tcW w:w="19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9"/>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20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2640" w:type="dxa"/>
            <w:vAlign w:val="bottom"/>
            <w:gridSpan w:val="2"/>
          </w:tcPr>
          <w:p>
            <w:pPr>
              <w:ind w:left="1960"/>
              <w:spacing w:after="0"/>
              <w:rPr>
                <w:sz w:val="20"/>
                <w:szCs w:val="20"/>
                <w:color w:val="auto"/>
              </w:rPr>
            </w:pPr>
            <w:r>
              <w:rPr>
                <w:rFonts w:ascii="Arial" w:cs="Arial" w:eastAsia="Arial" w:hAnsi="Arial"/>
                <w:sz w:val="18"/>
                <w:szCs w:val="18"/>
                <w:color w:val="auto"/>
              </w:rPr>
              <w:t>5 years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1,799</w:t>
            </w:r>
          </w:p>
        </w:tc>
        <w:tc>
          <w:tcPr>
            <w:tcW w:w="4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amortizes its intangible assets over the estimated useful lives of the respective assets. Amortization expense related to intangible assets for the three and six months ended June 29, 2012 and June 30, 2011 was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262"/>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w:t>
            </w: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16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16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June 29, 2012 is as follows (in thousands):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Goodwill is recorded when the consideration in a business combination exceeds the fair value of net tangible and identifiable intangible assets acquired.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carrying amounts of the Company's goodwill in either of the six months ended June 29, 2012 or June 30, 2011.</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June 29, 2012 and December 31, 2011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29,</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13,735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13,782</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6,278</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7,838</w:t>
            </w:r>
          </w:p>
        </w:tc>
      </w:tr>
      <w:tr>
        <w:trPr>
          <w:trHeight w:val="21"/>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20,013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21,620</w:t>
            </w:r>
          </w:p>
        </w:tc>
      </w:tr>
      <w:tr>
        <w:trPr>
          <w:trHeight w:val="27"/>
        </w:trPr>
        <w:tc>
          <w:tcPr>
            <w:tcW w:w="6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w:t>
      </w:r>
    </w:p>
    <w:p>
      <w:pPr>
        <w:spacing w:after="0" w:line="231" w:lineRule="exact"/>
        <w:rPr>
          <w:sz w:val="20"/>
          <w:szCs w:val="20"/>
          <w:color w:val="auto"/>
        </w:rPr>
      </w:pPr>
    </w:p>
    <w:p>
      <w:pPr>
        <w:ind w:right="460" w:firstLine="348"/>
        <w:spacing w:after="0" w:line="298" w:lineRule="auto"/>
        <w:rPr>
          <w:sz w:val="20"/>
          <w:szCs w:val="20"/>
          <w:color w:val="auto"/>
        </w:rPr>
      </w:pPr>
      <w:r>
        <w:rPr>
          <w:rFonts w:ascii="Arial" w:cs="Arial" w:eastAsia="Arial" w:hAnsi="Arial"/>
          <w:sz w:val="16"/>
          <w:szCs w:val="16"/>
          <w:color w:val="auto"/>
        </w:rPr>
        <w:t>The Company's 2007 Stock Incentive Plan, as amended (the "2007 Plan"), provides for the award of options to purchase the Company's common stock ("stock options"), stock appreciation rights, restricted common stock ("restricted stock"), performance-based share awards ("performance-based awards"), restricted stock units and other stock-based awards to employees, officers, directors (including those directors who are not employees or officers of the Company), consultants and advisors of the Company and its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six months ended June 29, 2012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contractual life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4"/>
              </w:rPr>
              <w:t>(in thousands)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22,627,885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4,985,533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(36,522)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(436,478)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(570,172)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00" w:type="dxa"/>
            <w:vAlign w:val="bottom"/>
            <w:gridSpan w:val="2"/>
            <w:vMerge w:val="restart"/>
          </w:tcPr>
          <w:p>
            <w:pPr>
              <w:ind w:left="1140"/>
              <w:spacing w:after="0"/>
              <w:rPr>
                <w:sz w:val="20"/>
                <w:szCs w:val="20"/>
                <w:color w:val="auto"/>
              </w:rPr>
            </w:pPr>
            <w:r>
              <w:rPr>
                <w:rFonts w:ascii="Arial" w:cs="Arial" w:eastAsia="Arial" w:hAnsi="Arial"/>
                <w:sz w:val="18"/>
                <w:szCs w:val="18"/>
                <w:color w:val="auto"/>
              </w:rPr>
              <w:t>Outstanding at June 29, 2012</w:t>
            </w:r>
          </w:p>
        </w:tc>
        <w:tc>
          <w:tcPr>
            <w:tcW w:w="1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3.63</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6.83</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0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26,570,246</w:t>
            </w:r>
          </w:p>
        </w:tc>
        <w:tc>
          <w:tcPr>
            <w:tcW w:w="12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June 29, 2012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24,708,106</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Exercisable at June 29, 2012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12,854,707</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40" w:type="dxa"/>
            <w:vAlign w:val="bottom"/>
            <w:gridSpan w:val="2"/>
          </w:tcPr>
          <w:p>
            <w:pPr>
              <w:jc w:val="right"/>
              <w:ind w:right="66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grant date fair value of stock options granted in the three and six months ended June 29, 2012 was estimated using the Black-Scholes valuation model with the following assumptions: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6"/>
              </w:rPr>
              <w:t>Three months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Six months</w:t>
            </w:r>
          </w:p>
        </w:tc>
      </w:tr>
      <w:tr>
        <w:trPr>
          <w:trHeight w:val="149"/>
        </w:trPr>
        <w:tc>
          <w:tcPr>
            <w:tcW w:w="13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center"/>
              <w:ind w:right="149"/>
              <w:spacing w:after="0" w:line="149"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49"/>
        </w:trPr>
        <w:tc>
          <w:tcPr>
            <w:tcW w:w="13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20" w:type="dxa"/>
            <w:vAlign w:val="bottom"/>
            <w:gridSpan w:val="2"/>
          </w:tcPr>
          <w:p>
            <w:pPr>
              <w:jc w:val="center"/>
              <w:ind w:left="59"/>
              <w:spacing w:after="0" w:line="149" w:lineRule="exact"/>
              <w:rPr>
                <w:sz w:val="20"/>
                <w:szCs w:val="20"/>
                <w:color w:val="auto"/>
              </w:rPr>
            </w:pPr>
            <w:r>
              <w:rPr>
                <w:rFonts w:ascii="Arial" w:cs="Arial" w:eastAsia="Arial" w:hAnsi="Arial"/>
                <w:sz w:val="14"/>
                <w:szCs w:val="14"/>
                <w:b w:val="1"/>
                <w:bCs w:val="1"/>
                <w:color w:val="auto"/>
                <w:w w:val="85"/>
              </w:rPr>
              <w:t>June 29,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29,</w:t>
            </w:r>
          </w:p>
        </w:tc>
      </w:tr>
      <w:tr>
        <w:trPr>
          <w:trHeight w:val="161"/>
        </w:trPr>
        <w:tc>
          <w:tcPr>
            <w:tcW w:w="13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Borders>
              <w:bottom w:val="single" w:sz="8" w:color="auto"/>
            </w:tcBorders>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5"/>
            <w:shd w:val="clear" w:color="auto" w:fill="CCEEFF"/>
          </w:tcPr>
          <w:p>
            <w:pPr>
              <w:jc w:val="center"/>
              <w:ind w:right="180"/>
              <w:spacing w:after="0"/>
              <w:rPr>
                <w:sz w:val="20"/>
                <w:szCs w:val="20"/>
                <w:color w:val="auto"/>
              </w:rPr>
            </w:pPr>
            <w:r>
              <w:rPr>
                <w:rFonts w:ascii="Arial" w:cs="Arial" w:eastAsia="Arial" w:hAnsi="Arial"/>
                <w:sz w:val="18"/>
                <w:szCs w:val="18"/>
                <w:color w:val="auto"/>
                <w:w w:val="89"/>
              </w:rPr>
              <w:t>0.71%–0.79%</w:t>
            </w:r>
          </w:p>
        </w:tc>
        <w:tc>
          <w:tcPr>
            <w:tcW w:w="114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89"/>
              </w:rPr>
              <w:t>0.71%–0.89%</w:t>
            </w:r>
          </w:p>
        </w:tc>
      </w:tr>
      <w:tr>
        <w:trPr>
          <w:trHeight w:val="216"/>
        </w:trPr>
        <w:tc>
          <w:tcPr>
            <w:tcW w:w="13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60" w:type="dxa"/>
            <w:vAlign w:val="bottom"/>
          </w:tcPr>
          <w:p>
            <w:pPr>
              <w:spacing w:after="0"/>
              <w:rPr>
                <w:sz w:val="18"/>
                <w:szCs w:val="18"/>
                <w:color w:val="auto"/>
              </w:rPr>
            </w:pPr>
          </w:p>
        </w:tc>
        <w:tc>
          <w:tcPr>
            <w:tcW w:w="660" w:type="dxa"/>
            <w:vAlign w:val="bottom"/>
          </w:tcPr>
          <w:p>
            <w:pPr>
              <w:jc w:val="center"/>
              <w:ind w:right="149"/>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02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91"/>
              </w:rPr>
              <w:t>67.82%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42"/>
              <w:spacing w:after="0"/>
              <w:rPr>
                <w:sz w:val="20"/>
                <w:szCs w:val="20"/>
                <w:color w:val="auto"/>
              </w:rPr>
            </w:pPr>
            <w:r>
              <w:rPr>
                <w:rFonts w:ascii="Arial" w:cs="Arial" w:eastAsia="Arial" w:hAnsi="Arial"/>
                <w:sz w:val="18"/>
                <w:szCs w:val="18"/>
                <w:color w:val="auto"/>
                <w:w w:val="88"/>
              </w:rPr>
              <w:t>67.80%</w:t>
            </w:r>
          </w:p>
        </w:tc>
        <w:tc>
          <w:tcPr>
            <w:tcW w:w="160" w:type="dxa"/>
            <w:vAlign w:val="bottom"/>
            <w:shd w:val="clear" w:color="auto" w:fill="CCEEFF"/>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Expected life (years)</w:t>
            </w:r>
          </w:p>
        </w:tc>
        <w:tc>
          <w:tcPr>
            <w:tcW w:w="1020" w:type="dxa"/>
            <w:vAlign w:val="bottom"/>
            <w:gridSpan w:val="2"/>
          </w:tcPr>
          <w:p>
            <w:pPr>
              <w:jc w:val="center"/>
              <w:ind w:left="79"/>
              <w:spacing w:after="0"/>
              <w:rPr>
                <w:sz w:val="20"/>
                <w:szCs w:val="20"/>
                <w:color w:val="auto"/>
              </w:rPr>
            </w:pPr>
            <w:r>
              <w:rPr>
                <w:rFonts w:ascii="Arial" w:cs="Arial" w:eastAsia="Arial" w:hAnsi="Arial"/>
                <w:sz w:val="18"/>
                <w:szCs w:val="18"/>
                <w:color w:val="auto"/>
                <w:w w:val="87"/>
              </w:rPr>
              <w:t>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42"/>
              <w:spacing w:after="0"/>
              <w:rPr>
                <w:sz w:val="20"/>
                <w:szCs w:val="20"/>
                <w:color w:val="auto"/>
              </w:rPr>
            </w:pPr>
            <w:r>
              <w:rPr>
                <w:rFonts w:ascii="Arial" w:cs="Arial" w:eastAsia="Arial" w:hAnsi="Arial"/>
                <w:sz w:val="18"/>
                <w:szCs w:val="18"/>
                <w:color w:val="auto"/>
                <w:w w:val="87"/>
              </w:rPr>
              <w:t>4.5</w:t>
            </w:r>
          </w:p>
        </w:tc>
        <w:tc>
          <w:tcPr>
            <w:tcW w:w="160" w:type="dxa"/>
            <w:vAlign w:val="bottom"/>
          </w:tcPr>
          <w:p>
            <w:pPr>
              <w:spacing w:after="0"/>
              <w:rPr>
                <w:sz w:val="19"/>
                <w:szCs w:val="19"/>
                <w:color w:val="auto"/>
              </w:rPr>
            </w:pPr>
          </w:p>
        </w:tc>
      </w:tr>
      <w:tr>
        <w:trPr>
          <w:trHeight w:val="424"/>
        </w:trPr>
        <w:tc>
          <w:tcPr>
            <w:tcW w:w="6880" w:type="dxa"/>
            <w:vAlign w:val="bottom"/>
            <w:gridSpan w:val="2"/>
          </w:tcPr>
          <w:p>
            <w:pPr>
              <w:spacing w:after="0"/>
              <w:rPr>
                <w:sz w:val="20"/>
                <w:szCs w:val="20"/>
                <w:color w:val="auto"/>
              </w:rPr>
            </w:pPr>
            <w:r>
              <w:rPr>
                <w:rFonts w:ascii="Arial" w:cs="Arial" w:eastAsia="Arial" w:hAnsi="Arial"/>
                <w:sz w:val="18"/>
                <w:szCs w:val="18"/>
                <w:color w:val="auto"/>
              </w:rPr>
              <w:t>Additional information regarding the Company's stock options is as follows: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13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w:t>
            </w:r>
          </w:p>
        </w:tc>
        <w:tc>
          <w:tcPr>
            <w:tcW w:w="160" w:type="dxa"/>
            <w:vAlign w:val="bottom"/>
          </w:tcPr>
          <w:p>
            <w:pPr>
              <w:spacing w:after="0"/>
              <w:rPr>
                <w:sz w:val="24"/>
                <w:szCs w:val="2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Six months</w:t>
            </w:r>
          </w:p>
        </w:tc>
      </w:tr>
      <w:tr>
        <w:trPr>
          <w:trHeight w:val="149"/>
        </w:trPr>
        <w:tc>
          <w:tcPr>
            <w:tcW w:w="13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center"/>
              <w:ind w:left="249"/>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49"/>
        </w:trPr>
        <w:tc>
          <w:tcPr>
            <w:tcW w:w="13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June 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29,</w:t>
            </w:r>
          </w:p>
        </w:tc>
      </w:tr>
      <w:tr>
        <w:trPr>
          <w:trHeight w:val="161"/>
        </w:trPr>
        <w:tc>
          <w:tcPr>
            <w:tcW w:w="13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83"/>
              </w:rPr>
              <w:t>2012</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102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r>
      <w:tr>
        <w:trPr>
          <w:trHeight w:val="216"/>
        </w:trPr>
        <w:tc>
          <w:tcPr>
            <w:tcW w:w="13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intrinsic value of stock options exercised (in thousands)</w:t>
            </w:r>
          </w:p>
        </w:tc>
        <w:tc>
          <w:tcPr>
            <w:tcW w:w="102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the exercise of stock options (in thousands)</w:t>
            </w:r>
          </w:p>
        </w:tc>
        <w:tc>
          <w:tcPr>
            <w:tcW w:w="102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six months ended June 29, 2012 was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61"/>
        </w:trPr>
        <w:tc>
          <w:tcPr>
            <w:tcW w:w="6000" w:type="dxa"/>
            <w:vAlign w:val="bottom"/>
          </w:tcPr>
          <w:p>
            <w:pPr>
              <w:spacing w:after="0"/>
              <w:rPr>
                <w:sz w:val="14"/>
                <w:szCs w:val="14"/>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736,946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r>
      <w:tr>
        <w:trPr>
          <w:trHeight w:val="21"/>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June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r>
      <w:tr>
        <w:trPr>
          <w:trHeight w:val="27"/>
        </w:trPr>
        <w:tc>
          <w:tcPr>
            <w:tcW w:w="6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fair value of restricted stock award shares that vested during the six months ended June 29, 2012 was $0.8 million.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six months ended June 29, 2012 was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5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61"/>
        </w:trPr>
        <w:tc>
          <w:tcPr>
            <w:tcW w:w="5940" w:type="dxa"/>
            <w:vAlign w:val="bottom"/>
          </w:tcPr>
          <w:p>
            <w:pPr>
              <w:spacing w:after="0"/>
              <w:rPr>
                <w:sz w:val="14"/>
                <w:szCs w:val="14"/>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(1,715,056)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r>
      <w:tr>
        <w:trPr>
          <w:trHeight w:val="21"/>
        </w:trPr>
        <w:tc>
          <w:tcPr>
            <w:tcW w:w="5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June 29, 2012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At January 1, 2012, the Company had 1.7 million unvested shares of common stock related to performance-based stock awards. The performance conditions for these awards were not satisfied by December 31, 2011, the end of the performance period. As a result, these shares were forfeited on February 21, 2012, the date that the Company issued a press release reporting its financial results for the quarter and year ended December 31, 2011.</w:t>
      </w:r>
    </w:p>
    <w:p>
      <w:pPr>
        <w:spacing w:after="0" w:line="16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There are 2.5 million shares of the Company's common stock that are not included in the table above, as the Company has not yet established the performance conditions for these awards and accordingly, grant dates for these awards have not been established. The Company will begin to record stock-based compensation expense at the time that the performance conditions are defined and when it becomes probable that the respective performance conditions will be achieved.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condensed consolidated statements of operations include stock-based compensation for the three and six months ended June 29, 2012 and June 30, 2011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87"/>
              </w:rPr>
              <w:t>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29,</w:t>
            </w: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30,</w:t>
            </w:r>
          </w:p>
        </w:tc>
        <w:tc>
          <w:tcPr>
            <w:tcW w:w="240" w:type="dxa"/>
            <w:vAlign w:val="bottom"/>
          </w:tcPr>
          <w:p>
            <w:pPr>
              <w:spacing w:after="0"/>
              <w:rPr>
                <w:sz w:val="11"/>
                <w:szCs w:val="11"/>
                <w:color w:val="auto"/>
              </w:rPr>
            </w:pPr>
          </w:p>
        </w:tc>
        <w:tc>
          <w:tcPr>
            <w:tcW w:w="90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rPr>
              <w:t>June 29,</w:t>
            </w: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30,</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Sales and marketing</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958</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0" w:type="dxa"/>
            <w:vAlign w:val="bottom"/>
            <w:vMerge w:val="restart"/>
          </w:tcPr>
          <w:p>
            <w:pPr>
              <w:jc w:val="right"/>
              <w:ind w:right="332"/>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 (Continued)</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There was no income tax benefit for employee stock-based compensation expense for the six months ended June 29, 2012 or June 30, 2011 due to the income tax valuation allowance recorded.</w:t>
      </w:r>
    </w:p>
    <w:p>
      <w:pPr>
        <w:spacing w:after="0" w:line="186"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At June 29, 2012, there was $17.6 million, net of expected forfeitures, of unrecognized stock-based compensation expense related to unvested stock options and restricted stock awards. This expense is expected to be recognized over a weighted average period of approximately three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MAJOR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customers each contributed 10% or more of the Company's revenue in at least one of the three and six month periods ended June 29, 2012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2011:</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4"/>
              </w:rPr>
              <w:t>Three months ended</w:t>
            </w: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5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9"/>
              </w:rPr>
              <w:t>June 29,</w:t>
            </w: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6"/>
              </w:rPr>
              <w:t>June 30,</w:t>
            </w:r>
          </w:p>
        </w:tc>
        <w:tc>
          <w:tcPr>
            <w:tcW w:w="240" w:type="dxa"/>
            <w:vAlign w:val="bottom"/>
          </w:tcPr>
          <w:p>
            <w:pPr>
              <w:spacing w:after="0"/>
              <w:rPr>
                <w:sz w:val="11"/>
                <w:szCs w:val="11"/>
                <w:color w:val="auto"/>
              </w:rPr>
            </w:pPr>
          </w:p>
        </w:tc>
        <w:tc>
          <w:tcPr>
            <w:tcW w:w="5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June 29,</w:t>
            </w: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6100" w:type="dxa"/>
            <w:vAlign w:val="bottom"/>
            <w:gridSpan w:val="4"/>
          </w:tcPr>
          <w:p>
            <w:pPr>
              <w:spacing w:after="0"/>
              <w:rPr>
                <w:sz w:val="20"/>
                <w:szCs w:val="20"/>
                <w:color w:val="auto"/>
              </w:rPr>
            </w:pPr>
            <w:r>
              <w:rPr>
                <w:rFonts w:ascii="Arial" w:cs="Arial" w:eastAsia="Arial" w:hAnsi="Arial"/>
                <w:sz w:val="14"/>
                <w:szCs w:val="14"/>
                <w:b w:val="1"/>
                <w:bCs w:val="1"/>
                <w:color w:val="auto"/>
              </w:rPr>
              <w:t>Customer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800" w:type="dxa"/>
            <w:vAlign w:val="bottom"/>
            <w:gridSpan w:val="2"/>
          </w:tcPr>
          <w:p>
            <w:pPr>
              <w:jc w:val="center"/>
              <w:ind w:left="177"/>
              <w:spacing w:after="0"/>
              <w:rPr>
                <w:sz w:val="20"/>
                <w:szCs w:val="20"/>
                <w:color w:val="auto"/>
              </w:rPr>
            </w:pPr>
            <w:r>
              <w:rPr>
                <w:rFonts w:ascii="Arial" w:cs="Arial" w:eastAsia="Arial" w:hAnsi="Arial"/>
                <w:sz w:val="14"/>
                <w:szCs w:val="14"/>
                <w:b w:val="1"/>
                <w:bCs w:val="1"/>
                <w:color w:val="auto"/>
                <w:w w:val="83"/>
              </w:rPr>
              <w:t>2011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AT&amp;T Inc.</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w:t>
            </w:r>
          </w:p>
        </w:tc>
        <w:tc>
          <w:tcPr>
            <w:tcW w:w="800" w:type="dxa"/>
            <w:vAlign w:val="bottom"/>
            <w:gridSpan w:val="2"/>
            <w:shd w:val="clear" w:color="auto" w:fill="CCEEFF"/>
          </w:tcPr>
          <w:p>
            <w:pPr>
              <w:jc w:val="center"/>
              <w:ind w:left="1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Qwest Communications International, Inc.</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540" w:type="dxa"/>
            <w:vAlign w:val="bottom"/>
          </w:tcPr>
          <w:p>
            <w:pPr>
              <w:jc w:val="cente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center"/>
              <w:ind w:left="1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Bahamas Telecommunications Company Ltd.</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left="157"/>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At June 29, 2012, two customers each accounted for 10% or more of the Company's accounts receivable balance, representing approximately 34% in the aggregate of total accounts receivable. At December 31, 2011, one customer accounted for 10% or more of the Company's accounts receivable balance, representing approximately 21% of the Company's accounts receivable balance. The Company performs ongoing credit evaluations of its customers and generally does not require collateral on accounts receivable. The Company maintains an allowance for doubtful accounts and such losses have been within management's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GEOGRAPHIC INFORMATION</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Company's classification of revenue by geographic area is determined by the location to which the product is shipped or where the services are performed. The following table summarizes revenue by geographic area as a percentage of total revenue for the three and six months ended June 29, 2012 and June 30, 2011: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7"/>
              </w:rPr>
              <w:t>Three months ended</w:t>
            </w:r>
          </w:p>
        </w:tc>
        <w:tc>
          <w:tcPr>
            <w:tcW w:w="284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June 29,</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June 30,</w:t>
            </w:r>
          </w:p>
        </w:tc>
        <w:tc>
          <w:tcPr>
            <w:tcW w:w="24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June 29,</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June 30,</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Japan</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Asia Pacific</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00" w:type="dxa"/>
            <w:vAlign w:val="bottom"/>
            <w:vMerge w:val="restart"/>
          </w:tcPr>
          <w:p>
            <w:pPr>
              <w:jc w:val="right"/>
              <w:ind w:right="912"/>
              <w:spacing w:after="0"/>
              <w:rPr>
                <w:sz w:val="20"/>
                <w:szCs w:val="20"/>
                <w:color w:val="auto"/>
              </w:rPr>
            </w:pPr>
            <w:r>
              <w:rPr>
                <w:rFonts w:ascii="Arial" w:cs="Arial" w:eastAsia="Arial" w:hAnsi="Arial"/>
                <w:sz w:val="18"/>
                <w:szCs w:val="18"/>
                <w:color w:val="auto"/>
              </w:rPr>
              <w:t>20</w:t>
            </w: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GEOGRAPHIC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Bahamas Telecommunications Company Ltd. ("Bahamas Telecom") accounted for 30% of the Company's revenue in the six months ended June 30,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Bahamas Telecom is located in the Caribbean and is included as a component of "Other" in the table above.</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International revenue, both as a percentage of total revenue and absolute dollars, may vary from one period to the next, and accordingly, historical data may not be indicative of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Company's income tax provisions for the six months ended June 29, 2012 and June 30, 2011 reflect the Company's estimates of the effective rates expected to be applicable for the respective full fiscal years, adjusted for any discrete events, which are recorded in the period that they occur. These estimates are reevaluated each quarter based on the Company's estimated tax expense for the full fiscal year. The estimated effective rates for the six months ended June 29, 2012 and June 30, 2011 do not include any benefit for the Company's domestic losses, as the Company has concluded that a valuation allowance on any domestic benefit is required.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PROPOSED ACQUISITION OF NETWORK EQUIPMENT TECHNOLOGIES, INC.</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June 18, 2012, the Company and Network Equipment Technologies, Inc. ("NET") entered into a definitive agreement for Sonus to acquire NET in a cash merger. The purchase price of $1.35 per share values the transaction at approximately $42 million, excluding acquisition-related costs, and is expected to close in the third quarter of 2012, subject to NET stockholder approval, the satisfaction of customary closing conditions and any applicable regulatory reviews. The acquisition has been approved by the Boards of Directors of both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 in connection with the Company's initial public offering ("IPO") and seeking unspecified monetary damages. The purchaser sought to represent a class of persons who purchased the Company's common stock between the date of the IPO on May 24, 2000 and December 6, 2000. The amended complaint, filed in April 2002, alleged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after-market. The claims against the Company were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had filed substantially similar class action cases against approximately 300 other publicly-traded companies and their IPO underwriters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which, along with the actions against the Company, were transferred to a single federal judge for purposes of coordinated case management.</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October 5, 2009, the District Court issued an opinion granting plaintiffs' motion for final approval of a revised proposed settlement, plan of distribution of the settlement fund and certification of the settlement classes. An Order and Final Judgment was entered on January 14, 2010. On January 13, 2012, the United States Court of Appeals for the Second Circuit issued a mandate dismissing an appeal, thereby upholding the January 14, 2010 Order and Final Judgment and ending this case. The outcome of this litigation did not have a material impact on the Company's condensed consolidated financial statements.</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October 5, 2007, Vanessa Simmonds, a purported shareholder of the Company, filed a complaint in the United States District Court for the Western District of Washington (the "Western District Court") for recovery of short-swing profits under Section 16(b) of the Exchange Act against the underwriters in the IPO in 2000. On February 28, 2008, the plaintiff filed an amended complaint asserting substantially similar claims as set forth in the initial complaint. The amended complaint sought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Several other issuers and underwriters were subsequently named as defendants. On March 12, 2009, the Western District Court entered its judgment in the case and granted the moving issuers' motion to dismiss, finding plaintiff's demand letters were insufficient to put the issuers on notice of the claims asserted against them.</w:t>
      </w:r>
    </w:p>
    <w:p>
      <w:pPr>
        <w:spacing w:after="0" w:line="19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Following an appeal to the United States Court of Appeals for the Ninth Circuit (the "Ninth Circuit"), on December 2, 2010, the Ninth Circuit affirmed the Western District Court's decision to dismiss the moving issuers' cases (including the Company's) on the grounds that plaintiff's demand letters were insufficient to put the issuers on notice of the claims asserted against them and further ordered that the dismissals be made with prejudice. The Ninth Circuit, however, reversed and remanded the Western District Court's decision on the underwriters' motion to dismiss as to the claims arising from the non-moving issuers' IPOs, finding plaintiff's claims were not time-barred under the applicable statute of limitations. In remanding, the Ninth Circuit advised the non-moving issuers and underwriters to file in the Western District Court the same challenges to plaintiff's demand letters that moving issuers had filed.</w:t>
      </w:r>
    </w:p>
    <w:p>
      <w:pPr>
        <w:spacing w:after="0" w:line="17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On April 5, 2011, the plaintiff filed a Petition for Writ of Certiorari with the U.S. Supreme Court seeking reversal of the Ninth Circuit's December 2, 2010 decision relating to the adequacy of the pre-suit demand. On April 15, 2011, underwriter defendants filed a Petition for Writ of Certiorari with</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U.S. Supreme Court seeking reversal of the Ninth Circuit's December 2, 2010 decision relating to the statute of limitations issue. On June 27, 2011, the U.S. Supreme Court denied the plaintiff's petition regarding the demand issue and granted the underwriter defendants' petition relating to the statute of limitations issue. Oral arguments on underwriters' petition were heard on November 29, 2011. On March 26, 2012, the U.S. Supreme Court vacated the Ninth Circuit's holding that petitioner's claims were not time-barred, and remanded the cases to the Western District Court for proceedings consistent with the U.S. Supreme Court's opinion. On June 7, 2012, the mandate of the Ninth Circuit was formally entered. On June 11, 2012, the case was concluded when the plaintiff voluntarily dismissed the case with prejudice as to the adequacy-of-the-pre-suit demand issue, and without prejudice as to all other issues.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we are often a party to disputes and legal proceedings that we consider routine and incidental to our business. Management does not expect the results of any of these actions to have a material effect on our business or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August 7, 2012, the Company adopted a restructuring initiative to streamline operations and reduce its operating costs. The restructuring plan will result in a workforce reduction of approximately 90 people worldwide. The Company expects to record a restructuring charge of approximately $2.3 million for cash expenditures for severance and related costs in the third quarter of fiscal 2012. This restructuring charge does not include any potential restructuring and related costs associated with the proposed acquisition of NET.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The following discussion of the financial condition and results of operations of Sonus Networks, Inc. should be read in conjunction with the condensed consolidated financial statements and the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December 31, 2011, which was filed with the U.S. Securities and Exchange Commission on February 24,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are a leading provider of next-generation session initiation protocol ("SIP")-based solutions, including Voice over Internet Protocol ("VoIP"), video and Unified Communications through secure, reliable and scalable Internet Protocol ("IP") networks. Our infrastructure solutions allow efficient and reliable delivery of voice and multimedia sessions over IP networks while allowing our customers to manage the flows of such sessions in their networks using business policies.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Currently, we sell our products principally through a direct sales force in the United States, Europe, Asia-Pacific and the Middle East. We continue to expand our presence into new geographies and markets through our relationships with regional channel partners. In May 2012, we implemented our indirect sales channel program, which is focused primarily on enterprise customers, to capture a larger percentage of the Session Border Controller ("SBC") and Unified Communications markets.</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target customers are comprised of both service providers and enterprises. Customers and prospective customers in the service provider space are traditional and emerging communications service providers, including long distance carriers, local exchange carriers, Internet service providers, wireless operators, cable operators, international telephone companies and carriers that provide services to other carriers. Enterprise customers and target enterprise customers include financial institutions, retailers, state and local governments and other multinational corporations. We collaborate with our customers to identify and develop new, advanced services and applications that can help to reduce costs, improve productivity and generate new revenue.</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continue to focus on the key elements of our strategy, which is designed to capitalize on our technology and market lead, and build a premier franchise in multimedia infrastructure solutions. We are currently focusing our major efforts on the following aspects of our business:</w:t>
      </w:r>
    </w:p>
    <w:p>
      <w:pPr>
        <w:spacing w:after="0" w:line="199" w:lineRule="exact"/>
        <w:rPr>
          <w:sz w:val="20"/>
          <w:szCs w:val="20"/>
          <w:color w:val="auto"/>
        </w:rPr>
      </w:pPr>
    </w:p>
    <w:p>
      <w:pPr>
        <w:ind w:left="1080" w:right="4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our TDM (time division multiplexing)-to-IP gateway technology leadership with service providers to accelerate adoption of SIP-enabled Unified Communication services;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solutions to address emerging IP-based markets, such as SBC;</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embracing the principles outlined by 3GPP, 4GPP2 and LTE architectures and delivering the industry's most advanced IMS (IP Multimedia Subsystem)-ready SBC product suite;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the enterprise for SIP trunking solutions;</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global sales distribution, marketing and support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actively contributing to the SIP standards definition and adoption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pursuing strategic transactions and alliances.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reported losses from operations of $11.8 million for the three months ended June 29, 2012 and $6.7 million for the three months ended June 30,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reported losses from operations of $18.0 million for the six months ended June 29, 2012 and $18.2 million for the six months ended June 30, 2011.</w:t>
      </w:r>
    </w:p>
    <w:p>
      <w:pPr>
        <w:spacing w:after="0" w:line="24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reported net losses of $11.7 million for the three months ended June 29, 2012 and $5.9 million for the three months ended June 30, 2011. We reported net losses of $18.2 million for the six months ended June 29, 2012 and $18.3 million for the six months ended June 30, 2011.</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revenue increased by $5.8 million in the three months ended June 29, 2012, compared to the three months ended June 30, 2011, and by $2.9 million in the six months ended June 29, 2012, compared to the six months ended June 30, 2011. Our gross profit increased by $2.9 million, to $32.8 million, in the three months ended June 29, 2012, compared to the three months ended June 30, 2011. Our gross profit increased by $18.0 million, to $74.5 million, in the six months ended June 29, 2012, compared to the six months ended June 30, 2011.</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gross profit as a percentage of revenue ("total gross margin") was 56.9% in the three months ended June 29, 2012 and 57.8% in the three months ended June 30, 2011. Our total gross margin was 61.1% in the six months ended June 29, 2012 and 47.5% in the six months ended June 30, 2011.</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Operating expenses increased $7.9 million, to $44.6 million, for the three months ended June 29, 2012, compared to $36.7 million for the three months ended June 30, 2011. Operating expenses increased $17.7 million, to $92.5 million, for the six months ended June 29, 2012, compared to $74.8 million for the six months ended June 30, 2011.</w:t>
      </w:r>
    </w:p>
    <w:p>
      <w:pPr>
        <w:spacing w:after="0" w:line="194"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See "Results of Operations" in this Management's Discussion and Analysis of Financial Condition and Results of Operations for a discussion of these changes in our revenue and expenses.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June 18, 2012, we and Network Equipment Technologies, Inc. ("NET") entered into a definitive agreement for Sonus to acquire NET in a cash merger. The purchase price of $1.35 per share values the transaction at approximately $42 million, excluding acquisition-related costs, and is expected to close in the third quarter of 2012, subject to NET stockholder approval, the satisfaction of customary closing conditions and any applicable regulatory reviews. The acquisition has been approved by the Boards of Directors of both companies.</w:t>
      </w:r>
    </w:p>
    <w:p>
      <w:pPr>
        <w:spacing w:after="0" w:line="19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On August 7, 2012, we adopted a restructuring initiative to streamline operations and reduce our operating costs. The restructuring plan will result in a workforce reduction of approximately 90 people worldwide. We expect to record a restructuring charge of approximately $2.3 million for cash expenditures for severance and related costs in the third quarter of fiscal 2012. This restructuring charge does not include any potential restructuring and related costs associated with the proposed acquisition of NET.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condensed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The significant accounting policies that we believe are the most critical include the following:</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a further discussion of our critical accounting policies and estimates, please refer to our Annual Report on Form 10-K for the fiscal year ended December 31, 2011, which was filed with the U.S. Securities and Exchange Commission on February 24, 2012. There were no significant changes to our critical accounting policies from December 31, 2011 through June 29,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29, 2012 and June 30, 2011</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and six months ended June 29, 2012 and June 30, 2011 was as follows (in thousands, except percentages):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center"/>
              <w:ind w:left="202"/>
              <w:spacing w:after="0"/>
              <w:rPr>
                <w:sz w:val="20"/>
                <w:szCs w:val="20"/>
                <w:color w:val="auto"/>
              </w:rPr>
            </w:pPr>
            <w:r>
              <w:rPr>
                <w:rFonts w:ascii="Arial" w:cs="Arial" w:eastAsia="Arial" w:hAnsi="Arial"/>
                <w:sz w:val="14"/>
                <w:szCs w:val="14"/>
                <w:b w:val="1"/>
                <w:bCs w:val="1"/>
                <w:color w:val="auto"/>
                <w:w w:val="84"/>
              </w:rPr>
              <w:t>Increase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5"/>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from prior year</w:t>
            </w: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32,586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29,446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3,140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25,024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22,326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4"/>
              </w:rPr>
              <w:t>2,698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r>
      <w:tr>
        <w:trPr>
          <w:trHeight w:val="21"/>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57,610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51,772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5,838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w w:val="88"/>
              </w:rPr>
              <w:t>Increase (decrease)</w:t>
            </w: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w w:val="85"/>
              </w:rPr>
              <w:t>June 29,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gridSpan w:val="4"/>
          </w:tcPr>
          <w:p>
            <w:pPr>
              <w:jc w:val="right"/>
              <w:ind w:right="1220"/>
              <w:spacing w:after="0" w:line="129" w:lineRule="exact"/>
              <w:rPr>
                <w:sz w:val="20"/>
                <w:szCs w:val="20"/>
                <w:color w:val="auto"/>
              </w:rPr>
            </w:pPr>
            <w:r>
              <w:rPr>
                <w:rFonts w:ascii="Arial" w:cs="Arial" w:eastAsia="Arial" w:hAnsi="Arial"/>
                <w:sz w:val="14"/>
                <w:szCs w:val="14"/>
                <w:b w:val="1"/>
                <w:bCs w:val="1"/>
                <w:color w:val="auto"/>
              </w:rPr>
              <w:t>from prior year</w:t>
            </w: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13.1%</w:t>
            </w: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Service</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47,952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53,672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(5,720)</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(10.7)%</w:t>
            </w: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121,949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119,071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Product revenue is comprised of sales of our communication infrastructure products. The products typically incorporated into our trunking and communication application solutions include our GSX9000 and GSX4000 Open Services Switches and our ASX Voice Application Server. The products typically incorporated into our SBC solutions include our SBC 9000 (formerly the NBS9000), SBC 5200 (formerly the NBS5200) and new SBC 5100 Session Border Controllers. Certain of our products may be incorporated into either our trunking, communication applications or SBC solutions; these products include, but are not limited to, our PSX Policy &amp; Routing Server, SGX Signaling Gateway, Sonus Insight Management System, ASX Access Gateway Control Function and our suite of network analytical products.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Product revenue for the three and six months ended June 29, 2012 and June 30, 2011 was comprised of the following (in thousands, except percentages):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8"/>
              </w:rPr>
              <w:t>Increase (decrease)</w:t>
            </w: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4"/>
          </w:tcPr>
          <w:p>
            <w:pPr>
              <w:ind w:left="180"/>
              <w:spacing w:after="0" w:line="129" w:lineRule="exact"/>
              <w:rPr>
                <w:sz w:val="20"/>
                <w:szCs w:val="20"/>
                <w:color w:val="auto"/>
              </w:rPr>
            </w:pPr>
            <w:r>
              <w:rPr>
                <w:rFonts w:ascii="Arial" w:cs="Arial" w:eastAsia="Arial" w:hAnsi="Arial"/>
                <w:sz w:val="14"/>
                <w:szCs w:val="14"/>
                <w:b w:val="1"/>
                <w:bCs w:val="1"/>
                <w:color w:val="auto"/>
              </w:rPr>
              <w:t>from prior year</w:t>
            </w: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Trunking and communication applications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19,063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21,717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SBC</w:t>
            </w:r>
          </w:p>
        </w:tc>
        <w:tc>
          <w:tcPr>
            <w:tcW w:w="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87"/>
              </w:rPr>
              <w:t>13,523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4"/>
              </w:rPr>
              <w:t>7,729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5,794</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75.0%</w:t>
            </w: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32,586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29,446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gridSpan w:val="3"/>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8"/>
              </w:rPr>
              <w:t>Increase (decrease)</w:t>
            </w: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4"/>
          </w:tcPr>
          <w:p>
            <w:pPr>
              <w:ind w:left="180"/>
              <w:spacing w:after="0" w:line="129" w:lineRule="exact"/>
              <w:rPr>
                <w:sz w:val="20"/>
                <w:szCs w:val="20"/>
                <w:color w:val="auto"/>
              </w:rPr>
            </w:pPr>
            <w:r>
              <w:rPr>
                <w:rFonts w:ascii="Arial" w:cs="Arial" w:eastAsia="Arial" w:hAnsi="Arial"/>
                <w:sz w:val="14"/>
                <w:szCs w:val="14"/>
                <w:b w:val="1"/>
                <w:bCs w:val="1"/>
                <w:color w:val="auto"/>
              </w:rPr>
              <w:t>from prior year</w:t>
            </w: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Trunking and communication applications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47,323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55,396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SBC</w:t>
            </w:r>
          </w:p>
        </w:tc>
        <w:tc>
          <w:tcPr>
            <w:tcW w:w="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87"/>
              </w:rPr>
              <w:t>26,674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10,003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16,671</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166.7%</w:t>
            </w: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73,997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65,399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recognized $1.9 million of product revenue in the aggregate from six new customers in the three months ended June 29, 2012 and $2.4 million of product revenue in the aggregate from ten new customers in the six months ended June 29, 2012. We recognized $24.4 million of product revenue from a multi-year project for Bahamas Telecommunications Company Ltd. ("Bahamas Telecom") that was completed and for which all revenue recognition criteria were met in the first quarter of fiscal 2011. Bahamas Telecom was our only new customer for both products and service revenue in the six months ended June 30, 2011. New customers are those from whom we recognize revenue for the first time, although we may have had outstanding orders from such customers for several years, especially for certain multi-year projects. The timing of the completion of customer projects, revenue recognition criteria satisfaction and customer payments included in multiple element arrangements may cause our product revenue to fluctuate from one quarter to the next.</w:t>
      </w:r>
    </w:p>
    <w:p>
      <w:pPr>
        <w:spacing w:after="0" w:line="17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Service revenue is primarily comprised of hardware and software maintenance and support ("maintenance revenue") and network design, installation and other professional services ("professional services revenue").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Service revenue for the three and six months ended June 29, 2012 and June 30, 2011 was comprised of the following (in thousands, except percentages):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gridSpan w:val="6"/>
          </w:tcPr>
          <w:p>
            <w:pPr>
              <w:ind w:left="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2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18,705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18,789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Professional services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4"/>
              </w:rPr>
              <w:t>6,319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4"/>
              </w:rPr>
              <w:t>3,537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2,782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78.7%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service revenue</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25,024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22,326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ind w:left="340"/>
              <w:spacing w:after="0"/>
              <w:rPr>
                <w:sz w:val="20"/>
                <w:szCs w:val="20"/>
                <w:color w:val="auto"/>
              </w:rPr>
            </w:pPr>
            <w:r>
              <w:rPr>
                <w:rFonts w:ascii="Arial" w:cs="Arial" w:eastAsia="Arial" w:hAnsi="Arial"/>
                <w:sz w:val="14"/>
                <w:szCs w:val="14"/>
                <w:b w:val="1"/>
                <w:bCs w:val="1"/>
                <w:color w:val="auto"/>
                <w:w w:val="86"/>
              </w:rPr>
              <w:t>(Decrease)</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2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37,329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37,710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Professional services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10,623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15,962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(5,339)</w:t>
            </w:r>
          </w:p>
        </w:tc>
        <w:tc>
          <w:tcPr>
            <w:tcW w:w="2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(33.4)%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service revenue</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47,952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53,672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100" w:type="dxa"/>
            <w:vAlign w:val="bottom"/>
            <w:vMerge w:val="restart"/>
          </w:tcPr>
          <w:p>
            <w:pPr>
              <w:jc w:val="right"/>
              <w:ind w:right="4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increase in service revenue in the three months ended June 29, 2012 compared to the three months ended June 30, 2011 is attributable to $2.8 million of higher professional services revenue, partially offset by $0.1 million of lower maintenance revenue. The decrease in service revenue in the six months ended June 29, 2012 compared to the six months ended June 30, 2011 is attributable to $0.4 million of lower maintenance revenue and $5.3 million of lower professional services revenue. In the six months ended June 30, 2011, we recognized $11.5 million of service revenue from the completion of the Bahamas Telecom project described above, comprised of $1.2 million of maintenance revenue and $10.3 million of professional services revenue. The completion of this large, multi-year project accounted for the majority of the service revenue fluctuation between the six months ended June 29, 2012 and June 30, 2011. The timing of the completion of projects for revenue recognition, customer payments and maintenance contracts may cause our services revenue to fluctuate from one quarter to the next.</w:t>
      </w:r>
    </w:p>
    <w:p>
      <w:pPr>
        <w:spacing w:after="0" w:line="172"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AT&amp;T Inc. ("AT&amp;T") contributed approximately 27% of our revenue in the three months ended June 29, 2012 and approximately 31% of our revenue in the six months ended June 29, 2012. Qwest Communications International, Inc. (now part of CenturyLink) contributed approximately 13% and AT&amp;T contributed approximately 12% of our revenue in the three months ended June 30, 2011. Bahamas Telecom contributed approximately 30% of our revenue in the six months ended June 30, 2011. There were no other customers that contributed 10% or more of our revenue in the three or six months ended June 29, 2012 or June 30, 2011.</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International revenue was approximately 27% of our revenue in the three months ended June 29, 2012 and approximately 22% of our revenue in the three months ended June 30, 2011. International revenue was approximately 26% of our revenue in the six months ended June 29, 2012 and approximately 45% of our revenue in the six months ended June 30, 2011. Due to the timing of project completions, we expect that the domestic and international components as a percentage of our revenue will fluctuate from quarter to quarter and year to year.</w:t>
      </w:r>
    </w:p>
    <w:p>
      <w:pPr>
        <w:spacing w:after="0" w:line="19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Our deferred product revenue was $9.4 million at June 29, 2012 and $8.9 million at December 31, 2011. Our deferred service revenue was $37.8 million at June 29, 2012 and $41.3 million at December 31, 2011. Our deferred revenue balance may fluctuate as a result of the timing of revenue recognition, customer payments, maintenance contract renewals, contractual billing rights and maintenance revenue deferrals included in multiple-element arrangements.</w:t>
      </w:r>
    </w:p>
    <w:p>
      <w:pPr>
        <w:spacing w:after="0" w:line="161"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b w:val="1"/>
          <w:bCs w:val="1"/>
          <w:i w:val="1"/>
          <w:iCs w:val="1"/>
          <w:color w:val="auto"/>
        </w:rPr>
        <w:t xml:space="preserve">Cost of Revenue/Gross Profit. </w:t>
      </w:r>
      <w:r>
        <w:rPr>
          <w:rFonts w:ascii="Arial" w:cs="Arial" w:eastAsia="Arial" w:hAnsi="Arial"/>
          <w:sz w:val="15"/>
          <w:szCs w:val="15"/>
          <w:color w:val="auto"/>
        </w:rPr>
        <w:t>Our cost of revenue consists primarily of amounts paid to third-party manufacturers for purchased materials and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royalties, manufacturing and professional services personnel and related costs, and provision for inventory obsolescence. Our cost of revenue and gross profit as a percentage of revenue ("gross margin") for the three and six months ended June 29, 2012 and June 30, 2011 was as follows (in thousands, except percentages):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center"/>
              <w:ind w:left="202"/>
              <w:spacing w:after="0"/>
              <w:rPr>
                <w:sz w:val="20"/>
                <w:szCs w:val="20"/>
                <w:color w:val="auto"/>
              </w:rPr>
            </w:pPr>
            <w:r>
              <w:rPr>
                <w:rFonts w:ascii="Arial" w:cs="Arial" w:eastAsia="Arial" w:hAnsi="Arial"/>
                <w:sz w:val="14"/>
                <w:szCs w:val="14"/>
                <w:b w:val="1"/>
                <w:bCs w:val="1"/>
                <w:color w:val="auto"/>
                <w:w w:val="84"/>
              </w:rPr>
              <w:t>Increase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5"/>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Product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11,027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9,618</w:t>
            </w: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ind w:left="100"/>
              <w:spacing w:after="0"/>
              <w:rPr>
                <w:sz w:val="20"/>
                <w:szCs w:val="20"/>
                <w:color w:val="auto"/>
              </w:rPr>
            </w:pPr>
            <w:r>
              <w:rPr>
                <w:rFonts w:ascii="Arial" w:cs="Arial" w:eastAsia="Arial" w:hAnsi="Arial"/>
                <w:sz w:val="18"/>
                <w:szCs w:val="18"/>
                <w:color w:val="auto"/>
                <w:w w:val="84"/>
              </w:rPr>
              <w:t>1,409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13,788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1,570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vMerge w:val="restart"/>
          </w:tcPr>
          <w:p>
            <w:pPr>
              <w:ind w:left="34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3"/>
              </w:rPr>
              <w:t>24,815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21,836</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4"/>
              </w:rPr>
              <w:t>2,979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160" w:type="dxa"/>
            <w:vAlign w:val="bottom"/>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140" w:type="dxa"/>
            <w:vAlign w:val="bottom"/>
          </w:tcPr>
          <w:p>
            <w:pPr>
              <w:spacing w:after="0"/>
              <w:rPr>
                <w:sz w:val="3"/>
                <w:szCs w:val="3"/>
                <w:color w:val="auto"/>
              </w:rPr>
            </w:pPr>
          </w:p>
        </w:tc>
      </w:tr>
      <w:tr>
        <w:trPr>
          <w:trHeight w:val="197"/>
        </w:trPr>
        <w:tc>
          <w:tcPr>
            <w:tcW w:w="1160" w:type="dxa"/>
            <w:vAlign w:val="bottom"/>
          </w:tcPr>
          <w:p>
            <w:pPr>
              <w:spacing w:after="0"/>
              <w:rPr>
                <w:sz w:val="17"/>
                <w:szCs w:val="17"/>
                <w:color w:val="auto"/>
              </w:rPr>
            </w:pPr>
          </w:p>
        </w:tc>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Product</w:t>
            </w:r>
          </w:p>
        </w:tc>
        <w:tc>
          <w:tcPr>
            <w:tcW w:w="3440" w:type="dxa"/>
            <w:vAlign w:val="bottom"/>
            <w:gridSpan w:val="3"/>
          </w:tcPr>
          <w:p>
            <w:pPr>
              <w:jc w:val="right"/>
              <w:ind w:right="20"/>
              <w:spacing w:after="0"/>
              <w:rPr>
                <w:sz w:val="20"/>
                <w:szCs w:val="20"/>
                <w:color w:val="auto"/>
              </w:rPr>
            </w:pPr>
            <w:r>
              <w:rPr>
                <w:rFonts w:ascii="Arial" w:cs="Arial" w:eastAsia="Arial" w:hAnsi="Arial"/>
                <w:sz w:val="18"/>
                <w:szCs w:val="18"/>
                <w:color w:val="auto"/>
              </w:rPr>
              <w:t>66.2%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3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060" w:type="dxa"/>
            <w:vAlign w:val="bottom"/>
          </w:tcPr>
          <w:p>
            <w:pPr>
              <w:ind w:left="340"/>
              <w:spacing w:after="0"/>
              <w:rPr>
                <w:sz w:val="20"/>
                <w:szCs w:val="20"/>
                <w:color w:val="auto"/>
              </w:rPr>
            </w:pPr>
            <w:r>
              <w:rPr>
                <w:rFonts w:ascii="Arial" w:cs="Arial" w:eastAsia="Arial" w:hAnsi="Arial"/>
                <w:sz w:val="18"/>
                <w:szCs w:val="18"/>
                <w:color w:val="auto"/>
              </w:rPr>
              <w:t>Total gross margin</w:t>
            </w:r>
          </w:p>
        </w:tc>
        <w:tc>
          <w:tcPr>
            <w:tcW w:w="3440" w:type="dxa"/>
            <w:vAlign w:val="bottom"/>
            <w:gridSpan w:val="3"/>
          </w:tcPr>
          <w:p>
            <w:pPr>
              <w:jc w:val="right"/>
              <w:ind w:right="20"/>
              <w:spacing w:after="0"/>
              <w:rPr>
                <w:sz w:val="20"/>
                <w:szCs w:val="20"/>
                <w:color w:val="auto"/>
              </w:rPr>
            </w:pPr>
            <w:r>
              <w:rPr>
                <w:rFonts w:ascii="Arial" w:cs="Arial" w:eastAsia="Arial" w:hAnsi="Arial"/>
                <w:sz w:val="18"/>
                <w:szCs w:val="18"/>
                <w:color w:val="auto"/>
              </w:rPr>
              <w:t>56.9%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80" w:type="dxa"/>
            <w:vAlign w:val="bottom"/>
          </w:tcPr>
          <w:p>
            <w:pPr>
              <w:jc w:val="right"/>
              <w:ind w:right="912"/>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5"/>
          </w:tcPr>
          <w:p>
            <w:pPr>
              <w:jc w:val="right"/>
              <w:ind w:right="960"/>
              <w:spacing w:after="0" w:line="129" w:lineRule="exact"/>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Product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100"/>
              <w:spacing w:after="0"/>
              <w:rPr>
                <w:sz w:val="20"/>
                <w:szCs w:val="20"/>
                <w:color w:val="auto"/>
              </w:rPr>
            </w:pPr>
            <w:r>
              <w:rPr>
                <w:rFonts w:ascii="Arial" w:cs="Arial" w:eastAsia="Arial" w:hAnsi="Arial"/>
                <w:sz w:val="18"/>
                <w:szCs w:val="18"/>
                <w:color w:val="auto"/>
                <w:w w:val="87"/>
              </w:rPr>
              <w:t>20,220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32,779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(12,559)</w:t>
            </w:r>
          </w:p>
        </w:tc>
        <w:tc>
          <w:tcPr>
            <w:tcW w:w="2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27,180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29,731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vMerge w:val="restart"/>
          </w:tcPr>
          <w:p>
            <w:pPr>
              <w:ind w:left="34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7"/>
              </w:rPr>
              <w:t>47,400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3"/>
              </w:rPr>
              <w:t>62,510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(15,110)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r>
      <w:tr>
        <w:trPr>
          <w:trHeight w:val="197"/>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Product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7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Total gross margin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1" w:lineRule="exact"/>
        <w:rPr>
          <w:sz w:val="20"/>
          <w:szCs w:val="20"/>
          <w:color w:val="auto"/>
        </w:rPr>
      </w:pPr>
    </w:p>
    <w:p>
      <w:pPr>
        <w:ind w:right="200" w:firstLine="348"/>
        <w:spacing w:after="0" w:line="289" w:lineRule="auto"/>
        <w:rPr>
          <w:sz w:val="20"/>
          <w:szCs w:val="20"/>
          <w:color w:val="auto"/>
        </w:rPr>
      </w:pPr>
      <w:r>
        <w:rPr>
          <w:rFonts w:ascii="Arial" w:cs="Arial" w:eastAsia="Arial" w:hAnsi="Arial"/>
          <w:sz w:val="16"/>
          <w:szCs w:val="16"/>
          <w:color w:val="auto"/>
        </w:rPr>
        <w:t>The decrease in product gross margin in the three months ended June 29, 2012 compared to the three months ended June 30, 2011 was primarily due to higher manufacturing operations costs, which decreased our gross margin by approximately two percentage points, partially offset by the impact of product and customer mix, which increased our product gross margin by approximately one percentage point. The increase in product gross margin in the six months ended June 29, 2012 compared to the six months ended June 30, 2011 was primarily due to lower third-party costs, which increased our product gross margin by approximately 24 percentage points, partially offset by higher manufacturing operations costs, which decreased our product gross margin by approximately one percentage point. Our product gross margin in the six months ended June 29, 2012 benefitted from the absence of third-party costs related to the Bahamas Telecom project, which was completed in the first quarter of fiscal 2011, and which had negatively impacted our product gross margin for the six months ended June 30, 2011 by approximately 20 percentage points.</w:t>
      </w:r>
    </w:p>
    <w:p>
      <w:pPr>
        <w:spacing w:after="0" w:line="172"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decrease in service gross margin in the three months ended June 29, 2012 compared to the three months ended June 30, 2011 was primarily attributable to higher costs within the service organization, which decreased our service gross margin by approximately one percentage point, partially offset by lower third-party costs, which increased our service gross margin by approximately one-half of one percentage point. The decrease in service gross margin in the six months ended June 29, 2012 compared to the six months ended June 30, 2011 was primarily attributable to higher costs within the service organization, which decreased our service gross margin by approximately ten percentage points, partially offset by lower third-party costs, which increased our service gross margin by approximately nine percentage points. Our service gross margin in the six months ended June 29, 2012 benefitted from the absence of costs for the lower gross margin Bahamas Telecom project, which had negatively impacted our service gross margin for the six months ended June 30, 2011 by approximately nine percentage points. The higher costs within the service organization are primarily related to increased headcount in our customer support organization in support of our expanding customer base and new product initiatives. Our service cost of revenue is relatively fixed in advance of any particular quarter and therefore, changes in service revenue will typically have a significant impact on service gross margins.</w:t>
      </w:r>
    </w:p>
    <w:p>
      <w:pPr>
        <w:spacing w:after="0" w:line="17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 Research and development expenses for the three and six months ended June 29, 2012 and June 30, 2011 were as follows (in thousands, except percentages):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9"/>
              </w:rPr>
              <w:t>Increase from prior</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83"/>
              </w:rPr>
              <w:t>June 29,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83"/>
              </w:rPr>
              <w:t>June 30, 2011</w:t>
            </w:r>
          </w:p>
        </w:tc>
        <w:tc>
          <w:tcPr>
            <w:tcW w:w="160" w:type="dxa"/>
            <w:vAlign w:val="bottom"/>
            <w:vMerge w:val="restart"/>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left="202"/>
              <w:spacing w:after="0"/>
              <w:rPr>
                <w:sz w:val="20"/>
                <w:szCs w:val="20"/>
                <w:color w:val="auto"/>
              </w:rPr>
            </w:pPr>
            <w:r>
              <w:rPr>
                <w:rFonts w:ascii="Arial" w:cs="Arial" w:eastAsia="Arial" w:hAnsi="Arial"/>
                <w:sz w:val="14"/>
                <w:szCs w:val="14"/>
                <w:b w:val="1"/>
                <w:bCs w:val="1"/>
                <w:color w:val="auto"/>
                <w:w w:val="90"/>
              </w:rPr>
              <w:t>year</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1,908</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12.6%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Six months ended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35,482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30,795</w:t>
            </w:r>
          </w:p>
        </w:tc>
        <w:tc>
          <w:tcPr>
            <w:tcW w:w="1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4,687</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86"/>
              </w:rPr>
              <w:t>15.2%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increase in research and development expenses in the three months ended June 29, 2012 compared to the three months ended June 30, 2011 is attributable to $2.9 million of higher employee-related costs to support our product initiatives, partially offset by $1.0 million of lower expense for product development (third-party development, prototype and test equipment costs). The increase in employee-related expenses is comprised of $2.8 million of higher salary and related expenses and $0.1 million of higher stock-based compensation expense.</w:t>
      </w:r>
    </w:p>
    <w:p>
      <w:pPr>
        <w:spacing w:after="0" w:line="197"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increase in research and development expenses in the six months ended June 29, 2012 compared to the six months ended June 30, 2011 is attributable to $4.8 million of higher employee-related costs, partially offset by $0.1 million of net decreases in other research and development expenses. The increase in employee-related expenses is comprised of $4.6 million of higher salary and related expenses and $0.2 million of higher stock-based compensation expense.</w:t>
      </w:r>
    </w:p>
    <w:p>
      <w:pPr>
        <w:spacing w:after="0" w:line="14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Some aspects of our research and development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2012 will increase from fiscal 2011 levels due to our increased focus on new product development.</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consist primarily of salaries and related personnel costs, commissions, travel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expenses, promotions, customer trial and evaluations inventory and other marketing and sales support expenses. Sales and marketing expenses for the three and six months ended June 29, 2012 and June 30, 2011 were as follows (in thousands, except percentages):</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Increase from prior</w:t>
            </w: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83"/>
              </w:rPr>
              <w:t>June 29,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83"/>
              </w:rPr>
              <w:t>June 30, 2011</w:t>
            </w:r>
          </w:p>
        </w:tc>
        <w:tc>
          <w:tcPr>
            <w:tcW w:w="160" w:type="dxa"/>
            <w:vAlign w:val="bottom"/>
            <w:vMerge w:val="restart"/>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left="202"/>
              <w:spacing w:after="0"/>
              <w:rPr>
                <w:sz w:val="20"/>
                <w:szCs w:val="20"/>
                <w:color w:val="auto"/>
              </w:rPr>
            </w:pPr>
            <w:r>
              <w:rPr>
                <w:rFonts w:ascii="Arial" w:cs="Arial" w:eastAsia="Arial" w:hAnsi="Arial"/>
                <w:sz w:val="14"/>
                <w:szCs w:val="14"/>
                <w:b w:val="1"/>
                <w:bCs w:val="1"/>
                <w:color w:val="auto"/>
                <w:w w:val="90"/>
              </w:rPr>
              <w:t>year</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4,843</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36.4%</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Six months ended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27,595</w:t>
            </w:r>
          </w:p>
        </w:tc>
        <w:tc>
          <w:tcPr>
            <w:tcW w:w="1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11,131</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86"/>
              </w:rPr>
              <w:t>40.3%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increase in sales and marketing expenses in the three months ended June 29, 2012 compared to the three months ended June 30, 2011 is attributable to $5.1 million of higher employee-related expenses and $0.3 million of higher marketing and trade show expenses, partially offset by $0.6 million of net decreases in other sales and marketing expenses. The higher employee-related expense is primarily attributable to higher headcount related to our continued focus on expanded geographical coverage and is comprised of $4.5 million of higher salary-related and commissions expense and $0.7 million of higher employee recruiting, travel and training expenses, partially offset by $0.1 million of lower stock-based compensation expense.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in sales and marketing expenses in the six months ended June 29, 2012 compared to the six months ended June 30, 2011 is attributable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$10.6 million of higher employee-related expenses, $0.4 million of higher marketing and trade show expenses and $0.1 million of net increases in other sales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marketing expenses. The higher employee-related expense is primarily attributable to the aforementioned higher headcount and is comprised of $8.7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salary-related and commissions expense and $2.0 million of higher employee recruiting, travel and training expenses, partially offset by $0.1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lower stock-based compensation expense.</w:t>
      </w:r>
    </w:p>
    <w:p>
      <w:pPr>
        <w:spacing w:after="0" w:line="219"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believe that our sales and marketing expenses will increase in fiscal 2012 from fiscal 2011 levels, primarily attributable to higher personnel and related costs.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primarily of salaries and related personnel costs for executive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personnel, recruiting expenses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audit and professional fees. General and administrative expenses for the three and six months ended June 29, 2012 and June 30, 2011 were as follows (in thousands, except percentages):</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Increase from prior</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83"/>
              </w:rPr>
              <w:t>June 29,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83"/>
              </w:rPr>
              <w:t>June 30, 2011</w:t>
            </w:r>
          </w:p>
        </w:tc>
        <w:tc>
          <w:tcPr>
            <w:tcW w:w="160" w:type="dxa"/>
            <w:vAlign w:val="bottom"/>
            <w:vMerge w:val="restart"/>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left="202"/>
              <w:spacing w:after="0"/>
              <w:rPr>
                <w:sz w:val="20"/>
                <w:szCs w:val="20"/>
                <w:color w:val="auto"/>
              </w:rPr>
            </w:pPr>
            <w:r>
              <w:rPr>
                <w:rFonts w:ascii="Arial" w:cs="Arial" w:eastAsia="Arial" w:hAnsi="Arial"/>
                <w:sz w:val="14"/>
                <w:szCs w:val="14"/>
                <w:b w:val="1"/>
                <w:bCs w:val="1"/>
                <w:color w:val="auto"/>
                <w:w w:val="90"/>
              </w:rPr>
              <w:t>year</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1,154</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14.1%</w:t>
            </w: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Six months ended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16,393</w:t>
            </w:r>
          </w:p>
        </w:tc>
        <w:tc>
          <w:tcPr>
            <w:tcW w:w="1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1,937</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increase in general and administrative expenses in the three months ended June 29, 2012 compared to the three months ended June 30, 2011 is attributable to $1.0 million of acquisition-related expenses, $0.5 million of higher employee-related expenses, $0.1 million of higher expense related to foreign currency translation and $0.1 million of net increases in other general and administrative expenses. These increases were partially offset by $0.5 million of lower audit and professional fees (legal and consulting fees unrelated to acquisitions). The acquisition-related expenses are in connection with our recent announcement that we had entered into a definitive agreement to acquire NET in a cash merger. The increase in employee-related expenses is comprised of $0.6 million of higher salary and related expenses, partially offset by $0.1 million of lower expenses for employee recruiting and training.</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increase in general and administrative expenses in the six months ended June 29, 2012 compared to the six months ended June 30, 2011 is attributable to $1.0 million of acquisition-related expenses, $1.0 million of higher employee-related expenses, $0.5 million of higher expense related to foreign currency translation and $0.1 million of net increases in other general and administrative expenses. These increases were partially offset by $0.7 million of lower audit and professional fees. The increase in employee-related expenses is comprised of $0.8 million of higher salary and related expenses and $0.3 million of higher stock-based compensation expense, partially offset by $0.1 million of lower expenses for employee recruiting and training.</w:t>
      </w:r>
    </w:p>
    <w:p>
      <w:pPr>
        <w:spacing w:after="0" w:line="170"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believe that our general and administrative expenses will increase in fiscal 2012 from fiscal 2011 levels, primarily due to acquisition-related expenses and higher employee-related expenses.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consists of interest earned on our cash equivalents, marketable securities and long-term investments.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relates to interest on capital lease obligations. Our interest income, net, decreased $0.1 million in the three months ended June 29, 2012 compared to the three months ended June 30, 2011. Our interest income, net, decreased $0.3 million in the six months ended June 29, 2012 compared to the six months ended June 30, 2011. The decreases in the current year periods compared to the prior year periods are attributable to a lower average portfolio yield coupled with lower invested amounts in the current year period.</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provisions for income taxes of $0.6 million for the six months ended June 29, 2012 and $0.9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2011. 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fiscal year.</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provisions for income taxes for the six months ended June 29, 2012 and June 30, 2011 represent forecasted tax expense on the earnings of our foreign operations. Our effective tax rate for both three year periods was less than the statutory federal and state rates due to the existence of a valuation allowance on our domestic losses.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condensed consolidated statements of cash flows are summarized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June 29, 2012</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June 30, 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(18,163)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Adjustments to reconcile net loss to cash flows used in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investing activities</w:t>
            </w: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14,734</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21,291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continu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cash equivalents, marketable securities and long-term investments totaled $363.7 million at June 29, 2012.</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operating activities used $14.9 million of cash in the six months ended June 29, 2012, compared to $11.3 million of cash used in operating activities in the six months ended June 30, 2011.</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Cash used in operating activities in the six months ended June 29, 2012 was primarily the result of higher other operating assets and inventory and lower deferred revenue, accounts payable and accrued expenses and other long-term liabilities. These amounts were partially offset by lower accounts receivable. The increase in other operating assets is primarily related to pre-payments of royalties, licenses and maintenance. The decrease in accrued expenses and other long-term liabilities primarily reflects income tax payments. The increase in inventory levels is primarily due to purchases of materials to fulfill our expected shipments in the near-term. The decrease in accounts receivable primarily reflects our continued focus on cash collections. Our net loss, adjusted for non-cash items such as depreciation, amortization and stock-based compensation, used $8.0 million of cash.</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Cash used in operating activities in the six months ended June 30, 2011 was primarily the result of lower deferred revenue, accrued expenses and other long-term liabilities, and accounts payable. These amounts were offset by lower accounts receivable, inventory and other operating assets. The reduction in deferred revenue was primarily attributable to the completion of the Bahamas Telecom project for which revenue had been previously deferred. The reduction in accrued expenses and other long-term liabilities primarily related to employee compensation and related costs, including payments made in connection with our Company-wide employee incentive bonus program and payments in 2011 related to the departures in 2010 of our former President and Chief Executive Officer and our former Executive Vice President and Chief Operating Officer. The decrease in accounts receivable primarily reflects payments in the quarter combined with lower revenue in the first quarter of fiscal 2011 compared to the fourth quarter of fiscal 2010. The lower inventory levels were primarily related to the recognition of deferred cost of goods sold in connection with the completion of the Bahamas Telecom project, partially offset by increased inventory levels in anticipation of our transition to a new contract manufacturer.</w:t>
      </w:r>
    </w:p>
    <w:p>
      <w:pPr>
        <w:spacing w:after="0" w:line="17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investing activities provided $14.7 million of cash in the six months ended June 29, 2012, comprised of $19.1 million of net maturities of marketable securities, partially offset by $4.4 million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investments in property and equipment. Our investing activities provided $21.3 million of cash in the six months ended June 30, 2011, comprised of $28.6 million of net maturities of marketable securities, partially offset by $7.3 million of investments in property and equipment.</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financing activities provided $0.9 million of cash in the six months ended June 20, 2012, comprised of $1.0 million of proceeds from the sale of our common stock in connection with our Amended and Restated 2000 Employee Stock Purchase Plan ("ESPP"), and $68,000 of proceeds from the exercise of stock options. These amounts were partially offset by $0.1 million of cash used to pay withholding obligations related to the net share settlement of restricted stock awards upon vesting and $51,000 for payments on our capital leases for office equipment. Our financing activities provided $0.6 million of cash in the six months ended June 30, 2011, comprised of $0.8 million of proceeds from the sale of our common stock in connection with our ESPP and $0.8 million of proceeds from the exercise of stock options. These amounts were partially offset by $0.9 million of cash used to pay withholding obligations related to the net share settlement of restricted stock awards upon vesting and $48,000 for payments on our capital leases for office equipment.</w:t>
      </w:r>
    </w:p>
    <w:p>
      <w:pPr>
        <w:spacing w:after="0" w:line="172"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Based on our current expectations, we believe our cash, cash equivalents, marketable securities and long-term investments will be sufficient to meet our anticipated cash needs for working capital and capital expenditures, including our proposed cash acquisition of NET and restructuring initiatives, for at least the next 12 months. However, it is difficult to predict future liquidity requirements with certainty. The rate at which we will use cash will be dependent on the cash needs of future operations, including changes in working capital, which will, in turn, be directly affected by, among other things,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and for other general corporate activities, as well as to vigorously defend against existing and potential litigation. See Note 13 to our condensed consolidated financial statements for a description of our legal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 xml:space="preserve">On June 16, 2011, the Financial Accounting Standards Board ("FASB") issued Accounting Standards Update ("ASU") No.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Presentation of Comprehensive Income </w:t>
      </w:r>
      <w:r>
        <w:rPr>
          <w:rFonts w:ascii="Arial" w:cs="Arial" w:eastAsia="Arial" w:hAnsi="Arial"/>
          <w:sz w:val="16"/>
          <w:szCs w:val="16"/>
          <w:color w:val="auto"/>
        </w:rPr>
        <w:t>("ASU 2011-05"), which revises the manner in which entities present comprehensive income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new guidance requires companies to report components of comprehensive income in either: (1) a continuous statement of comprehensive income; or (2) two separate consecutive statements. ASU 2011-05 does not change the items that must be reported in other comprehensive income. On December 23, 2011, the FASB issued ASU No. 2011-12</w:t>
      </w:r>
      <w:r>
        <w:rPr>
          <w:rFonts w:ascii="Arial" w:cs="Arial" w:eastAsia="Arial" w:hAnsi="Arial"/>
          <w:sz w:val="16"/>
          <w:szCs w:val="16"/>
          <w:i w:val="1"/>
          <w:iCs w:val="1"/>
          <w:color w:val="auto"/>
        </w:rPr>
        <w:t>, 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("ASU 2011-12"),</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defers certain provisions of ASU 2011-05, including the provision that requires entities to present reclassification adjustments out of accumulated other comprehensive income by component in both the statement in which net income is presented and the statement in which other comprehensive income is presented. The unaffected provisions of ASU 2011-05 became effective for us in our reporting of the first quarter of fiscal 2012. The adoption of ASU 2011-05 did not have any impact on our results of operations, financial position or cash flows.</w:t>
      </w:r>
    </w:p>
    <w:p>
      <w:pPr>
        <w:spacing w:after="0" w:line="1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On May 12,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IFRSs </w:t>
      </w:r>
      <w:r>
        <w:rPr>
          <w:rFonts w:ascii="Arial" w:cs="Arial" w:eastAsia="Arial" w:hAnsi="Arial"/>
          <w:sz w:val="16"/>
          <w:szCs w:val="16"/>
          <w:color w:val="auto"/>
        </w:rPr>
        <w:t>("ASU 2011-04"), which provides guidance on how (not when) to measure fair value and on what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about fair value measurements. ASU 2011-04 expands previously existing disclosure requirements for fair value measurements, including disclosures regarding transfers between Level 1 and Level 2 in the fair value hierarchy currently disclosed. ASU 2011-04 became effective for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on January 1, 2012. The adoption of ASU 2011-04 did not have any impact on our condensed consolidated financial statements.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from what was disclosed in our Annual Report on Form 10-K for the fiscal year ended December 31, 2011.</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management, with the participation of our principal executive officer and principal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June 29, 2012.</w:t>
      </w:r>
    </w:p>
    <w:p>
      <w:pPr>
        <w:spacing w:after="0" w:line="167"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Changes in Internal Control over Financial Reporting.</w:t>
      </w:r>
      <w:r>
        <w:rPr>
          <w:sz w:val="20"/>
          <w:szCs w:val="20"/>
          <w:color w:val="auto"/>
        </w:rPr>
        <w:tab/>
      </w:r>
      <w:r>
        <w:rPr>
          <w:rFonts w:ascii="Arial" w:cs="Arial" w:eastAsia="Arial" w:hAnsi="Arial"/>
          <w:sz w:val="15"/>
          <w:szCs w:val="15"/>
          <w:color w:val="auto"/>
        </w:rPr>
        <w:t>There have been no changes in our internal control over financial reporting (as defined in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Rules 13a-15(f) and 15(d)-15(f) under the Exchange Act) during the fiscal quarter ended June 29, 2012 that have materially affected, or are reasonably likely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affect, our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2011 and Note 13 of this Quarterly Report on Form 10-Q. There were no material developments to these legal proceedings in the three months ended June 29, 2012, other than as set forth below.</w:t>
      </w:r>
    </w:p>
    <w:p>
      <w:pPr>
        <w:spacing w:after="0" w:line="194"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Regarding the Vanessa Simmonds litigation, on March 26, 2012, the U.S. Supreme Court vacated the holding of the United States Court of Appeals for the Ninth Circuit (the "Ninth Circuit") holding that petitioner's claims were not time-barred, and remanded the cases to the District Court for the Western District of Washington for proceedings consistent with the U.S. Supreme Court's opinion. On June 7, 2012, the mandate of the Ninth Circuit was formally entered. On June 11, 2012, the case was concluded when the plaintiff voluntarily dismissed the case with prejudice as to the adequacy-of-the-pre-suit demand issue, and without prejudice as to all other issues.</w:t>
      </w:r>
    </w:p>
    <w:p>
      <w:pPr>
        <w:spacing w:after="0" w:line="1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We have revised and re-ordered our discussion of the risk factors affecting our business since those presented in our Annual Report on Form 10-K, Part I, Item 1A, for the fiscal year ended December 31, 2011. The following discussion includes two revised risk factors ("Restructuring activities could adversely affect our ability to execute our business strategy" and "Any future investments or acquisitions we make could be difficult to integrate, disrupt our business, dilute shareholder value and seriously harm our financial condition") and two new risk factors ("If the acquisition of NET is completed and we fail to realize the anticipated benefits from this proposed acquisition on a timely basis, or at all, our business and financial condition may be adversely affected" and "The proposed acquisition of NET may result in restructuring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charges that could adversely affect the financial results of the combined company") that reflect material developments subsequent to the discussion of risk factors included in our most recent Annual Report on Form 10-K for the fiscal year ended December 31, 2011. Except for the four risk factors noted above, there have been no material changes in our assessment of our risk factors from those set forth in our Annual Report on Form 10-K for the fiscal year ended December 31, 2011. For convenience, all of our risk factors are included below.</w:t>
      </w:r>
    </w:p>
    <w:p>
      <w:pPr>
        <w:spacing w:after="0" w:line="19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before buying our common stock. If any of the following risks actually occurs, our business, financial condition, results of operations and cash flows could be materially adversely affected, the trading price of our common stock could decline materially and you could lose all or part of your investment.</w:t>
      </w:r>
    </w:p>
    <w:p>
      <w:pPr>
        <w:spacing w:after="0" w:line="16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quarterly revenue and operating results are unpredictable and may fluctuate significantly from quarter to quarter, which could adversely affect our business, consolidated financial statements and the trading price of our common stock.</w:t>
      </w:r>
    </w:p>
    <w:p>
      <w:pPr>
        <w:spacing w:after="0" w:line="186"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Our revenues and operating results may vary significantly from quarter to quarter due to a number of factors, many of which are outside of our control and any of which may cause our stock price to fluctuate. Generally, purchases by service providers of telecommunications equipment from manufacturers have been unpredictable and clustered, rather than steady, as the service providers build out their networks. The primary factors that may affect our revenues and operating results include but are not limited to the following:</w:t>
      </w:r>
    </w:p>
    <w:p>
      <w:pPr>
        <w:spacing w:after="0" w:line="21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consolidation within the telecommunications industry, including acquisitions of or by our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in our markets, both domestic and international, as well as the level of discretionary IT spending;</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conditions in our markets, including the effects of new entrants, consolidation, technological innovation and substantial price discounting;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 in demand for our voice infrastructure products and services, and the timing and size of customer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foreign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cancellation or deferral of existing customer orders or the renegotiation of existing contractual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mix of product configurations sold;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length and variability of the sales cycle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application of complex revenue recognition accounting rules to our customer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pricing policies, the pricing policies of our competitors and the prices of the components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new products and product enhancements that we offer and our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quality and level of our execution of our business strategy and operating plan, and the effectiveness of our sales and marketing programs;</w:t>
      </w:r>
    </w:p>
    <w:p>
      <w:pPr>
        <w:spacing w:after="0" w:line="275" w:lineRule="exact"/>
        <w:rPr>
          <w:rFonts w:ascii="Arial" w:cs="Arial" w:eastAsia="Arial" w:hAnsi="Arial"/>
          <w:sz w:val="16"/>
          <w:szCs w:val="16"/>
          <w:color w:val="auto"/>
        </w:rPr>
      </w:pPr>
    </w:p>
    <w:p>
      <w:pPr>
        <w:jc w:val="center"/>
        <w:ind w:left="5620" w:right="520" w:hanging="5072"/>
        <w:spacing w:after="0" w:line="519" w:lineRule="auto"/>
        <w:tabs>
          <w:tab w:leader="none" w:pos="1082"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product announcements, introductions and enhancements by us or our competitors, which could result in deferrals of customer orders;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introduce, ship and successfully deliver new products and product enhancements that meet customer requirements in a timely manner;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contract manufacturers for the production and shipment of our hardware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or our contract manufacturer's ability to obtain sufficient supplies of sole or limited source components or materials;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attain and maintain production volumes and quality levels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variability and unpredictability in the rate of growth in the markets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acquisitions;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restructurings.</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with other telecommunications product suppliers, we typically recognize a portion of our revenue in a given quarter from sales booked and shipped in the last weeks of that quarter. As a result, delays in customer orders may result in delays in shipments and recognition of revenue beyond the end of a given quarter. Additionally, it can be difficult for us to predict the timing of receipt of major customer orders, and we are unable to control timing decisions made by our customers. As a result, our quarterly operating results are difficult to predict even in the near term and a delay in an anticipated sale past the end of a particular quarter may negatively impact our results of operations for that quarter, or in some cases, that year. Therefore, we believe that quarter-to-quarter comparisons of our operating results are not a good indication of our future performance. If our revenue or operating results fall below the expectations of investors or securities analysts or below any guidance we may provide to the market, the price of our common stock could decline substantially. Such a stock price decline could also occur when we have met our publicly stated revenue and/or earnings guidance.</w:t>
      </w:r>
    </w:p>
    <w:p>
      <w:pPr>
        <w:spacing w:after="0" w:line="172" w:lineRule="exact"/>
        <w:rPr>
          <w:sz w:val="20"/>
          <w:szCs w:val="20"/>
          <w:color w:val="auto"/>
        </w:rPr>
      </w:pPr>
    </w:p>
    <w:p>
      <w:pPr>
        <w:jc w:val="both"/>
        <w:ind w:right="180" w:firstLine="341"/>
        <w:spacing w:after="0" w:line="259" w:lineRule="auto"/>
        <w:rPr>
          <w:sz w:val="20"/>
          <w:szCs w:val="20"/>
          <w:color w:val="auto"/>
        </w:rPr>
      </w:pPr>
      <w:r>
        <w:rPr>
          <w:rFonts w:ascii="Arial" w:cs="Arial" w:eastAsia="Arial" w:hAnsi="Arial"/>
          <w:sz w:val="18"/>
          <w:szCs w:val="18"/>
          <w:color w:val="auto"/>
        </w:rPr>
        <w:t>A significant portion of our operating expenses is fixed in the short term. If revenues for a particular quarter are below expectations, we may not be able to reduce costs and expenses proportionally for that quarter. Any such revenue shortfall would, therefore, have a significant effect on our operating results for that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and may incur additional net losses.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incurred net losses in fiscal 2011, fiscal 2010 and fiscal 2009. We may incur additional net losses in future quarters and years. Our revenues may not grow and we may never generate sufficient revenues to sustain profitability.</w:t>
      </w:r>
    </w:p>
    <w:p>
      <w:pPr>
        <w:spacing w:after="0" w:line="18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A majority of our revenue is currently generated from a finite number of customers. We will not be successful if we do not grow our customer base. Additionally, if we are unable to generate recurring business from these existing customers, our consolidated financial statements could be materially and adversely affected.</w:t>
      </w:r>
    </w:p>
    <w:p>
      <w:pPr>
        <w:spacing w:after="0" w:line="19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To date, we have shipped our products to a limited number of customers and our future success will depend on our ability to attract additional customers beyond our current limited number. In fiscal 2011, two customers, Bahamas Telecommunications Company Ltd. and AT&amp;T, each contributed more than 10% of our revenue, representing approximately 26% of our revenue in the aggregate. In fiscal 2010, one customer, AT&amp;T, contributed approximately 21% of our revenue. Factors that may affect our ability to grow our customer base include the following:</w:t>
      </w:r>
    </w:p>
    <w:p>
      <w:pPr>
        <w:spacing w:after="0" w:line="194"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economic conditions that discourage potential new customers from making the capital investments required to adopt new technologies;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in the general financial condition of service providers or their ability to raise capital or access lending sources;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introductions by our competitors.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If we are unable to expand our customer base, we will be forced to rely on generating recurring revenue from existing customers which may not be successful. We expect that in the foreseeable future, the majority of our revenue will continue to depend on sales of our products to a limited number of existing customers. Factors that may affect our ability to generate recurring revenues from our existing customers include the following:</w:t>
      </w:r>
    </w:p>
    <w:p>
      <w:pPr>
        <w:spacing w:after="0" w:line="188"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willingness to implement our new voice infrastructure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of or by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or difficulties that we may incur in completing the development and introduction of our planned products or product enhancements;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products to perform as expected;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we may incur in meeting customers' delivery requirements.</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loss of any significant customer or any substantial reduction in purchase orders from these customers could materially and adversely affect our consolidated financial statements.</w:t>
      </w:r>
    </w:p>
    <w:p>
      <w:pPr>
        <w:spacing w:after="0" w:line="1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We are enhancing our sales strategy, which will include more significant engagements with distribution and channel partners to resell our products. Disruptions to, or our failure to effectively develop and manage, our channel partners and the processes and procedures that support them could adversely affect our ability to generate revenues from the sale of our products. If we do not have adequate personnel, experience and resources to manage the relationships with our channel partners and to fulfill our responsibilities under such arrangements, such shortcomings could lead to the decrease of the sales of our products and our operating results could suffer.</w:t>
      </w:r>
    </w:p>
    <w:p>
      <w:pPr>
        <w:spacing w:after="0" w:line="17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enhancing our sales strategy, which will include more significant engagements with distribution and channel partners to resell our products. Our future success is dependent upon establishing and maintaining successful relationships with a variety of value-added distribution and channel partners. A portion of our revenue is derived through channel partners, many of which sell competitive products. The loss of, or reduction in sales by, these channel partners could materially reduce our revenues. If we fail to maintain relationships with these channel partners, fail to develop new relationships with channel partners in new markets, fail to manage, train, or provide incentives to existing channel partners effectively or if these partners are not successful in their sales efforts, sales of our products may decrease and our operating results could suffer. Moreover, if we do not have adequate personnel, experience and resources to manage the relationships with our channel partners and to fulfill our responsibilities under such arrangements, any shortcomings could have a material adverse impact on our business and consolidated financial statements.</w:t>
      </w:r>
    </w:p>
    <w:p>
      <w:pPr>
        <w:spacing w:after="0" w:line="17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we recognize a portion of our revenue based on a sell-through model using information provided by our channel partners. If those distribution partners provide us with inaccurate or untimely information, the amount or timing of our revenues could be adversely affected. We may also experience financial failure of distribution and/or channel partners, which could result in our inability to collect accounts receivable in full.</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As the telecommunications industry and the requirements of our current and potential customers evolve, we are redirecting certain of our resources to more readily respond to the changing environment through the research and development of innovative new products and the improvement of existing products. However, we continue to be dependent upon our voice infrastructure products, and our revenues will continue to depend upon their commercial success for the foreseeable future. If our strategic plan is not aligned with the direction our customers take as they invest in the evolution of their networks, customers may not buy our products or use our services.</w:t>
      </w:r>
    </w:p>
    <w:p>
      <w:pPr>
        <w:spacing w:after="0" w:line="17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be successful in our industry requires large investments in technology and creates exposure to rapid technological and market changes. We spend a significant amount of time, money and resources developing new technology, products and solutions. Our strategic plan includes accelerating the shift in our investments from mature technologies that previously generated significant revenue for us toward certain next-generation technologies as well as working with more channel partners to sell our products. In order for us to be successful, our technologies, products and solutions must be accepted by relevant standardization bodies and by the industry as a whole. Our choices of specific technologies to pursue, and those to de-emphasize, may prove to be inconsistent with our customers' investment spending. Moreover, if we invest in the development of technologies, products and solutions that do not function as expected, are not adopted by the industry, are not ready in time, are not accepted by our customers as quickly as anticipated or are not successful in the marketplace, our sales and earnings may suffer and, as a result, our stock price could decline. As technology advances, we may not be able to respond quickly or effectively to developments in the market for our products, or new industry standards may emerge and could render our existing or future products obsolete. If our products become technologically obsolete, we may be unable to sell our products in the marketplace and generate revenues. We may also experience difficulties with software development, hardware design, manufacturing or marketing that could delay or prevent our development, introduction or marketing of new products and enhancements.</w:t>
      </w:r>
    </w:p>
    <w:p>
      <w:pPr>
        <w:spacing w:after="0" w:line="17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intend to develop and introduce new products and enhancements to existing products in the future, our current revenues depend upon the commercial success of our TDM-to-IP and our all-IP voice infrastructure products and solutions, and we believe this will remain true for the foreseeable future. If the market for these products declines, or if we are unable to maintain at least our share of that market, our operating results could suffer.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could adversely affect our ability to execute our business strategy.</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August 7, 2012, we adopted a restructuring initiative to streamline operations and reduce our operating costs. During fiscal 2009 and 2010 we had a number of restructuring activities, including office closings and lay-offs. These restructurings and any future restructurings, should it become necessary for us to continue to restructure our business due to worldwide market conditions or other factors that reduce the demand for our products and services, could adversely affect our ability to execute our business strategy in a number of ways, including through:</w:t>
      </w:r>
    </w:p>
    <w:p>
      <w:pPr>
        <w:spacing w:after="0" w:line="18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to respond to customer requirements related to both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in cash and profits related to severance payments and facility termination costs;</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of our engineering and manufacturing processes, which could adversely affect our ability to introduce new products and to deliver products both on a timely basis and in accordance with the highest quality standards; and/or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reduced ability to execute effectively internal administrative processes, including the implementation of key information technology programs.</w:t>
      </w:r>
    </w:p>
    <w:p>
      <w:pPr>
        <w:spacing w:after="0" w:line="24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the acquisition of NET is completed and we fail to realize the anticipated benefits from this proposed acquisition on a timely basis, or at all, our business and financial condition may be adversely affected.</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NET must obtain shareholder approval before we can complete the acquisition of NET. Failure to obtain such approval, or the failure of any of the other conditions to closing to be satisfied, would prevent a successful conclusion of the acquisition and could adversely affect our operating results.</w:t>
      </w:r>
    </w:p>
    <w:p>
      <w:pPr>
        <w:spacing w:after="0" w:line="139"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If the acquisition is completed, we may fail to realize the anticipated benefits from the acquisition on a timely basis, or at all, for a variety of reasons, including the following:</w:t>
      </w:r>
    </w:p>
    <w:p>
      <w:pPr>
        <w:spacing w:after="0" w:line="213" w:lineRule="exact"/>
        <w:rPr>
          <w:sz w:val="20"/>
          <w:szCs w:val="20"/>
          <w:color w:val="auto"/>
        </w:rPr>
      </w:pPr>
    </w:p>
    <w:p>
      <w:pPr>
        <w:ind w:left="1080" w:right="4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or delays in assimilating or transitioning to Sonus the acquired operations, systems, processes, controls, technologies, products or personnel;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acquired customer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w:t>
      </w:r>
    </w:p>
    <w:p>
      <w:pPr>
        <w:spacing w:after="0" w:line="252"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identify in the due diligence process or assess the magnitude of certain liabilities we are assuming in the acquisition, which could result in unexpected litigation or regulatory exposure, unfavorable accounting treatment, unexpected increases in taxes due, a loss of anticipated tax benefits, significant issues with product quality or development, or other adverse effects on our business, operating results or financial condition;</w:t>
      </w:r>
    </w:p>
    <w:p>
      <w:pPr>
        <w:spacing w:after="0" w:line="174"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or overlapping product lines as a result of our acquisitions that are offered, priced and supported differently, which could cause customer confusion and delays;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anticipated costs in continuing support and development of acquired products;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 and the challenges of managing larger and more widespread operations resulting from the acquisition;</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of Sonus or NET with the respective suppliers, licensors, contract manufacturers, customers, distributors, resellers and industry experts;</w:t>
      </w:r>
    </w:p>
    <w:p>
      <w:pPr>
        <w:spacing w:after="0" w:line="199"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impairment, exit and/or restructuring charges if the products or technologies acquired in the acquisition do not meet our sales expectations or are unsuccessful;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revenue to offset increased expenses associated with the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no or limited prior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NET's or our own employees;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properly integrate internal controls and financial systems of the combined companies.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we are not able to successfully manage these issues, the anticipated benefits and efficiencies of the proposed NET acquisition may not be realized fully or at all, or may take longer to realize than expected, and our ability to compete, our revenue and gross margins and our results of operations may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proposed acquisition of NET may result in restructuring charges that could adversely affect the financial results of the combined company.</w:t>
      </w:r>
    </w:p>
    <w:p>
      <w:pPr>
        <w:spacing w:after="0" w:line="248"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Assuming the proposed acquisition is completed, the financial results of the combined company may be adversely affected by cash expenses and non-cash accounting charges incurred in connection with the combination. The amount and timing of these possible charges are not yet known. The price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following the acquisition could decline to the extent the combined company's financial results are materially affected by these charges.</w:t>
      </w:r>
    </w:p>
    <w:p>
      <w:pPr>
        <w:spacing w:after="0" w:line="24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Any future investments or acquisitions we make could be difficult to integrate, disrupt our business, dilute shareholder value and seriously harm our financial condition.</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With the exception of the pending acquisition agreement with NET, we are not currently a party to any other pending acquisition agreements. However, we may acquire additional businesses, products or technologies in the future. Acquisitions are inherently risky and no assurance can be given that our future acquisitions will be successful or will not materially and adversely affect our business, operating results or financial condition. We expect to continue to review opportunities to acquire other businesses or technologies that would add to our existing product line, complement and enhance our current products, expand the breadth of our markets, enhance our technical capabilities or otherwise offer growth opportunities. If we make further acquisitions, we could, among other things:</w:t>
      </w:r>
    </w:p>
    <w:p>
      <w:pPr>
        <w:spacing w:after="0" w:line="18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stock that would dilute existing stockholders' percentage ownership;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debt or assume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significantly our cash and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significant impairment charges related to the write-off of goodwill and intangible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significant amortization expenses related to intangible assets;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large and immediate write-offs for in-process research and development and stock-based compensation.</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Mergers and acquisitions are inherently risky and subject to many factors outside of our control, and we cannot be certain that we would be successful in overcoming problems in connection with our past or future acquisitions. Our inability to do so could significantly harm our business, revenues,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World-wide efforts to contain capital spending, general economic uncertainty and a weakened global economy could have a material adverse effect on us.</w:t>
      </w:r>
    </w:p>
    <w:p>
      <w:pPr>
        <w:spacing w:after="0" w:line="260"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One factor that significantly affects our operating results is the impact of economic conditions on the willingness of our current and potential customers to make capital investments. Given the current state of the economy, we believe that customers continue to be cautious about sustained economic growth and have tried to maintain or improve profitability through cost control and constrained capital spending, which places additional pressure on IT departments to demonstrate acceptable return on investment. Some of our current or prospective customers may cancel or delay spending on the development or roll-out of capital and technology projects with us due to the continuing economic uncertainty and, consequently, our results of operations may be adversely affected. In addition, the current uncertain worldwide economic environment and market instability make it increasingly difficult for us, our customers and our suppliers to accurately forecast future product demand, which could result in an inability to satisfy demand for our products and a loss of market share. Our revenues are likely to decline in such circumstances and our profit margins could erode, or we could incur significant losses.</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Moreover, economic conditions worldwide may continue to contribute to slowdowns in the communications and networking industries, as well as to specific segments and markets in which we operate, resulting in:</w:t>
      </w:r>
    </w:p>
    <w:p>
      <w:pPr>
        <w:spacing w:after="0" w:line="199" w:lineRule="exact"/>
        <w:rPr>
          <w:sz w:val="20"/>
          <w:szCs w:val="20"/>
          <w:color w:val="auto"/>
        </w:rPr>
      </w:pPr>
    </w:p>
    <w:p>
      <w:pPr>
        <w:ind w:left="5620" w:right="1680" w:hanging="5072"/>
        <w:spacing w:after="0" w:line="519" w:lineRule="auto"/>
        <w:tabs>
          <w:tab w:leader="none" w:pos="10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demand for our products as a result of our customers choosing to refrain from building capital intensive networks;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price competition for our products, not only from our competitors, but also as a consequence of customers disposing of unutilized products;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excess and obsolete inventories;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excess facilities and manufacturing capacity;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overhead costs as a percentage of revenue and higher interest expense.</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Continuing turmoil in the geopolitical environment in many parts of the world, including terrorist activities and military actions, particularly the continuing tension in Southeast Asia, the Middle East and Africa, as well as political and economic issues in Europe continue to put pressure on global economic conditions. Our operating results and our ability to expand into other international markets may also be affected by changing economic conditions particularly germane to that sector or to particular customer markets within that sector.</w:t>
      </w:r>
    </w:p>
    <w:p>
      <w:pPr>
        <w:spacing w:after="0" w:line="19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Actions that may be taken by significant stockholders may divert the time and attention of our Board of Directors and management from our business operations.</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Campaigns by significant investors to effect changes at publicly-traded companies have increased in recent years. In 2009, we entered into a letter agreement with our then-largest stockholder, pursuant to which we agreed to take certain actions related to our corporate governance. While we believe we have satisfied in full our obligations under such letter agreement, there can be no assurance that such stockholder and/or any other stockholder will not pursue actions to effect changes in our management and strategic direction, including through the solicitation of proxies from our stockholders. If a proxy contest were to be pursued by any stockholder, it could result in substantial expense to us, consume significant attention of our management and Board of Directors, and disrupt our business.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Delaware law, our charter documents and our stockholder rights plan contain provisions that could discourage or prevent a potential takeover, even if such a transaction would be beneficial to our stockholders.</w:t>
      </w:r>
    </w:p>
    <w:p>
      <w:pPr>
        <w:spacing w:after="0" w:line="186"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Some provisions in our amended and restated certificate of incorporation, our amended and restated by-laws, as well as provisions of Delaware law, may discourage, delay or prevent a merger or acquisition that may be deemed undesirable by our Board of Directors but that a stockholder may consider favorable. These include provisions:</w:t>
      </w:r>
    </w:p>
    <w:p>
      <w:pPr>
        <w:spacing w:after="0" w:line="22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authorizing the Board of Directors to issue shares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prohibiting stockholder actions by written consent;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permitting the Board of Directors to increase the size of the Board and to fill vacancies;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indemnification to our directors and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controlling the procedures for conduct and scheduling of Board and stockholder meetings;</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a super-majority vote of our stockholders to amend our amended and restated by-laws and certain provisions of our amended and restated certificate of incorporation;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on by stockholders at stockholder meetings.</w:t>
      </w:r>
    </w:p>
    <w:p>
      <w:pPr>
        <w:spacing w:after="0" w:line="18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These provisions, alone or together, could delay hostile takeovers or changes in control of us or our management. As a Delaware corporation, we are also subject to provisions of Delaware law, including Section 203 of the Delaware General Corporation law, which prevents some stockholders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holding more than 15% of our outstanding common stock from engaging in certain business combinations without approval of the holders of substantially all of our outstanding common stock.</w:t>
      </w:r>
    </w:p>
    <w:p>
      <w:pPr>
        <w:spacing w:after="0" w:line="18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addition, we adopted a limited duration stockholder rights plan on June 26, 2008, which was amended on June 10, 2011 to extend the expiration date of such plan until June 26, 2013. The rights are not intended to prevent a takeover, and we believe these rights will help us in our negotiations with any potential acquirers. However, if the Board of Directors believes that a particular acquisition of us is undesirable, the rights may have the effect of rendering more difficult or discouraging that acquisition. The rights may substantially dilute the stock ownership of a person or group that attempts to acquire us (or a significant percentage of our outstanding capital stock) on terms, or in a manner, not approved by our Board of Directors, except pursuant to an offer conditioned upon redemption of the rights.</w:t>
      </w:r>
    </w:p>
    <w:p>
      <w:pPr>
        <w:spacing w:after="0" w:line="198"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our stockholder rights plan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Although we believe that our amended and restated certificate of incorporation and our amended and restated bylaws, provisions of Delaware law and our stockholder rights plan provide an opportunity for the Board of Directors to assure that our stockholders realize full value for their investment, they could have the effect of delaying or preventing a change of control that some stockholders may consider beneficial.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related to litigation that could result in significant legal expenses and settlement or damage awards.</w:t>
      </w:r>
    </w:p>
    <w:p>
      <w:pPr>
        <w:spacing w:after="0" w:line="225"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From time to time, we are subject to claims and litigation regarding intellectual property rights or other claims, which could seriously harm our business and require us to incur significant costs. In the past, we have been named as a defendant in securities class action and derivative lawsuits. We are generally obliged, to the extent permitted by law, to indemnify our current and former directors and officers who are named as defendants in these lawsuits. While we currently expect that the matters pending in our current securities litigation have been or are close to being resolved, defending against existing and potential litigation may require significant attention and resources of management. Regardless of the outcome, such litigation could result in significant legal expenses.</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may also be subject to employment claims in connection with employee terminations. In addition, companies in our industry whose employees accept positions with us may claim that we have engaged in unfair hiring practices. These claims may result in material litigation. We could incur substantial costs defending ourselves or our employees against those claims, regardless of their merits. In addition, defending ourselves from those types of claims could divert our management's attention from our operations. The cost of employment claims may also increase as a result of our increasing international expansion.</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our defenses in any of our pending litigation are ultimately unsuccessful, or if we are unable to achieve a favorable settlement, we could be liable for large damage awards that could have a material adverse effect on our business and consolidated financial statements.</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For additional information on our material ongoing litigation, please see Part I, Item 3 "Legal Proceedings" in our Annual Report on Form 10-K for the year ended December 31, 2011, filed with the SEC on February 24, 2012 and Part II, Item 1 "Legal Proceedings" in this Quarterly Report on Form 10-Q.</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we fail to compete successfully against telecommunications equipment and networking companies, our ability to increase our revenues and achieve profitability will be impaired.</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Competition in the telecommunications market is intense. This market has historically been dominated by large incumbent telecommunications equipment companies, such as Alcatel-Lucent, LM Ericsson Telephone Company, Huawei Technologies Co., Ltd., NEC Corp. and Nokia Corp., all of which are our direct competitors. We also face competition from other telecommunications and networking companies, including Acme Packet, Inc., Cisco Systems, Inc. and GENBAND Inc., that design competing products. Other competitors may also merge, intensifying competition. Additional competitors with significant financial resources may enter our markets and further intensify competition.</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Many of our current and potential competitors have significantly greater selling and marketing, technical, manufacturing, financial and other resources than we have.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compete effectively, we must deliver innovative products that:</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extremely high reliability and voice quality;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deploy and scale easily and efficiently;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interoperate with existing network designs and other vendors'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effective network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accompanied by comprehensive customer support and professional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 cost-effective and space efficient solution for service providers;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meet price competition from low cost equipment providers.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we are unable to compete successfully against our current and future competitors, we could experience price reductions, order cancellations, loss of customers and revenues, and our operating results could be adversely affected.</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we do not anticipate and meet specific customer requirements or if our products do not interoperate with our customers' existing networks, we may not retain current customers or attract new customers.</w:t>
      </w:r>
    </w:p>
    <w:p>
      <w:pPr>
        <w:spacing w:after="0" w:line="186"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 If we fail to develop products and offer services that satisfy customer requirements or if we fail to effectively manage the transition from older products, our ability to create or increase demand for our products would be seriously harmed and we may lose current and prospective customers.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networks, installations could be delayed or orders for our products could be cancelled, which would seriously harm our gross margins and result in loss of revenues or customers. Additionally, our customers may decide to devote a significant portion of their budgets to evolving technology as they consider national or worldwide build-outs. Therefore, if the demand for our products is not strong and if our target customers do not adopt, purchase and successfully deploy our current or planned products, our revenues will not grow.</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large customers have substantial negotiating leverage, and they may require that we agree to terms and conditions that may have an adverse effect on our business.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Large telecommunications providers have substantial purchasing power and leverage in negotiating contractual arrangements with us. These customers may, among other things, require us to develop additional features, require penalties for failure to deliver such features, require us to partner with a certain reseller before purchasing our products and/or seek discounted product or service pricing. As we sell more products to this class of customer, we may be required to agree to terms and conditions that are less beneficial to us, which may affect the timing of revenue recognition, amount of deferred revenues or product and service margins and may adversely affect our financial position and cash flows in certain reporting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market for technology stocks has been, and will likely continue to be, volatile. The following factors could cause the market price of our common stock to fluctuate significantly:</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 or loss of any major customer;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consolidation and competition in the telecommunications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financial condition or anticipated capital expenditure purchases of any existing or potential major customer;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for the telecommunications, networking and related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variations in our bookings, revenues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or acquisitions, distribution partnerships, joint ventures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activism by any single large stockholder or combination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common stock or other securities by us or by our stockholders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and other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 of a stock split, reverse stock split, stock dividend or similar event;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emergence or adoption of new technologies or industry standards.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ability to compete and our business could be jeopardized if we are unable to protect our intellectual property or become subject to intellectual property rights claims, which could require us to incur significant cost; additionally, in some jurisdictions, our rights may not be as strong as we currently enjoy in the United States.</w:t>
      </w:r>
    </w:p>
    <w:p>
      <w:pPr>
        <w:spacing w:after="0" w:line="19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rely on a combination of patent, copyright, trademark and trade secret laws and restrictions on disclosure to protect our intellectual property rights. Despite our efforts to protect our proprietary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rights,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The legal systems of many foreign countries do not protect or honor intellectual property rights to the same extent as the legal system of the United States. It may be very difficult, time-consuming and costly for us to attempt to enforce our intellectual property rights in these jurisdictions. If competitors are able to use our technology, our ability to compete effectively could be harmed.</w:t>
      </w:r>
    </w:p>
    <w:p>
      <w:pPr>
        <w:spacing w:after="0" w:line="170"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we and our customers have received inquiries from intellectual property owners and may become subject to claims that we or our customers infringe their intellectual property rights. Any parties asserting that our products infringe upon their proprietary rights could force us to license their patents for substantial royalty payments or to defend ourselves and possibly our customers or contract manufacturers in litigation. These claims and any resulting licensing arrangement or lawsuit, if successful, could subject us to significant royalty payments or liability for damages and invalidation of our proprietary rights. Any potential intellectual property litigation also could force us to do one or more of the following:</w:t>
      </w:r>
    </w:p>
    <w:p>
      <w:pPr>
        <w:spacing w:after="0" w:line="18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stop selling, incorporating or using our products that use the challenged intellectual property;</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which license may not be available at acceptable prices, on acceptable terms, or at all;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redesign those products that use any allegedly infringing technology.</w:t>
      </w:r>
    </w:p>
    <w:p>
      <w:pPr>
        <w:spacing w:after="0" w:line="225"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Any lawsuits regarding intellectual property rights, regardless of their success, would be time-consuming, expensive to resolve and would divert our management's time and attention. In addition, although historically our costs to defend lawsuits relating to indemnification provisions in our product agreements have been insignificant, the costs were significant in fiscal 2008 and may be significant in future periods.</w:t>
      </w:r>
    </w:p>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We may face risks associated with our international expansion that could impair our ability to grow our international revenues. If we fail to manage the operational and financial risks associated with our international operations, it could have a material adverse effect on our business and consolidated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expanded, and expect to continue to expand, our operations in international and emerging markets. International revenue approximated</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$103 million, or approximately 40% of revenue, in fiscal 2011, $80 million, or approximately 32% of revenue, in fiscal 2010 and $69 million, or approximately 30% of revenue, in fiscal 2009. This expansion has and will continue to require significant management attention and financial resources to successfully develop direct and indirect international sales and support channels. In addition, our international operations are subject to other inherent risks, including:</w:t>
      </w:r>
    </w:p>
    <w:p>
      <w:pPr>
        <w:spacing w:after="0" w:line="177"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collection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impacts of differing technical standards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international trade, customs and export control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government regulations limiting or prohibiting potential sales or increasing the cost of doing business in such markets, including reversals or delays in the opening of foreign markets to new competitors or the introduction of new technologies;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challenging pricing environments in highly competitive new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controls, restrictions on repatriation of cash and changes in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the current global economic downturn, health pandemics or epidemics or acts of war or terrorism.</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If we are unable to support our business operations in international and emerging markets, or their further expansion, while balancing the higher operational and financial risks associated with these markets, our business and consolidated financial statements could be harmed.</w:t>
      </w:r>
    </w:p>
    <w:p>
      <w:pPr>
        <w:spacing w:after="0" w:line="186" w:lineRule="exact"/>
        <w:rPr>
          <w:sz w:val="20"/>
          <w:szCs w:val="20"/>
          <w:color w:val="auto"/>
        </w:rPr>
      </w:pPr>
    </w:p>
    <w:p>
      <w:pPr>
        <w:ind w:right="380" w:firstLine="351"/>
        <w:spacing w:after="0" w:line="254" w:lineRule="auto"/>
        <w:rPr>
          <w:sz w:val="20"/>
          <w:szCs w:val="20"/>
          <w:color w:val="auto"/>
        </w:rPr>
      </w:pPr>
      <w:r>
        <w:rPr>
          <w:rFonts w:ascii="Arial" w:cs="Arial" w:eastAsia="Arial" w:hAnsi="Arial"/>
          <w:sz w:val="18"/>
          <w:szCs w:val="18"/>
          <w:color w:val="auto"/>
        </w:rPr>
        <w:t>In addition, we may not be able to develop international market demand for our products, which could impair our ability to grow our revenues. In many international markets, long-standing relationships between potential customers and their local suppliers and protective regulations, including local content requirements and approvals, create barriers to entry. We have limited experience marketing, distributing and supporting our products in certain international locations and, to do so, we expect that we will need to develop versions of our products that comply with local standards. Moreover, difficulties in foreign financial markets and economies and of foreign financial institutions, particularly in emerging markets, could adversely affect demand from customers in the affected countries.</w:t>
      </w:r>
    </w:p>
    <w:p>
      <w:pPr>
        <w:spacing w:after="0" w:line="198"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b w:val="1"/>
          <w:bCs w:val="1"/>
          <w:i w:val="1"/>
          <w:iCs w:val="1"/>
          <w:color w:val="auto"/>
        </w:rPr>
        <w:t>We depend upon a single contract manufacturer and any disruption in this relationship may cause us to fail to meet the demands of our customers and damage our customer relationships. Additionally, in the event we elect to change our manufacturer, qualifying a new contract manufacturer and commencing commercial scale production are expensive and time-consuming activities and could affect our business.</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rely on a contract manufacturer to manufacture our products according to our specifications and to fulfill orders on a timely basis. Reliance on a third-party manufacturer involves a number of risks, including a lack of control over the manufacturing process, inventory management and the potential absence or unavailability of adequate capacity. We do not have the internal manufacturing capabilities to meet our customers' demands. In the event we elect to change our manufacturer, qualifying a new contract manufacturer and commencing commercial scale production are expensive and time-consuming activities and could result in a significant interruption in the supply of our products. If a change in contract manufacturers results in delays in our fulfillment of customer orders or if a contract manufacturer fails to make timely delivery of orders, we may lose revenues and suffer damage to our customer relationships.</w:t>
      </w:r>
    </w:p>
    <w:p>
      <w:pPr>
        <w:spacing w:after="0" w:line="17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We and our contract manufacturer rely on single or limited sources for supply of some components of our products and if we fail to adequately predict our manufacturing requirements or if our supply of any of these components is disrupted, we will be unable to ship our products.</w:t>
      </w:r>
    </w:p>
    <w:p>
      <w:pPr>
        <w:spacing w:after="0" w:line="13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and our contract manufacturer currently purchase several key components of our products, including commercial digital signal processors, from single or limited sources. We purchase these components on a purchase order basis. If we overestimate our component and finished goods requirements, we could have excess inventory, which would increase our costs. If we underestimate our requirements, we may not have an adequate supply, which could interrupt manufacturing of our products and result in delays in shipments and revenues. Additionally, if our contract manufacturer underestimates our requirements, it may not have an adequate supply, which could interrupt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manufacturing of our products and result in delays in shipments. If any of our sole or limited source suppliers experience capacity constraints, work stoppages or other reductions or disruptions in output, they may not be able to meet, or may choose not to meet, our delivery schedules. In light of the continuing uncertainty in global economic conditions, there is also a risk that our distributors could experience interruptions in production or operations or alter our current arrangements.</w:t>
      </w:r>
    </w:p>
    <w:p>
      <w:pPr>
        <w:spacing w:after="0" w:line="161"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We currently do not have long-term supply contracts with our component suppliers and they are not required to supply us with products for any specified periods, in any specified quantities or at any set price, except as may be specified in a particular purchase order. In the event of a disruption or delay in supply, or inability to obtain products, we may not be able to develop an alternate source in a timely manner or at favorable prices, or at all. A failure to find acceptable alternative sources could hurt our ability to deliver high-quality products to our customers and negatively affect our operating margins. In addition, reliance on our suppliers exposes us to potential supplier production difficulties, quality variations and unforeseen price increases. Our customers rely upon our ability to meet committed delivery dates, and any disruption in the supply of key components would seriously adversely affect our ability to meet these dates and could result in loss of customers, harm to our ability to attract new customers, or legal action by our customers. Additionally, any unforeseen price increases could reduce our profitability or force us to increase our prices, which could result in a loss of customers or harm our ability to attract new customers and could have a material adverse effect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hire and retain needed personnel, the implementation of our business plan could slow or our future growth could be jeopardized.</w:t>
      </w:r>
    </w:p>
    <w:p>
      <w:pPr>
        <w:spacing w:after="0" w:line="248" w:lineRule="exact"/>
        <w:rPr>
          <w:sz w:val="20"/>
          <w:szCs w:val="20"/>
          <w:color w:val="auto"/>
        </w:rPr>
      </w:pPr>
    </w:p>
    <w:p>
      <w:pPr>
        <w:ind w:right="340" w:firstLine="351"/>
        <w:spacing w:after="0" w:line="335" w:lineRule="auto"/>
        <w:rPr>
          <w:sz w:val="20"/>
          <w:szCs w:val="20"/>
          <w:color w:val="auto"/>
        </w:rPr>
      </w:pPr>
      <w:r>
        <w:rPr>
          <w:rFonts w:ascii="Arial" w:cs="Arial" w:eastAsia="Arial" w:hAnsi="Arial"/>
          <w:sz w:val="15"/>
          <w:szCs w:val="15"/>
          <w:color w:val="auto"/>
        </w:rPr>
        <w:t>Our business depends upon highly skilled technical, managerial, engineering, sales, marketing and customer support personnel. Competition for these personnel is intense, especially as the economy recovers. Any failure to hire, assimilate in a timely manner and retain needed qualified personnel, particularly engineering and sales personnel, could impair our growth and make it difficult to meet key objectives, such as timely and effective product introductions.</w:t>
      </w:r>
    </w:p>
    <w:p>
      <w:pPr>
        <w:spacing w:after="0" w:line="14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future success depends upon the continued services of our executive officers who have critical industry experience and relationships that we rely on to implement our business plan. With the exception of our key employees based in the European Union, none of our officers or key employees is bound by an employment agreement for any specific term. The loss of the services of any of our officers or key employees could delay the development and introduction of, and negatively impact our ability to sell, our products and achieve our business objectives.</w:t>
      </w:r>
    </w:p>
    <w:p>
      <w:pPr>
        <w:spacing w:after="0" w:line="16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had three executive departures in fiscal 2011, including the departure of our Chief Financial Officer and our Vice President of Product Operations, both on August 25, 2011, and the departure of our Vice President of Engineering and Chief Architect on April 3, 2011. While we have since hired replacements, there is always a risk of uncertainty and instability relating to our ability to find highly qualified successors for certain executive positions and to transition the duties and responsibilities of any departing key executive in an orderly manner.</w:t>
      </w:r>
    </w:p>
    <w:p>
      <w:pPr>
        <w:spacing w:after="0" w:line="19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We test our products before they are deployed. However, because our products are sophisticated and designed to be deployed in complex environments, they may have errors or defects that we find only after full deployment, which could seriously harm our business.</w:t>
      </w:r>
    </w:p>
    <w:p>
      <w:pPr>
        <w:spacing w:after="0" w:line="13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products are sophisticated and are designed to be deployed in large and complex networks. We test our products before they are deployed. However, because of the nature of our products, they can only be fully tested when substantially deployed in very large networks with high volumes of traffic. Some of our customers may discover errors or defects in the software or hardware, or the products may not operate as expected after full deployment. As we continue to expand our distribution channel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through distributors and resellers, we will need to rely on and support their service and support organizations. If we are unable to fix errors or other performance problems that may be identified after full deployment of our products, we could experience:</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or delay in, revenues or increased expense;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costly and time-consuming legal actions by our customers.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are not able to obtain necessary licenses or on-going maintenance and support of third-party technology at acceptable prices, on acceptable terms, or at all, it could harm our operating results or business.</w:t>
      </w:r>
    </w:p>
    <w:p>
      <w:pPr>
        <w:spacing w:after="0" w:line="186" w:lineRule="exact"/>
        <w:rPr>
          <w:sz w:val="20"/>
          <w:szCs w:val="20"/>
          <w:color w:val="auto"/>
        </w:rPr>
      </w:pPr>
    </w:p>
    <w:p>
      <w:pPr>
        <w:jc w:val="both"/>
        <w:ind w:right="120" w:firstLine="348"/>
        <w:spacing w:after="0" w:line="284" w:lineRule="auto"/>
        <w:rPr>
          <w:sz w:val="20"/>
          <w:szCs w:val="20"/>
          <w:color w:val="auto"/>
        </w:rPr>
      </w:pPr>
      <w:r>
        <w:rPr>
          <w:rFonts w:ascii="Arial" w:cs="Arial" w:eastAsia="Arial" w:hAnsi="Arial"/>
          <w:sz w:val="16"/>
          <w:szCs w:val="16"/>
          <w:color w:val="auto"/>
        </w:rPr>
        <w:t>We have incorporated third-party licensed technology, including open source software, into our current products. From time to time, we may be required to license additional technology from third parties to develop new products or product enhancements. Third-party licenses and on-going maintenance and support may not be available or continue to be available to us on commercially reasonable terms or may be available to us but only at significantly escalated pricing.</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Additionally, we may not be able to replace the functionality provided by third-party software currently offered with our products if that software becomes obsolete, defective or incompatible with future versions of our products or is not adequately maintained or updated. The inability to maintain or re-license any third-party licenses required in our current products or to obtain any new third-party licenses to develop new products and product enhancements could require us to obtain substitute technology of lower quality or performance standards or at greater cost, and delay or prevent us from making these products or enhancements, any of which could seriously harm the competitiveness of our products. Any significant interruption in the availability of these third-party software products or defects in these products could harm our sales unless and until we can secure an alternative source. Although we believe there are adequate alternate sources for the technology licensed to us, such alternate sources may not provide us with the same functionality as that currently provided to us.</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our products are deployed in large, complex networks around the world, failure to establish a support infrastructure and maintain required support levels could seriously harm our business.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products are deployed in large and complex networks around the world. Our customers expect us to establish a support infrastructure and maintain demanding support standards to ensure that their networks maintain high levels of availability and performance. To support the continued growth of our business, our support organization will need to provide service and support at a high level throughout the world. If we are unable to provide the expected level of support and service to our customers, we could experience:</w:t>
      </w:r>
    </w:p>
    <w:p>
      <w:pPr>
        <w:spacing w:after="0" w:line="21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attract new customers in new geographies;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telecommunications industry could harm our business.</w:t>
      </w:r>
    </w:p>
    <w:p>
      <w:pPr>
        <w:spacing w:after="0" w:line="225"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telecommunications industry has experienced consolidation and we expect this trend to continue. Consolidation among our customers may cause delays or reductions in capital expenditure plans and/or increased competitive pricing pressures as the number of available customers declines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relative purchasing power of customers increases in relation to suppliers. Any of these factors could adversely affect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some of our customers and to credit exposures in weakened markets, which could result in material losses.</w:t>
      </w:r>
    </w:p>
    <w:p>
      <w:pPr>
        <w:spacing w:after="0" w:line="24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Due to our reliance on significant customer contracts, we are dependent on the continued financial strength of our customers. If one or more of our significant customers experience financial difficulties, it could result in uncollectible accounts receivable and our loss of significant customers and anticipated service revenue.</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Most of our sales are on an open credit basis, with typical payment terms of 30 to 45 days. We monitor individual customer payment capability in granting such open credit arrangements, seek to limit such open credit to amounts we believe our customers can pay and maintain reserves we believe are adequate to cover exposure for doubtful accounts. However, there can be no assurance that our open credit customers will pay the amounts they owe to us or that the reserves we maintain will be adequate to cover such credit exposure. Our customers' failure to pay and/or our failure to maintain sufficient reserves could have a material adverse effect on our consolidated financial statements. Additionally, in the event that turmoil in the credit markets makes it more difficult for some customers to obtain financing, those customers' ability to pay could be adversely impacted, which in turn could have a material adverse impact on our business and consolidated financial statements.</w:t>
      </w:r>
    </w:p>
    <w:p>
      <w:pPr>
        <w:spacing w:after="0" w:line="172"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 portion of our sales is derived through our distributors. As distributors tend to have more limited financial resources than other resellers and end-user customers, they generally represent sources of increased credit risk.</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The hardware products that we purchase from our third-party vendors have life cycles, and some of those products have reached the end of their life cycles. If we are unable to correctly estimate future requirements for these products, it could harm our operating results or business.</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Some of the hardware products that we purchase from our third-party vendors have reached the end of their life cycles. It may be difficult for us to maintain appropriate levels of the discontinued hardware to adequately ensure that we do not have a shortage or surplus of inventory of these products. If we do not correctly forecast the demand for such hardware, we could have excess inventory and may need to write off the costs related to such purchases. The write-off of surplus inventory could materially and adversely affect our operating results. However, if we underestimate our forecast and our customers place orders to purchase more products than are available, we may not have sufficient inventory to support their needs. If we are unable to provide our customers with enough of these products, it could make it difficult to retain certain customers, which could have a material and adverse effect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Man-made problems, such as computer viruses, hacking or terrorism, and natural disasters may disrupt our operations and harm our operating results.</w:t>
      </w:r>
    </w:p>
    <w:p>
      <w:pPr>
        <w:spacing w:after="0" w:line="26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Despite our implementation of network security measures, our servers are vulnerable to computer viruses, break-ins and similar disruptions from unauthorized tampering with our computer systems. Any attack on our servers could have a material adverse effect on our business and consolidated financial statements. Additionally, the information systems of our customers could be compromised due to computer viruses, break-ins and hacking, which could lead to unauthorized tampering with our products and may result in, among other things, the disruption of our customers' business, errors or defects occurring in the software due to such unauthorized tampering, and our products not operating as expected after such unauthorized tampering. Such consequences could affect our reputation and have a material adverse effect on our business and consolidated financial statements. Efforts to limit the 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malicious third parties to disrupt the operations of the Internet or undermine our own security efforts may be met with resistance. In addition, the continued threat of terrorism and heightened security and military action in response to this threat, or any future acts of terrorism, may cause further disruptions to the economies of the United States and other countries and create further uncertainties or otherwise materially harm our business and consolidated financial statements. Likewise, events such as work stoppages or widespread blackouts could have similar negative impacts. Such disruptions or uncertainties could result in delays or cancellations of customer orders or the manufacture or shipment of our products and have a material adverse effect on our business and consolidated financial statements. Natural catastrophic events, such as earthquakes, fire, floods, or tornadoes, may also affect our or our customers' operations and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breach of the security of our information systems or those of our third-party providers could adversely affect our operating results.</w:t>
      </w:r>
    </w:p>
    <w:p>
      <w:pPr>
        <w:spacing w:after="0" w:line="248"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rely upon the security of our information systems and, in certain circumstances, those of our third-party providers, such as vendors, consultants and contract manufacturers, to protect our proprietary information and information of our customers. Despite our security procedures and those of our third-party providers, our information systems and those of our third-party service providers may be vulnerable to threats such as computer hacking, cyber-terrorism or other unauthorized attempts by third parties to access, modify or delete our or our customers' proprietary information. Information technology system failures, including a breach of our or our third-party providers' data security measures, or the theft or loss of laptops, other mobile devices or electronic records used to back up our systems or our third-party providers' systems, could result in an unintentional disclosure of customer, employee or our information or otherwise disrupt our ability to function in the normal course of business by potentially causing, among other things, delays in the fulfillment or cancellation of customer orders or disruptions in the manufacture or shipment of products or delivery of services, any of which could have a material adverse effect on our operating results. Such consequences could be exacerbated if we or our third party providers are unable to adequately recover critical systems following a systems failure.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or circumvention of our controls and procedures could impair our ability to report accurate financial results and could seriously harm our business.</w:t>
      </w:r>
    </w:p>
    <w:p>
      <w:pPr>
        <w:spacing w:after="0" w:line="260" w:lineRule="exact"/>
        <w:rPr>
          <w:sz w:val="20"/>
          <w:szCs w:val="20"/>
          <w:color w:val="auto"/>
        </w:rPr>
      </w:pPr>
    </w:p>
    <w:p>
      <w:pPr>
        <w:ind w:right="360" w:firstLine="341"/>
        <w:spacing w:after="0" w:line="306" w:lineRule="auto"/>
        <w:rPr>
          <w:sz w:val="20"/>
          <w:szCs w:val="20"/>
          <w:color w:val="auto"/>
        </w:rPr>
      </w:pPr>
      <w:r>
        <w:rPr>
          <w:rFonts w:ascii="Arial" w:cs="Arial" w:eastAsia="Arial" w:hAnsi="Arial"/>
          <w:sz w:val="16"/>
          <w:szCs w:val="16"/>
          <w:color w:val="auto"/>
        </w:rPr>
        <w:t>Any system of controls, however well designed and operated, is based in part on certain assumptions and can provide only reasonable, and not absolute, assurances that the objectives of the system are met. The failure or circumvention of our controls, policies and procedures could impair our ability to report accurate financial results and could have a material adverse effect on our business and consolidated financial statements.</w:t>
      </w:r>
    </w:p>
    <w:p>
      <w:pPr>
        <w:spacing w:after="0" w:line="16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 For example, Accounting Standards Updates 2009-13 and 2009-14 became effective for us in fiscal 2011, and their adoption had a material impact on our revenue in fiscal 2011. In addition, the International Accounting Standards Board and Financial Accounting Standards Board joint project on lease accounting is expected to be finalized in 2012 or 2013 and a new revenue recognition standard is expected to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finalized in 2012. Both new standards, if ratified, could be effective for companies as early as 2015. We have not yet assessed the impact of adopting these potential new standards.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business strategy related to product and maintenance offerings and pricing could affect revenue recognition.</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business strategy and competition within the industry could exert pricing pressure on our maintenance offerings. Changes in our product or maintenance offerings or packages and related pricing could affect the amount of revenue recognized in a reporting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generally accepted accounting principles, we review our intangible assets for impairment when events or changes in circumstances indicate the carrying value may not be recoverable. Goodwill is tested for impairment at least annually. Factors that may be considered a change in circumstances indicating that the carrying value of our goodwill or intangible assets may not be recoverable include significant underperformance relative to plan or long-term projections, strategic changes in business strategy, significant negative industry or economic trends, significant change in circumstances relative to a large customer, significant decline in our stock price for a sustained period and decline in our market capitalization to below net book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strategic partners or by us in integrating products provided by our strategic partners could harm our business.</w:t>
      </w:r>
    </w:p>
    <w:p>
      <w:pPr>
        <w:spacing w:after="0" w:line="225"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Our solutions include the integration of products supplied by strategic partners, who offer complementary products and services. We rely on these strategic partners in the timely and successful deployment of our solutions to our customers. If the products provided by these partners have defects or do not operate as expected, if the services provided by these partners are not completed in a timely manner, or if we do not effectively integrate and support products supplied by these strategic partners, then we may have difficulty with the deployment of our solutions that may result in:</w:t>
      </w:r>
    </w:p>
    <w:p>
      <w:pPr>
        <w:spacing w:after="0" w:line="180"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In addition to cooperating with our strategic partners on specific customer projects, we also may compete in some areas with these same partners. If these strategic partners fail to perform or choose not to cooperate with us on certain projects, in addition to the effects described above, we could experience:</w:t>
      </w:r>
    </w:p>
    <w:p>
      <w:pPr>
        <w:spacing w:after="0" w:line="15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customers and market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 for our products.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in the future we do not have a sufficient number of shares available to issue to our employees, the limited number of shares we could issue may impact our ability to attract, retain and motivate key personnel.</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historically have used stock options as a significant component of our employee compensation program in order to align employees' interests with the interests of our stockholders, encourage employee retention, and provide competitive compensation packages. In 2007, our stockholders approved a stock incentive plan, which includes a limited amount of shares to be granted under such plan. When the number of shares available to us under our stock incentive plan no longer is sufficient, it is not certain that our stockholders will approve an increase in the number of shares that we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authorized to issue under that plan. The limited number of shares available for use as equity incentives to employees may make it more difficult for us to attract, retain and motivate key personnel.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and reliance upon development resources in India may expose us to unanticipated costs and/or liabilities.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a significant development center in Bangalore, India and, in recent years, have increased headcount and development activity at this facility. The employees at this facility consist principally of research and development personnel. There is no assurance that our reliance upon development resources in India will enable us to achieve meaningful cost reductions or greater resource efficiency. Further, our development efforts and other operations in India involve significant risks, including:</w:t>
      </w:r>
    </w:p>
    <w:p>
      <w:pPr>
        <w:spacing w:after="0" w:line="211" w:lineRule="exact"/>
        <w:rPr>
          <w:sz w:val="20"/>
          <w:szCs w:val="20"/>
          <w:color w:val="auto"/>
        </w:rPr>
      </w:pPr>
    </w:p>
    <w:p>
      <w:pPr>
        <w:ind w:left="1080" w:right="3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hiring and retaining appropriate engineering and management resources due to intense competition for such resources and resulting wage inflation;</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knowledge transfer related to our technology and resulting exposure to misappropriation of intellectual property or information that is proprietary to us, our customers and other third parties;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heightened exposure to changes in economic, security and political conditions in India;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Difficulties resulting from the factors noted above and other risks related to our operations in India could increase our expenses, impair our development efforts, harm our competitive position and damage our reputation.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Because a portion of our business is conducted outside the United States, we face exposure to adverse movements in foreign currency exchange rates. These exposures may change over time as business practices evolve, and they could have a material adverse impact on our financial results and cash flows. An increase in the value of the dollar could increase the real cost to our customers of our products in those markets outside the United States where we often sell in dollars, and a weakened dollar could increase the cost of local operating expenses and procurement of raw materials from sources outside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the Foreign Corrupt Practices Act or the UK Bribery Act could subject us to significant civil or criminal penalties.</w:t>
      </w:r>
    </w:p>
    <w:p>
      <w:pPr>
        <w:spacing w:after="0" w:line="248" w:lineRule="exact"/>
        <w:rPr>
          <w:sz w:val="20"/>
          <w:szCs w:val="20"/>
          <w:color w:val="auto"/>
        </w:rPr>
      </w:pPr>
    </w:p>
    <w:p>
      <w:pPr>
        <w:ind w:right="60" w:firstLine="348"/>
        <w:spacing w:after="0" w:line="309" w:lineRule="auto"/>
        <w:rPr>
          <w:sz w:val="20"/>
          <w:szCs w:val="20"/>
          <w:color w:val="auto"/>
        </w:rPr>
      </w:pPr>
      <w:r>
        <w:rPr>
          <w:rFonts w:ascii="Arial" w:cs="Arial" w:eastAsia="Arial" w:hAnsi="Arial"/>
          <w:sz w:val="15"/>
          <w:szCs w:val="15"/>
          <w:color w:val="auto"/>
        </w:rPr>
        <w:t>We earn a significant portion of our total revenues from international sales generated through our foreign direct and indirect operations. As a result, we are subject to the Foreign Corrupt Practices Act of 1977, as amended, or the FCPA, and the UK Bribery Act of 2010, or the UKBA, which are laws that prohibit bribery in the conduct of business. The FCPA generally prohibits U.S. companies and their intermediaries from making corrupt payments to foreign officials for the purpose of obtaining or keeping business or otherwise obtaining favorable treatment, and requires companies to maintain adequate record-keeping and internal accounting practices to accurately reflect the transactions of the company. The FCPA applies to companies, individual directors, officers, employees and agents. The UKBA is much broader and prohibits all bribery, in both the public and private sectors. Although the UKBA does not contain a separate financial records provision, such a requirement is captured under other UK legislation. Under the FCPA and the UKBA, U.S. companies, their subsidiaries, employees, senior officers and/or directors may be held liable for actions taken by strategic or local partners or representatives. In addition, the U.S. government or the UK government, as applicable, may seek to hold our Company liable for successor liability violations committed by companies in which we acquire.</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If we or our intermediaries fail to comply with the requirements of the FCPA and the UKBA, governmental authorities in the United States and the United Kingdom, as applicable, could seek to impose civil and/or criminal penalties, which could have a material adverse effect on our reputation and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jc w:val="both"/>
        <w:ind w:right="100" w:firstLine="351"/>
        <w:spacing w:after="0" w:line="284" w:lineRule="auto"/>
        <w:rPr>
          <w:sz w:val="20"/>
          <w:szCs w:val="20"/>
          <w:color w:val="auto"/>
        </w:rPr>
      </w:pPr>
      <w:r>
        <w:rPr>
          <w:rFonts w:ascii="Arial" w:cs="Arial" w:eastAsia="Arial" w:hAnsi="Arial"/>
          <w:sz w:val="16"/>
          <w:szCs w:val="16"/>
          <w:color w:val="auto"/>
        </w:rPr>
        <w:t>Our products are subject to U.S. export controls and may be exported outside the United States only with the required level of export license or through an export license exception because we incorporate encryption technology into our products. In addition, various countries regulate the import of certain encryption technology and have enacted laws that could limit our ability to distribute our products or our customers' ability to implement our products in those countries.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Changes in our products or changes in export and import regulations may create delays in the introduction of our products in international markets, prevent our customers with international operations from deploying our products throughout their global systems or, in some cases, prevent the export or import of our products to certain countries altogether. Any change in export or import regulations or related legislation, shift in approach to the enforcement or scope of existing regulations or change in the countries,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have a material adverse effect on our business and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telecommunications industry could harm our operating results and future prospects.</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telecommunications industry is highly regulated and our business and financial condition could be adversely affected by changes in the regulations relating to the telecommunications industry. Currently, there are few laws or regulations that apply directly to access to or delivery of voice services on IP networks. We could be adversely affected by regulation of IP networks and commerce in any country where we operate, including the United States. Such regulations could include matters such as voice over the Internet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and consolidated financial statements.</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740" w:firstLine="348"/>
        <w:spacing w:after="0" w:line="370" w:lineRule="auto"/>
        <w:rPr>
          <w:sz w:val="20"/>
          <w:szCs w:val="20"/>
          <w:color w:val="auto"/>
        </w:rPr>
      </w:pPr>
      <w:r>
        <w:rPr>
          <w:rFonts w:ascii="Arial" w:cs="Arial" w:eastAsia="Arial" w:hAnsi="Arial"/>
          <w:sz w:val="15"/>
          <w:szCs w:val="15"/>
          <w:color w:val="auto"/>
        </w:rPr>
        <w:t>We do not have any currently effective authorization to repurchase shares of our common stock. However, upon vesting of restricted stock awards, employees are permitted to return to us a portion of the newly-vested shares to satisfy the tax withholding obligations that arise in connection with such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vesting. The following table summarizes repurchases of our common stock during the second quarter of fiscal 2012, which represent shares returned to satisfy tax withholding obligations: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as Part of</w:t>
            </w: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16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16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6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through April 27,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April 28 through May 25, 2012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26 through June 29,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
                <w:szCs w:val="2"/>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2"/>
                <w:szCs w:val="2"/>
                <w:color w:val="auto"/>
              </w:rPr>
            </w:pPr>
          </w:p>
        </w:tc>
        <w:tc>
          <w:tcPr>
            <w:tcW w:w="1280" w:type="dxa"/>
            <w:vAlign w:val="bottom"/>
            <w:vMerge w:val="restart"/>
          </w:tcPr>
          <w:p>
            <w:pPr>
              <w:ind w:left="1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1640" w:type="dxa"/>
            <w:vAlign w:val="bottom"/>
            <w:gridSpan w:val="2"/>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18,256</w:t>
            </w:r>
          </w:p>
        </w:tc>
        <w:tc>
          <w:tcPr>
            <w:tcW w:w="2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information set forth in Note 14 Subsequent Event to our Notes to Condensed Consolidated Financial Statements regarding restructuring activity adopted on August 3, 2012 is incorporated herein by reference.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w w:val="96"/>
              </w:rPr>
              <w:t>Agreement and Plan of Merger, dated as of June 18, 2012, by and among Sonus Networks, Inc., Navy</w:t>
            </w:r>
          </w:p>
        </w:tc>
      </w:tr>
      <w:tr>
        <w:trPr>
          <w:trHeight w:val="216"/>
        </w:trPr>
        <w:tc>
          <w:tcPr>
            <w:tcW w:w="110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8"/>
              </w:rPr>
              <w:t>Acquisition Subsidiary, Inc. and Network Equipment Technologies, Inc. (incorporated by reference to</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Exhibit 2.1 to the registrant's Current Report on Form 8-K, filed June 19, 2012 with the SEC).</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101.INS**</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101.SCH**</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101.CAL**</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101.DEF**</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101.LAB**</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101.PRE**</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line="259" w:lineRule="auto"/>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17 of the Securities Exchange Act of 1934 and otherwise are not subject to liability.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August 8, 2012</w:t>
      </w:r>
      <w:r>
        <w:rPr>
          <w:sz w:val="20"/>
          <w:szCs w:val="20"/>
          <w:color w:val="auto"/>
        </w:rPr>
        <w:tab/>
      </w:r>
      <w:r>
        <w:rPr>
          <w:rFonts w:ascii="Arial" w:cs="Arial" w:eastAsia="Arial" w:hAnsi="Arial"/>
          <w:sz w:val="16"/>
          <w:szCs w:val="16"/>
          <w:color w:val="auto"/>
        </w:rPr>
        <w:t>SONUS NETWORKS, INC.</w:t>
      </w:r>
    </w:p>
    <w:p>
      <w:pPr>
        <w:spacing w:after="0" w:line="252" w:lineRule="exact"/>
        <w:rPr>
          <w:sz w:val="20"/>
          <w:szCs w:val="20"/>
          <w:color w:val="auto"/>
        </w:rPr>
      </w:pPr>
    </w:p>
    <w:p>
      <w:pPr>
        <w:ind w:left="574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Dated: August 8,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ELMER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85725</wp:posOffset>
            </wp:positionV>
            <wp:extent cx="33445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12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Elmer Lai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Vice President, Finance, Corporate Controller</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and Chief Accounting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740" w:type="dxa"/>
            <w:vAlign w:val="bottom"/>
          </w:tcPr>
          <w:p>
            <w:pPr>
              <w:ind w:left="14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w w:val="96"/>
              </w:rPr>
              <w:t>Agreement and Plan of Merger, dated as of June 18, 2012, by and among Sonus Networks, Inc., Navy</w:t>
            </w:r>
          </w:p>
        </w:tc>
      </w:tr>
      <w:tr>
        <w:trPr>
          <w:trHeight w:val="216"/>
        </w:trPr>
        <w:tc>
          <w:tcPr>
            <w:tcW w:w="110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8"/>
              </w:rPr>
              <w:t>Acquisition Subsidiary, Inc. and Network Equipment Technologies, Inc. (incorporated by reference to</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Exhibit 2.1 to the registrant's Current Report on Form 8-K, filed June 19, 2012 with the SEC).</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101.INS**</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101.SCH**</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101.CAL**</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101.DEF**</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101.LAB**</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101.PRE**</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line="259"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17 of the Securities Exchange Act of 1934 and otherwise are not subject to liability.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spacing w:after="0"/>
        <w:rPr>
          <w:rFonts w:ascii="Arial" w:cs="Arial" w:eastAsia="Arial" w:hAnsi="Arial"/>
          <w:sz w:val="22"/>
          <w:szCs w:val="22"/>
          <w:color w:val="0000EE"/>
        </w:rPr>
      </w:pPr>
      <w:hyperlink w:anchor="page6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Raymond P. Dolan, certify that:</w:t>
      </w:r>
    </w:p>
    <w:p>
      <w:pPr>
        <w:spacing w:after="0" w:line="225" w:lineRule="exact"/>
        <w:rPr>
          <w:sz w:val="20"/>
          <w:szCs w:val="20"/>
          <w:color w:val="auto"/>
        </w:rPr>
      </w:pPr>
    </w:p>
    <w:p>
      <w:pPr>
        <w:ind w:left="72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148590</wp:posOffset>
            </wp:positionV>
            <wp:extent cx="28555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60" w:name="page61"/>
    <w:bookmarkEnd w:id="60"/>
    <w:p>
      <w:pPr>
        <w:spacing w:after="0"/>
        <w:rPr>
          <w:rFonts w:ascii="Arial" w:cs="Arial" w:eastAsia="Arial" w:hAnsi="Arial"/>
          <w:sz w:val="22"/>
          <w:szCs w:val="22"/>
          <w:color w:val="0000EE"/>
        </w:rPr>
      </w:pPr>
      <w:hyperlink w:anchor="page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Maurice Castonguay, certify that:</w:t>
      </w:r>
    </w:p>
    <w:p>
      <w:pPr>
        <w:spacing w:after="0" w:line="225" w:lineRule="exact"/>
        <w:rPr>
          <w:sz w:val="20"/>
          <w:szCs w:val="20"/>
          <w:color w:val="auto"/>
        </w:rPr>
      </w:pPr>
    </w:p>
    <w:p>
      <w:pPr>
        <w:ind w:left="720" w:hanging="361"/>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148590</wp:posOffset>
            </wp:positionV>
            <wp:extent cx="28555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62" w:name="page63"/>
    <w:bookmarkEnd w:id="62"/>
    <w:p>
      <w:pPr>
        <w:spacing w:after="0"/>
        <w:rPr>
          <w:rFonts w:ascii="Arial" w:cs="Arial" w:eastAsia="Arial" w:hAnsi="Arial"/>
          <w:sz w:val="22"/>
          <w:szCs w:val="22"/>
          <w:color w:val="0000EE"/>
        </w:rPr>
      </w:pPr>
      <w:hyperlink w:anchor="page6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80" w:firstLine="351"/>
        <w:spacing w:after="0" w:line="335" w:lineRule="auto"/>
        <w:rPr>
          <w:sz w:val="20"/>
          <w:szCs w:val="20"/>
          <w:color w:val="auto"/>
        </w:rPr>
      </w:pPr>
      <w:r>
        <w:rPr>
          <w:rFonts w:ascii="Arial" w:cs="Arial" w:eastAsia="Arial" w:hAnsi="Arial"/>
          <w:sz w:val="15"/>
          <w:szCs w:val="15"/>
          <w:color w:val="auto"/>
        </w:rPr>
        <w:t>In connection with the Quarterly Report on Form 10-Q of Sonus Networks, Inc. (the "Company") for the period ended June 29, 2012 as filed with the Securities and Exchange Commission on the date hereof (the "Report"), the undersigned, Raymond P. Dolan, President and Chief Executive Officer of the Company, hereby certifies, pursuant to 18 U.S.C. Section 1350, as adopted pursuant to Section 906 of the Sarbanes-Oxley Act of 2002, that to his knowledge:</w:t>
      </w:r>
    </w:p>
    <w:p>
      <w:pPr>
        <w:spacing w:after="0" w:line="142" w:lineRule="exact"/>
        <w:rPr>
          <w:sz w:val="20"/>
          <w:szCs w:val="20"/>
          <w:color w:val="auto"/>
        </w:rPr>
      </w:pPr>
    </w:p>
    <w:p>
      <w:pPr>
        <w:ind w:left="1240" w:hanging="341"/>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 August 8, 2012</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148590</wp:posOffset>
            </wp:positionV>
            <wp:extent cx="31902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64" w:name="page65"/>
    <w:bookmarkEnd w:id="64"/>
    <w:p>
      <w:pPr>
        <w:spacing w:after="0"/>
        <w:rPr>
          <w:rFonts w:ascii="Arial" w:cs="Arial" w:eastAsia="Arial" w:hAnsi="Arial"/>
          <w:sz w:val="22"/>
          <w:szCs w:val="22"/>
          <w:color w:val="0000EE"/>
        </w:rPr>
      </w:pPr>
      <w:hyperlink w:anchor="page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June 29, 2012 as filed with the Securities and Exchange Commission on the date hereof (the "Report"), the undersigned, Maurice Castonguay,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8, 2012</w:t>
      </w:r>
    </w:p>
    <w:p>
      <w:pPr>
        <w:ind w:left="5820"/>
        <w:spacing w:after="0"/>
        <w:rPr>
          <w:sz w:val="20"/>
          <w:szCs w:val="20"/>
          <w:color w:val="auto"/>
        </w:rPr>
      </w:pP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2019-12-09T14:14:39Z</dcterms:created>
  <dcterms:modified xsi:type="dcterms:W3CDTF">2019-12-09T14:14:39Z</dcterms:modified>
</cp:coreProperties>
</file>