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2726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116840</wp:posOffset>
            </wp:positionV>
            <wp:extent cx="18319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975" cy="698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379" w:lineRule="exact"/>
        <w:rPr>
          <w:sz w:val="24"/>
          <w:szCs w:val="24"/>
          <w:color w:val="auto"/>
        </w:rPr>
      </w:pPr>
    </w:p>
    <w:p>
      <w:pPr>
        <w:ind w:left="840" w:hanging="559"/>
        <w:spacing w:after="0"/>
        <w:tabs>
          <w:tab w:leader="none" w:pos="8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2010</w:t>
      </w:r>
    </w:p>
    <w:p>
      <w:pPr>
        <w:spacing w:after="0" w:line="199" w:lineRule="exact"/>
        <w:rPr>
          <w:sz w:val="24"/>
          <w:szCs w:val="24"/>
          <w:color w:val="auto"/>
        </w:rPr>
      </w:pPr>
    </w:p>
    <w:p>
      <w:pPr>
        <w:ind w:left="840" w:hanging="527"/>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7480" w:type="dxa"/>
            <w:vAlign w:val="bottom"/>
            <w:gridSpan w:val="3"/>
          </w:tcPr>
          <w:p>
            <w:pPr>
              <w:jc w:val="center"/>
              <w:ind w:left="3926"/>
              <w:spacing w:after="0"/>
              <w:rPr>
                <w:sz w:val="20"/>
                <w:szCs w:val="20"/>
                <w:color w:val="auto"/>
              </w:rPr>
            </w:pPr>
            <w:r>
              <w:rPr>
                <w:rFonts w:ascii="Arial" w:cs="Arial" w:eastAsia="Arial" w:hAnsi="Arial"/>
                <w:sz w:val="14"/>
                <w:szCs w:val="14"/>
                <w:b w:val="1"/>
                <w:bCs w:val="1"/>
                <w:color w:val="auto"/>
                <w:w w:val="91"/>
              </w:rPr>
              <w:t>Commission File Number 001-34115</w:t>
            </w:r>
          </w:p>
        </w:tc>
        <w:tc>
          <w:tcPr>
            <w:tcW w:w="3980" w:type="dxa"/>
            <w:vAlign w:val="bottom"/>
          </w:tcPr>
          <w:p>
            <w:pPr>
              <w:spacing w:after="0"/>
              <w:rPr>
                <w:sz w:val="16"/>
                <w:szCs w:val="16"/>
                <w:color w:val="auto"/>
              </w:rPr>
            </w:pPr>
          </w:p>
        </w:tc>
      </w:tr>
      <w:tr>
        <w:trPr>
          <w:trHeight w:val="464"/>
        </w:trPr>
        <w:tc>
          <w:tcPr>
            <w:tcW w:w="7480" w:type="dxa"/>
            <w:vAlign w:val="bottom"/>
            <w:gridSpan w:val="3"/>
          </w:tcPr>
          <w:p>
            <w:pPr>
              <w:jc w:val="center"/>
              <w:ind w:left="3926"/>
              <w:spacing w:after="0"/>
              <w:rPr>
                <w:sz w:val="20"/>
                <w:szCs w:val="20"/>
                <w:color w:val="auto"/>
              </w:rPr>
            </w:pPr>
            <w:r>
              <w:rPr>
                <w:rFonts w:ascii="Arial" w:cs="Arial" w:eastAsia="Arial" w:hAnsi="Arial"/>
                <w:sz w:val="26"/>
                <w:szCs w:val="26"/>
                <w:b w:val="1"/>
                <w:bCs w:val="1"/>
                <w:color w:val="auto"/>
                <w:w w:val="99"/>
              </w:rPr>
              <w:t>SONUS NETWORKS, INC.</w:t>
            </w:r>
          </w:p>
        </w:tc>
        <w:tc>
          <w:tcPr>
            <w:tcW w:w="3980" w:type="dxa"/>
            <w:vAlign w:val="bottom"/>
          </w:tcPr>
          <w:p>
            <w:pPr>
              <w:spacing w:after="0"/>
              <w:rPr>
                <w:sz w:val="24"/>
                <w:szCs w:val="24"/>
                <w:color w:val="auto"/>
              </w:rPr>
            </w:pPr>
          </w:p>
        </w:tc>
      </w:tr>
      <w:tr>
        <w:trPr>
          <w:trHeight w:val="181"/>
        </w:trPr>
        <w:tc>
          <w:tcPr>
            <w:tcW w:w="7480" w:type="dxa"/>
            <w:vAlign w:val="bottom"/>
            <w:gridSpan w:val="3"/>
          </w:tcPr>
          <w:p>
            <w:pPr>
              <w:jc w:val="center"/>
              <w:ind w:left="3906"/>
              <w:spacing w:after="0"/>
              <w:rPr>
                <w:sz w:val="20"/>
                <w:szCs w:val="20"/>
                <w:color w:val="auto"/>
              </w:rPr>
            </w:pPr>
            <w:r>
              <w:rPr>
                <w:rFonts w:ascii="Arial" w:cs="Arial" w:eastAsia="Arial" w:hAnsi="Arial"/>
                <w:sz w:val="14"/>
                <w:szCs w:val="14"/>
                <w:color w:val="auto"/>
                <w:w w:val="91"/>
              </w:rPr>
              <w:t>(Exact name of Registrant as specified in its charter)</w:t>
            </w:r>
          </w:p>
        </w:tc>
        <w:tc>
          <w:tcPr>
            <w:tcW w:w="3980" w:type="dxa"/>
            <w:vAlign w:val="bottom"/>
          </w:tcPr>
          <w:p>
            <w:pPr>
              <w:spacing w:after="0"/>
              <w:rPr>
                <w:sz w:val="15"/>
                <w:szCs w:val="15"/>
                <w:color w:val="auto"/>
              </w:rPr>
            </w:pPr>
          </w:p>
        </w:tc>
      </w:tr>
      <w:tr>
        <w:trPr>
          <w:trHeight w:val="344"/>
        </w:trPr>
        <w:tc>
          <w:tcPr>
            <w:tcW w:w="74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8"/>
              </w:rPr>
              <w:t>DELAWARE</w:t>
            </w:r>
          </w:p>
        </w:tc>
        <w:tc>
          <w:tcPr>
            <w:tcW w:w="3980" w:type="dxa"/>
            <w:vAlign w:val="bottom"/>
          </w:tcPr>
          <w:p>
            <w:pPr>
              <w:jc w:val="right"/>
              <w:ind w:right="2332"/>
              <w:spacing w:after="0"/>
              <w:rPr>
                <w:sz w:val="20"/>
                <w:szCs w:val="20"/>
                <w:color w:val="auto"/>
              </w:rPr>
            </w:pPr>
            <w:r>
              <w:rPr>
                <w:rFonts w:ascii="Arial" w:cs="Arial" w:eastAsia="Arial" w:hAnsi="Arial"/>
                <w:sz w:val="14"/>
                <w:szCs w:val="14"/>
                <w:b w:val="1"/>
                <w:bCs w:val="1"/>
                <w:color w:val="auto"/>
              </w:rPr>
              <w:t>04-3387074</w:t>
            </w:r>
          </w:p>
        </w:tc>
      </w:tr>
      <w:tr>
        <w:trPr>
          <w:trHeight w:val="175"/>
        </w:trPr>
        <w:tc>
          <w:tcPr>
            <w:tcW w:w="7480" w:type="dxa"/>
            <w:vAlign w:val="bottom"/>
            <w:gridSpan w:val="3"/>
          </w:tcPr>
          <w:p>
            <w:pPr>
              <w:jc w:val="center"/>
              <w:ind w:right="1960"/>
              <w:spacing w:after="0"/>
              <w:rPr>
                <w:sz w:val="20"/>
                <w:szCs w:val="20"/>
                <w:color w:val="auto"/>
              </w:rPr>
            </w:pPr>
            <w:r>
              <w:rPr>
                <w:rFonts w:ascii="Arial" w:cs="Arial" w:eastAsia="Arial" w:hAnsi="Arial"/>
                <w:sz w:val="14"/>
                <w:szCs w:val="14"/>
                <w:color w:val="auto"/>
                <w:w w:val="93"/>
              </w:rPr>
              <w:t>(State or other jurisdiction of</w:t>
            </w:r>
          </w:p>
        </w:tc>
        <w:tc>
          <w:tcPr>
            <w:tcW w:w="3980" w:type="dxa"/>
            <w:vAlign w:val="bottom"/>
          </w:tcPr>
          <w:p>
            <w:pPr>
              <w:jc w:val="center"/>
              <w:ind w:right="1452"/>
              <w:spacing w:after="0"/>
              <w:rPr>
                <w:sz w:val="20"/>
                <w:szCs w:val="20"/>
                <w:color w:val="auto"/>
              </w:rPr>
            </w:pPr>
            <w:r>
              <w:rPr>
                <w:rFonts w:ascii="Arial" w:cs="Arial" w:eastAsia="Arial" w:hAnsi="Arial"/>
                <w:sz w:val="14"/>
                <w:szCs w:val="14"/>
                <w:color w:val="auto"/>
                <w:w w:val="95"/>
              </w:rPr>
              <w:t>(I.R.S. Employer Identification No.)</w:t>
            </w:r>
          </w:p>
        </w:tc>
      </w:tr>
      <w:tr>
        <w:trPr>
          <w:trHeight w:val="181"/>
        </w:trPr>
        <w:tc>
          <w:tcPr>
            <w:tcW w:w="7480" w:type="dxa"/>
            <w:vAlign w:val="bottom"/>
            <w:gridSpan w:val="3"/>
          </w:tcPr>
          <w:p>
            <w:pPr>
              <w:jc w:val="center"/>
              <w:ind w:right="1960"/>
              <w:spacing w:after="0"/>
              <w:rPr>
                <w:sz w:val="20"/>
                <w:szCs w:val="20"/>
                <w:color w:val="auto"/>
              </w:rPr>
            </w:pPr>
            <w:r>
              <w:rPr>
                <w:rFonts w:ascii="Arial" w:cs="Arial" w:eastAsia="Arial" w:hAnsi="Arial"/>
                <w:sz w:val="14"/>
                <w:szCs w:val="14"/>
                <w:color w:val="auto"/>
                <w:w w:val="94"/>
              </w:rPr>
              <w:t>incorporation or organization)</w:t>
            </w:r>
          </w:p>
        </w:tc>
        <w:tc>
          <w:tcPr>
            <w:tcW w:w="3980" w:type="dxa"/>
            <w:vAlign w:val="bottom"/>
          </w:tcPr>
          <w:p>
            <w:pPr>
              <w:spacing w:after="0"/>
              <w:rPr>
                <w:sz w:val="15"/>
                <w:szCs w:val="15"/>
                <w:color w:val="auto"/>
              </w:rPr>
            </w:pPr>
          </w:p>
        </w:tc>
      </w:tr>
      <w:tr>
        <w:trPr>
          <w:trHeight w:val="344"/>
        </w:trPr>
        <w:tc>
          <w:tcPr>
            <w:tcW w:w="7480" w:type="dxa"/>
            <w:vAlign w:val="bottom"/>
            <w:gridSpan w:val="3"/>
          </w:tcPr>
          <w:p>
            <w:pPr>
              <w:jc w:val="center"/>
              <w:ind w:left="3926"/>
              <w:spacing w:after="0"/>
              <w:rPr>
                <w:sz w:val="20"/>
                <w:szCs w:val="20"/>
                <w:color w:val="auto"/>
              </w:rPr>
            </w:pPr>
            <w:r>
              <w:rPr>
                <w:rFonts w:ascii="Arial" w:cs="Arial" w:eastAsia="Arial" w:hAnsi="Arial"/>
                <w:sz w:val="14"/>
                <w:szCs w:val="14"/>
                <w:b w:val="1"/>
                <w:bCs w:val="1"/>
                <w:color w:val="auto"/>
                <w:w w:val="90"/>
              </w:rPr>
              <w:t>4 Technology Park Drive, Westford, Massachusetts 01886</w:t>
            </w:r>
          </w:p>
        </w:tc>
        <w:tc>
          <w:tcPr>
            <w:tcW w:w="3980" w:type="dxa"/>
            <w:vAlign w:val="bottom"/>
          </w:tcPr>
          <w:p>
            <w:pPr>
              <w:spacing w:after="0"/>
              <w:rPr>
                <w:sz w:val="24"/>
                <w:szCs w:val="24"/>
                <w:color w:val="auto"/>
              </w:rPr>
            </w:pPr>
          </w:p>
        </w:tc>
      </w:tr>
      <w:tr>
        <w:trPr>
          <w:trHeight w:val="181"/>
        </w:trPr>
        <w:tc>
          <w:tcPr>
            <w:tcW w:w="7480" w:type="dxa"/>
            <w:vAlign w:val="bottom"/>
            <w:gridSpan w:val="3"/>
          </w:tcPr>
          <w:p>
            <w:pPr>
              <w:jc w:val="center"/>
              <w:ind w:left="3906"/>
              <w:spacing w:after="0"/>
              <w:rPr>
                <w:sz w:val="20"/>
                <w:szCs w:val="20"/>
                <w:color w:val="auto"/>
              </w:rPr>
            </w:pPr>
            <w:r>
              <w:rPr>
                <w:rFonts w:ascii="Arial" w:cs="Arial" w:eastAsia="Arial" w:hAnsi="Arial"/>
                <w:sz w:val="14"/>
                <w:szCs w:val="14"/>
                <w:color w:val="auto"/>
                <w:w w:val="94"/>
              </w:rPr>
              <w:t>(Address of principal executive offices, including zip code)</w:t>
            </w:r>
          </w:p>
        </w:tc>
        <w:tc>
          <w:tcPr>
            <w:tcW w:w="3980" w:type="dxa"/>
            <w:vAlign w:val="bottom"/>
          </w:tcPr>
          <w:p>
            <w:pPr>
              <w:spacing w:after="0"/>
              <w:rPr>
                <w:sz w:val="15"/>
                <w:szCs w:val="15"/>
                <w:color w:val="auto"/>
              </w:rPr>
            </w:pPr>
          </w:p>
        </w:tc>
      </w:tr>
      <w:tr>
        <w:trPr>
          <w:trHeight w:val="344"/>
        </w:trPr>
        <w:tc>
          <w:tcPr>
            <w:tcW w:w="6780" w:type="dxa"/>
            <w:vAlign w:val="bottom"/>
            <w:gridSpan w:val="2"/>
          </w:tcPr>
          <w:p>
            <w:pPr>
              <w:jc w:val="center"/>
              <w:ind w:left="4626"/>
              <w:spacing w:after="0"/>
              <w:rPr>
                <w:sz w:val="20"/>
                <w:szCs w:val="20"/>
                <w:color w:val="auto"/>
              </w:rPr>
            </w:pPr>
            <w:r>
              <w:rPr>
                <w:rFonts w:ascii="Arial" w:cs="Arial" w:eastAsia="Arial" w:hAnsi="Arial"/>
                <w:sz w:val="14"/>
                <w:szCs w:val="14"/>
                <w:b w:val="1"/>
                <w:bCs w:val="1"/>
                <w:color w:val="auto"/>
                <w:w w:val="91"/>
              </w:rPr>
              <w:t>(978) 614-8100</w:t>
            </w: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1"/>
        </w:trPr>
        <w:tc>
          <w:tcPr>
            <w:tcW w:w="7480" w:type="dxa"/>
            <w:vAlign w:val="bottom"/>
            <w:gridSpan w:val="3"/>
          </w:tcPr>
          <w:p>
            <w:pPr>
              <w:jc w:val="center"/>
              <w:ind w:left="3926"/>
              <w:spacing w:after="0"/>
              <w:rPr>
                <w:sz w:val="20"/>
                <w:szCs w:val="20"/>
                <w:color w:val="auto"/>
              </w:rPr>
            </w:pPr>
            <w:r>
              <w:rPr>
                <w:rFonts w:ascii="Arial" w:cs="Arial" w:eastAsia="Arial" w:hAnsi="Arial"/>
                <w:sz w:val="14"/>
                <w:szCs w:val="14"/>
                <w:color w:val="auto"/>
                <w:w w:val="91"/>
              </w:rPr>
              <w:t>(Registrant's telephone number, including area code)</w:t>
            </w:r>
          </w:p>
        </w:tc>
        <w:tc>
          <w:tcPr>
            <w:tcW w:w="3980" w:type="dxa"/>
            <w:vAlign w:val="bottom"/>
          </w:tcPr>
          <w:p>
            <w:pPr>
              <w:spacing w:after="0"/>
              <w:rPr>
                <w:sz w:val="15"/>
                <w:szCs w:val="15"/>
                <w:color w:val="auto"/>
              </w:rPr>
            </w:pPr>
          </w:p>
        </w:tc>
      </w:tr>
      <w:tr>
        <w:trPr>
          <w:trHeight w:val="350"/>
        </w:trPr>
        <w:tc>
          <w:tcPr>
            <w:tcW w:w="7480" w:type="dxa"/>
            <w:vAlign w:val="bottom"/>
            <w:gridSpan w:val="3"/>
          </w:tcPr>
          <w:p>
            <w:pPr>
              <w:ind w:left="320"/>
              <w:spacing w:after="0"/>
              <w:rPr>
                <w:sz w:val="20"/>
                <w:szCs w:val="20"/>
                <w:color w:val="auto"/>
              </w:rPr>
            </w:pPr>
            <w:r>
              <w:rPr>
                <w:rFonts w:ascii="Arial" w:cs="Arial" w:eastAsia="Arial" w:hAnsi="Arial"/>
                <w:sz w:val="14"/>
                <w:szCs w:val="14"/>
                <w:color w:val="auto"/>
              </w:rPr>
              <w:t>Securities registered pursuant to Section 12(b) of the Act:</w:t>
            </w:r>
          </w:p>
        </w:tc>
        <w:tc>
          <w:tcPr>
            <w:tcW w:w="3980" w:type="dxa"/>
            <w:vAlign w:val="bottom"/>
          </w:tcPr>
          <w:p>
            <w:pPr>
              <w:spacing w:after="0"/>
              <w:rPr>
                <w:sz w:val="24"/>
                <w:szCs w:val="24"/>
                <w:color w:val="auto"/>
              </w:rPr>
            </w:pPr>
          </w:p>
        </w:tc>
      </w:tr>
      <w:tr>
        <w:trPr>
          <w:trHeight w:val="297"/>
        </w:trPr>
        <w:tc>
          <w:tcPr>
            <w:tcW w:w="7480" w:type="dxa"/>
            <w:vAlign w:val="bottom"/>
            <w:gridSpan w:val="3"/>
          </w:tcPr>
          <w:p>
            <w:pPr>
              <w:ind w:left="1940"/>
              <w:spacing w:after="0"/>
              <w:rPr>
                <w:sz w:val="20"/>
                <w:szCs w:val="20"/>
                <w:color w:val="auto"/>
              </w:rPr>
            </w:pPr>
            <w:r>
              <w:rPr>
                <w:rFonts w:ascii="Arial" w:cs="Arial" w:eastAsia="Arial" w:hAnsi="Arial"/>
                <w:sz w:val="11"/>
                <w:szCs w:val="11"/>
                <w:b w:val="1"/>
                <w:bCs w:val="1"/>
                <w:color w:val="auto"/>
              </w:rPr>
              <w:t>Title of each class</w:t>
            </w:r>
          </w:p>
        </w:tc>
        <w:tc>
          <w:tcPr>
            <w:tcW w:w="3980" w:type="dxa"/>
            <w:vAlign w:val="bottom"/>
          </w:tcPr>
          <w:p>
            <w:pPr>
              <w:jc w:val="center"/>
              <w:ind w:right="632"/>
              <w:spacing w:after="0"/>
              <w:rPr>
                <w:sz w:val="20"/>
                <w:szCs w:val="20"/>
                <w:color w:val="auto"/>
              </w:rPr>
            </w:pPr>
            <w:r>
              <w:rPr>
                <w:rFonts w:ascii="Arial" w:cs="Arial" w:eastAsia="Arial" w:hAnsi="Arial"/>
                <w:sz w:val="11"/>
                <w:szCs w:val="11"/>
                <w:b w:val="1"/>
                <w:bCs w:val="1"/>
                <w:color w:val="auto"/>
                <w:w w:val="87"/>
              </w:rPr>
              <w:t>Name of each exchange on which registered</w:t>
            </w:r>
          </w:p>
        </w:tc>
      </w:tr>
      <w:tr>
        <w:trPr>
          <w:trHeight w:val="172"/>
        </w:trPr>
        <w:tc>
          <w:tcPr>
            <w:tcW w:w="4700" w:type="dxa"/>
            <w:vAlign w:val="bottom"/>
            <w:tcBorders>
              <w:top w:val="single" w:sz="8" w:color="auto"/>
            </w:tcBorders>
          </w:tcPr>
          <w:p>
            <w:pPr>
              <w:ind w:left="1400"/>
              <w:spacing w:after="0"/>
              <w:rPr>
                <w:sz w:val="20"/>
                <w:szCs w:val="20"/>
                <w:color w:val="auto"/>
              </w:rPr>
            </w:pPr>
            <w:r>
              <w:rPr>
                <w:rFonts w:ascii="Arial" w:cs="Arial" w:eastAsia="Arial" w:hAnsi="Arial"/>
                <w:sz w:val="14"/>
                <w:szCs w:val="14"/>
                <w:color w:val="auto"/>
              </w:rPr>
              <w:t>Common Stock, par value $0.001</w:t>
            </w:r>
          </w:p>
        </w:tc>
        <w:tc>
          <w:tcPr>
            <w:tcW w:w="20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jc w:val="center"/>
              <w:ind w:right="652"/>
              <w:spacing w:after="0"/>
              <w:rPr>
                <w:sz w:val="20"/>
                <w:szCs w:val="20"/>
                <w:color w:val="auto"/>
              </w:rPr>
            </w:pPr>
            <w:r>
              <w:rPr>
                <w:rFonts w:ascii="Arial" w:cs="Arial" w:eastAsia="Arial" w:hAnsi="Arial"/>
                <w:sz w:val="14"/>
                <w:szCs w:val="14"/>
                <w:color w:val="auto"/>
                <w:w w:val="95"/>
              </w:rPr>
              <w:t>The NASDAQ Global Select Market</w:t>
            </w:r>
          </w:p>
        </w:tc>
      </w:tr>
      <w:tr>
        <w:trPr>
          <w:trHeight w:val="342"/>
        </w:trPr>
        <w:tc>
          <w:tcPr>
            <w:tcW w:w="7480" w:type="dxa"/>
            <w:vAlign w:val="bottom"/>
            <w:gridSpan w:val="3"/>
          </w:tcPr>
          <w:p>
            <w:pPr>
              <w:ind w:left="3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3980" w:type="dxa"/>
            <w:vAlign w:val="bottom"/>
          </w:tcPr>
          <w:p>
            <w:pPr>
              <w:spacing w:after="0"/>
              <w:rPr>
                <w:sz w:val="24"/>
                <w:szCs w:val="24"/>
                <w:color w:val="auto"/>
              </w:rPr>
            </w:pPr>
          </w:p>
        </w:tc>
      </w:tr>
      <w:tr>
        <w:trPr>
          <w:trHeight w:val="366"/>
        </w:trPr>
        <w:tc>
          <w:tcPr>
            <w:tcW w:w="7480" w:type="dxa"/>
            <w:vAlign w:val="bottom"/>
            <w:gridSpan w:val="3"/>
          </w:tcPr>
          <w:p>
            <w:pPr>
              <w:ind w:left="32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 o</w:t>
            </w:r>
          </w:p>
        </w:tc>
        <w:tc>
          <w:tcPr>
            <w:tcW w:w="39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50"/>
        </w:trPr>
        <w:tc>
          <w:tcPr>
            <w:tcW w:w="7480" w:type="dxa"/>
            <w:vAlign w:val="bottom"/>
            <w:gridSpan w:val="3"/>
          </w:tcPr>
          <w:p>
            <w:pPr>
              <w:ind w:left="320"/>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 Yes o</w:t>
            </w:r>
          </w:p>
        </w:tc>
        <w:tc>
          <w:tcPr>
            <w:tcW w:w="398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53" w:lineRule="exact"/>
        <w:rPr>
          <w:sz w:val="24"/>
          <w:szCs w:val="24"/>
          <w:color w:val="auto"/>
        </w:rPr>
      </w:pPr>
    </w:p>
    <w:p>
      <w:pPr>
        <w:ind w:right="260" w:firstLine="3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54" w:lineRule="exact"/>
        <w:rPr>
          <w:sz w:val="24"/>
          <w:szCs w:val="24"/>
          <w:color w:val="auto"/>
        </w:rPr>
      </w:pPr>
    </w:p>
    <w:p>
      <w:pPr>
        <w:ind w:right="100" w:firstLine="320"/>
        <w:spacing w:after="0" w:line="330"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13" w:lineRule="exact"/>
        <w:rPr>
          <w:sz w:val="24"/>
          <w:szCs w:val="24"/>
          <w:color w:val="auto"/>
        </w:rPr>
      </w:pPr>
    </w:p>
    <w:p>
      <w:pPr>
        <w:ind w:right="300" w:firstLine="320"/>
        <w:spacing w:after="0" w:line="289"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37"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ectPr>
          <w:pgSz w:w="11900" w:h="16838" w:orient="portrait"/>
          <w:cols w:equalWidth="0" w:num="1">
            <w:col w:w="11460"/>
          </w:cols>
          <w:pgMar w:left="220" w:top="591" w:right="219" w:bottom="1440" w:gutter="0" w:footer="0" w:header="0"/>
        </w:sectPr>
      </w:pPr>
    </w:p>
    <w:p>
      <w:pPr>
        <w:spacing w:after="0" w:line="183"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90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50" w:lineRule="exact"/>
        <w:rPr>
          <w:sz w:val="24"/>
          <w:szCs w:val="24"/>
          <w:color w:val="auto"/>
        </w:rPr>
      </w:pPr>
    </w:p>
    <w:p>
      <w:pPr>
        <w:sectPr>
          <w:pgSz w:w="11900" w:h="16838" w:orient="portrait"/>
          <w:cols w:equalWidth="0" w:num="4">
            <w:col w:w="3320" w:space="720"/>
            <w:col w:w="3000" w:space="720"/>
            <w:col w:w="1320" w:space="700"/>
            <w:col w:w="1680"/>
          </w:cols>
          <w:pgMar w:left="220" w:top="591" w:right="219" w:bottom="1440" w:gutter="0" w:footer="0" w:header="0"/>
          <w:type w:val="continuous"/>
        </w:sectPr>
      </w:pPr>
    </w:p>
    <w:p>
      <w:pPr>
        <w:jc w:val="center"/>
        <w:ind w:left="5400"/>
        <w:spacing w:after="0"/>
        <w:rPr>
          <w:sz w:val="20"/>
          <w:szCs w:val="20"/>
          <w:color w:val="auto"/>
        </w:rPr>
      </w:pPr>
      <w:r>
        <w:rPr>
          <w:rFonts w:ascii="Arial" w:cs="Arial" w:eastAsia="Arial" w:hAnsi="Arial"/>
          <w:sz w:val="10"/>
          <w:szCs w:val="10"/>
          <w:color w:val="auto"/>
        </w:rPr>
        <w:t>(Do not check if a smaller</w:t>
      </w:r>
    </w:p>
    <w:p>
      <w:pPr>
        <w:jc w:val="center"/>
        <w:ind w:left="5400"/>
        <w:spacing w:after="0"/>
        <w:rPr>
          <w:sz w:val="20"/>
          <w:szCs w:val="20"/>
          <w:color w:val="auto"/>
        </w:rPr>
      </w:pPr>
      <w:r>
        <w:rPr>
          <w:rFonts w:ascii="Arial" w:cs="Arial" w:eastAsia="Arial" w:hAnsi="Arial"/>
          <w:sz w:val="11"/>
          <w:szCs w:val="11"/>
          <w:color w:val="auto"/>
        </w:rPr>
        <w:t>reporting company)</w:t>
      </w:r>
    </w:p>
    <w:p>
      <w:pPr>
        <w:sectPr>
          <w:pgSz w:w="11900" w:h="16838" w:orient="portrait"/>
          <w:cols w:equalWidth="0" w:num="1">
            <w:col w:w="11460"/>
          </w:cols>
          <w:pgMar w:left="220" w:top="591" w:right="219" w:bottom="1440" w:gutter="0" w:footer="0" w:header="0"/>
          <w:type w:val="continuous"/>
        </w:sectPr>
      </w:pPr>
    </w:p>
    <w:p>
      <w:pPr>
        <w:spacing w:after="0" w:line="160"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13" w:lineRule="exact"/>
        <w:rPr>
          <w:sz w:val="24"/>
          <w:szCs w:val="24"/>
          <w:color w:val="auto"/>
        </w:rPr>
      </w:pPr>
    </w:p>
    <w:p>
      <w:pPr>
        <w:sectPr>
          <w:pgSz w:w="11900" w:h="16838" w:orient="portrait"/>
          <w:cols w:equalWidth="0" w:num="2">
            <w:col w:w="7120" w:space="140"/>
            <w:col w:w="4200"/>
          </w:cols>
          <w:pgMar w:left="220" w:top="591" w:right="219" w:bottom="1440" w:gutter="0" w:footer="0" w:header="0"/>
          <w:type w:val="continuous"/>
        </w:sectPr>
      </w:pPr>
    </w:p>
    <w:p>
      <w:pPr>
        <w:spacing w:after="0" w:line="12" w:lineRule="exact"/>
        <w:rPr>
          <w:sz w:val="24"/>
          <w:szCs w:val="24"/>
          <w:color w:val="auto"/>
        </w:rPr>
      </w:pPr>
    </w:p>
    <w:p>
      <w:pPr>
        <w:ind w:right="300" w:firstLine="317"/>
        <w:spacing w:after="0" w:line="289"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$476,513,000 based on the closing price for the Common Stock on the NASDAQ Global Select Market on June 30, 2010. As of February 18, 2011, there were 277,507,693 shares of common stock, $0.001 par value, outstanding.</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3" w:lineRule="exact"/>
        <w:rPr>
          <w:sz w:val="24"/>
          <w:szCs w:val="24"/>
          <w:color w:val="auto"/>
        </w:rPr>
      </w:pPr>
    </w:p>
    <w:p>
      <w:pPr>
        <w:ind w:left="320"/>
        <w:spacing w:after="0"/>
        <w:rPr>
          <w:sz w:val="20"/>
          <w:szCs w:val="20"/>
          <w:color w:val="auto"/>
        </w:rPr>
      </w:pPr>
      <w:r>
        <w:rPr>
          <w:rFonts w:ascii="Arial" w:cs="Arial" w:eastAsia="Arial" w:hAnsi="Arial"/>
          <w:sz w:val="13"/>
          <w:szCs w:val="13"/>
          <w:color w:val="auto"/>
        </w:rPr>
        <w:t>Portions of the definitive Proxy Statement to be delivered to stockholders in connection with the 2011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726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146050</wp:posOffset>
            </wp:positionV>
            <wp:extent cx="727265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281940</wp:posOffset>
            </wp:positionV>
            <wp:extent cx="727837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591" w:right="21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40" w:type="dxa"/>
            <w:vAlign w:val="bottom"/>
            <w:gridSpan w:val="7"/>
          </w:tcPr>
          <w:p>
            <w:pPr>
              <w:jc w:val="center"/>
              <w:ind w:right="3360"/>
              <w:spacing w:after="0"/>
              <w:rPr>
                <w:sz w:val="20"/>
                <w:szCs w:val="20"/>
                <w:color w:val="auto"/>
              </w:rPr>
            </w:pPr>
            <w:r>
              <w:rPr>
                <w:rFonts w:ascii="Arial" w:cs="Arial" w:eastAsia="Arial" w:hAnsi="Arial"/>
                <w:sz w:val="14"/>
                <w:szCs w:val="14"/>
                <w:b w:val="1"/>
                <w:bCs w:val="1"/>
                <w:color w:val="auto"/>
              </w:rPr>
              <w:t>SONUS NETWORKS, INC.</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gridSpan w:val="6"/>
          </w:tcPr>
          <w:p>
            <w:pPr>
              <w:jc w:val="center"/>
              <w:ind w:right="3540"/>
              <w:spacing w:after="0"/>
              <w:rPr>
                <w:sz w:val="20"/>
                <w:szCs w:val="20"/>
                <w:color w:val="auto"/>
              </w:rPr>
            </w:pPr>
            <w:r>
              <w:rPr>
                <w:rFonts w:ascii="Arial" w:cs="Arial" w:eastAsia="Arial" w:hAnsi="Arial"/>
                <w:sz w:val="14"/>
                <w:szCs w:val="14"/>
                <w:b w:val="1"/>
                <w:bCs w:val="1"/>
                <w:color w:val="auto"/>
              </w:rPr>
              <w:t>FORM 10-K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60" w:type="dxa"/>
            <w:vAlign w:val="bottom"/>
            <w:gridSpan w:val="8"/>
          </w:tcPr>
          <w:p>
            <w:pPr>
              <w:jc w:val="center"/>
              <w:ind w:right="2740"/>
              <w:spacing w:after="0"/>
              <w:rPr>
                <w:sz w:val="20"/>
                <w:szCs w:val="20"/>
                <w:color w:val="auto"/>
              </w:rPr>
            </w:pPr>
            <w:r>
              <w:rPr>
                <w:rFonts w:ascii="Arial" w:cs="Arial" w:eastAsia="Arial" w:hAnsi="Arial"/>
                <w:sz w:val="14"/>
                <w:szCs w:val="14"/>
                <w:b w:val="1"/>
                <w:bCs w:val="1"/>
                <w:color w:val="auto"/>
                <w:w w:val="99"/>
              </w:rPr>
              <w:t>YEAR ENDED DECEMBER 31, 2010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80" w:type="dxa"/>
            <w:vAlign w:val="bottom"/>
            <w:gridSpan w:val="6"/>
          </w:tcPr>
          <w:p>
            <w:pPr>
              <w:jc w:val="center"/>
              <w:ind w:right="3520"/>
              <w:spacing w:after="0"/>
              <w:rPr>
                <w:sz w:val="20"/>
                <w:szCs w:val="20"/>
                <w:color w:val="auto"/>
              </w:rPr>
            </w:pPr>
            <w:r>
              <w:rPr>
                <w:rFonts w:ascii="Arial" w:cs="Arial" w:eastAsia="Arial" w:hAnsi="Arial"/>
                <w:sz w:val="14"/>
                <w:szCs w:val="14"/>
                <w:b w:val="1"/>
                <w:bCs w:val="1"/>
                <w:color w:val="auto"/>
              </w:rPr>
              <w:t>TABLE OF CONTENTS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97"/>
        </w:trPr>
        <w:tc>
          <w:tcPr>
            <w:tcW w:w="1160" w:type="dxa"/>
            <w:vAlign w:val="bottom"/>
          </w:tcPr>
          <w:p>
            <w:pPr>
              <w:spacing w:after="0"/>
              <w:rPr>
                <w:sz w:val="24"/>
                <w:szCs w:val="24"/>
                <w:color w:val="auto"/>
              </w:rPr>
            </w:pPr>
          </w:p>
        </w:tc>
        <w:tc>
          <w:tcPr>
            <w:tcW w:w="400" w:type="dxa"/>
            <w:vAlign w:val="bottom"/>
            <w:gridSpan w:val="6"/>
          </w:tcPr>
          <w:p>
            <w:pPr>
              <w:spacing w:after="0"/>
              <w:rPr>
                <w:sz w:val="20"/>
                <w:szCs w:val="20"/>
                <w:color w:val="auto"/>
              </w:rPr>
            </w:pPr>
            <w:r>
              <w:rPr>
                <w:rFonts w:ascii="Arial" w:cs="Arial" w:eastAsia="Arial" w:hAnsi="Arial"/>
                <w:sz w:val="11"/>
                <w:szCs w:val="11"/>
                <w:b w:val="1"/>
                <w:bCs w:val="1"/>
                <w:color w:val="auto"/>
              </w:rPr>
              <w:t>Item</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Page</w:t>
            </w:r>
          </w:p>
        </w:tc>
      </w:tr>
      <w:tr>
        <w:trPr>
          <w:trHeight w:val="133"/>
        </w:trPr>
        <w:tc>
          <w:tcPr>
            <w:tcW w:w="1160" w:type="dxa"/>
            <w:vAlign w:val="bottom"/>
          </w:tcPr>
          <w:p>
            <w:pPr>
              <w:spacing w:after="0"/>
              <w:rPr>
                <w:sz w:val="11"/>
                <w:szCs w:val="11"/>
                <w:color w:val="auto"/>
              </w:rPr>
            </w:pPr>
          </w:p>
        </w:tc>
        <w:tc>
          <w:tcPr>
            <w:tcW w:w="240" w:type="dxa"/>
            <w:vAlign w:val="bottom"/>
            <w:tcBorders>
              <w:top w:val="single" w:sz="8" w:color="auto"/>
              <w:bottom w:val="single" w:sz="8" w:color="0000EE"/>
            </w:tcBorders>
            <w:gridSpan w:val="4"/>
          </w:tcPr>
          <w:p>
            <w:pPr>
              <w:spacing w:after="0" w:line="133" w:lineRule="exact"/>
              <w:rPr>
                <w:rFonts w:ascii="Arial" w:cs="Arial" w:eastAsia="Arial" w:hAnsi="Arial"/>
                <w:sz w:val="14"/>
                <w:szCs w:val="14"/>
                <w:b w:val="1"/>
                <w:bCs w:val="1"/>
                <w:color w:val="0000EE"/>
                <w:w w:val="80"/>
              </w:rPr>
            </w:pPr>
            <w:hyperlink w:anchor="page3">
              <w:r>
                <w:rPr>
                  <w:rFonts w:ascii="Arial" w:cs="Arial" w:eastAsia="Arial" w:hAnsi="Arial"/>
                  <w:sz w:val="14"/>
                  <w:szCs w:val="14"/>
                  <w:b w:val="1"/>
                  <w:bCs w:val="1"/>
                  <w:color w:val="0000EE"/>
                  <w:w w:val="80"/>
                </w:rPr>
                <w:t>Part</w:t>
              </w:r>
            </w:hyperlink>
          </w:p>
        </w:tc>
        <w:tc>
          <w:tcPr>
            <w:tcW w:w="120" w:type="dxa"/>
            <w:vAlign w:val="bottom"/>
            <w:tcBorders>
              <w:bottom w:val="single" w:sz="8" w:color="0000EE"/>
            </w:tcBorders>
          </w:tcPr>
          <w:p>
            <w:pPr>
              <w:ind w:left="60"/>
              <w:spacing w:after="0" w:line="133"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I</w:t>
              </w:r>
            </w:hyperlink>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Pr>
          <w:p>
            <w:pPr>
              <w:spacing w:after="0"/>
              <w:rPr>
                <w:sz w:val="11"/>
                <w:szCs w:val="1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3">
              <w:r>
                <w:rPr>
                  <w:rFonts w:ascii="Arial" w:cs="Arial" w:eastAsia="Arial" w:hAnsi="Arial"/>
                  <w:sz w:val="13"/>
                  <w:szCs w:val="13"/>
                  <w:color w:val="0000EE"/>
                  <w:w w:val="73"/>
                </w:rPr>
                <w:t>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3">
              <w:r>
                <w:rPr>
                  <w:rFonts w:ascii="Arial" w:cs="Arial" w:eastAsia="Arial" w:hAnsi="Arial"/>
                  <w:sz w:val="14"/>
                  <w:szCs w:val="14"/>
                  <w:color w:val="0000EE"/>
                </w:rPr>
                <w:t>1</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60" w:type="dxa"/>
            <w:vAlign w:val="bottom"/>
            <w:gridSpan w:val="3"/>
          </w:tcPr>
          <w:p>
            <w:pPr>
              <w:spacing w:after="0"/>
              <w:rPr>
                <w:rFonts w:ascii="Arial" w:cs="Arial" w:eastAsia="Arial" w:hAnsi="Arial"/>
                <w:sz w:val="11"/>
                <w:szCs w:val="11"/>
                <w:color w:val="0000EE"/>
                <w:w w:val="72"/>
              </w:rPr>
            </w:pPr>
            <w:hyperlink w:anchor="page14">
              <w:r>
                <w:rPr>
                  <w:rFonts w:ascii="Arial" w:cs="Arial" w:eastAsia="Arial" w:hAnsi="Arial"/>
                  <w:sz w:val="11"/>
                  <w:szCs w:val="11"/>
                  <w:color w:val="0000EE"/>
                  <w:w w:val="72"/>
                </w:rPr>
                <w:t>1A.</w:t>
              </w:r>
            </w:hyperlink>
          </w:p>
        </w:tc>
        <w:tc>
          <w:tcPr>
            <w:tcW w:w="240" w:type="dxa"/>
            <w:vAlign w:val="bottom"/>
            <w:gridSpan w:val="3"/>
          </w:tcPr>
          <w:p>
            <w:pPr>
              <w:spacing w:after="0"/>
              <w:rPr>
                <w:sz w:val="13"/>
                <w:szCs w:val="13"/>
                <w:color w:val="auto"/>
              </w:rPr>
            </w:pPr>
          </w:p>
        </w:tc>
        <w:tc>
          <w:tcPr>
            <w:tcW w:w="720" w:type="dxa"/>
            <w:vAlign w:val="bottom"/>
            <w:gridSpan w:val="7"/>
          </w:tcPr>
          <w:p>
            <w:pPr>
              <w:spacing w:after="0" w:line="155" w:lineRule="exact"/>
              <w:rPr>
                <w:rFonts w:ascii="Arial" w:cs="Arial" w:eastAsia="Arial" w:hAnsi="Arial"/>
                <w:sz w:val="14"/>
                <w:szCs w:val="14"/>
                <w:color w:val="0000EE"/>
                <w:w w:val="89"/>
              </w:rPr>
            </w:pPr>
            <w:hyperlink w:anchor="page14">
              <w:r>
                <w:rPr>
                  <w:rFonts w:ascii="Arial" w:cs="Arial" w:eastAsia="Arial" w:hAnsi="Arial"/>
                  <w:sz w:val="14"/>
                  <w:szCs w:val="14"/>
                  <w:color w:val="0000EE"/>
                  <w:w w:val="89"/>
                </w:rPr>
                <w:t>Risk Factors</w:t>
              </w:r>
            </w:hyperlink>
          </w:p>
        </w:tc>
        <w:tc>
          <w:tcPr>
            <w:tcW w:w="7760" w:type="dxa"/>
            <w:vAlign w:val="bottom"/>
            <w:gridSpan w:val="17"/>
          </w:tcPr>
          <w:p>
            <w:pPr>
              <w:spacing w:after="0"/>
              <w:rPr>
                <w:sz w:val="13"/>
                <w:szCs w:val="13"/>
                <w:color w:val="auto"/>
              </w:rPr>
            </w:pPr>
          </w:p>
        </w:tc>
        <w:tc>
          <w:tcPr>
            <w:tcW w:w="280" w:type="dxa"/>
            <w:vAlign w:val="bottom"/>
            <w:gridSpan w:val="3"/>
          </w:tcPr>
          <w:p>
            <w:pPr>
              <w:jc w:val="right"/>
              <w:spacing w:after="0" w:line="155" w:lineRule="exact"/>
              <w:rPr>
                <w:rFonts w:ascii="Arial" w:cs="Arial" w:eastAsia="Arial" w:hAnsi="Arial"/>
                <w:sz w:val="14"/>
                <w:szCs w:val="14"/>
                <w:color w:val="0000EE"/>
              </w:rPr>
            </w:pPr>
            <w:hyperlink w:anchor="page14">
              <w:r>
                <w:rPr>
                  <w:rFonts w:ascii="Arial" w:cs="Arial" w:eastAsia="Arial" w:hAnsi="Arial"/>
                  <w:sz w:val="14"/>
                  <w:szCs w:val="14"/>
                  <w:color w:val="0000EE"/>
                </w:rPr>
                <w:t>12</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60" w:type="dxa"/>
            <w:vAlign w:val="bottom"/>
            <w:gridSpan w:val="3"/>
          </w:tcPr>
          <w:p>
            <w:pPr>
              <w:spacing w:after="0"/>
              <w:rPr>
                <w:rFonts w:ascii="Arial" w:cs="Arial" w:eastAsia="Arial" w:hAnsi="Arial"/>
                <w:sz w:val="11"/>
                <w:szCs w:val="11"/>
                <w:color w:val="0000EE"/>
                <w:w w:val="72"/>
              </w:rPr>
            </w:pPr>
            <w:hyperlink w:anchor="page31">
              <w:r>
                <w:rPr>
                  <w:rFonts w:ascii="Arial" w:cs="Arial" w:eastAsia="Arial" w:hAnsi="Arial"/>
                  <w:sz w:val="11"/>
                  <w:szCs w:val="11"/>
                  <w:color w:val="0000EE"/>
                  <w:w w:val="72"/>
                </w:rPr>
                <w:t>1B.</w:t>
              </w:r>
            </w:hyperlink>
          </w:p>
        </w:tc>
        <w:tc>
          <w:tcPr>
            <w:tcW w:w="240" w:type="dxa"/>
            <w:vAlign w:val="bottom"/>
            <w:gridSpan w:val="3"/>
          </w:tcPr>
          <w:p>
            <w:pPr>
              <w:spacing w:after="0"/>
              <w:rPr>
                <w:sz w:val="13"/>
                <w:szCs w:val="13"/>
                <w:color w:val="auto"/>
              </w:rPr>
            </w:pPr>
          </w:p>
        </w:tc>
        <w:tc>
          <w:tcPr>
            <w:tcW w:w="1620" w:type="dxa"/>
            <w:vAlign w:val="bottom"/>
            <w:gridSpan w:val="13"/>
          </w:tcPr>
          <w:p>
            <w:pPr>
              <w:spacing w:after="0" w:line="155" w:lineRule="exact"/>
              <w:rPr>
                <w:rFonts w:ascii="Arial" w:cs="Arial" w:eastAsia="Arial" w:hAnsi="Arial"/>
                <w:sz w:val="14"/>
                <w:szCs w:val="14"/>
                <w:color w:val="0000EE"/>
                <w:w w:val="91"/>
              </w:rPr>
            </w:pPr>
            <w:hyperlink w:anchor="page31">
              <w:r>
                <w:rPr>
                  <w:rFonts w:ascii="Arial" w:cs="Arial" w:eastAsia="Arial" w:hAnsi="Arial"/>
                  <w:sz w:val="14"/>
                  <w:szCs w:val="14"/>
                  <w:color w:val="0000EE"/>
                  <w:w w:val="91"/>
                </w:rPr>
                <w:t>Unresolved Staff Comments</w:t>
              </w:r>
            </w:hyperlink>
          </w:p>
        </w:tc>
        <w:tc>
          <w:tcPr>
            <w:tcW w:w="6860" w:type="dxa"/>
            <w:vAlign w:val="bottom"/>
            <w:gridSpan w:val="11"/>
          </w:tcPr>
          <w:p>
            <w:pPr>
              <w:spacing w:after="0"/>
              <w:rPr>
                <w:sz w:val="13"/>
                <w:szCs w:val="13"/>
                <w:color w:val="auto"/>
              </w:rPr>
            </w:pPr>
          </w:p>
        </w:tc>
        <w:tc>
          <w:tcPr>
            <w:tcW w:w="280" w:type="dxa"/>
            <w:vAlign w:val="bottom"/>
            <w:gridSpan w:val="3"/>
          </w:tcPr>
          <w:p>
            <w:pPr>
              <w:jc w:val="right"/>
              <w:spacing w:after="0" w:line="155" w:lineRule="exact"/>
              <w:rPr>
                <w:rFonts w:ascii="Arial" w:cs="Arial" w:eastAsia="Arial" w:hAnsi="Arial"/>
                <w:sz w:val="14"/>
                <w:szCs w:val="14"/>
                <w:color w:val="0000EE"/>
              </w:rPr>
            </w:pPr>
            <w:hyperlink w:anchor="page31">
              <w:r>
                <w:rPr>
                  <w:rFonts w:ascii="Arial" w:cs="Arial" w:eastAsia="Arial" w:hAnsi="Arial"/>
                  <w:sz w:val="14"/>
                  <w:szCs w:val="14"/>
                  <w:color w:val="0000EE"/>
                </w:rPr>
                <w:t>29</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32">
              <w:r>
                <w:rPr>
                  <w:rFonts w:ascii="Arial" w:cs="Arial" w:eastAsia="Arial" w:hAnsi="Arial"/>
                  <w:sz w:val="13"/>
                  <w:szCs w:val="13"/>
                  <w:color w:val="0000EE"/>
                  <w:w w:val="73"/>
                </w:rPr>
                <w:t>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32">
              <w:r>
                <w:rPr>
                  <w:rFonts w:ascii="Arial" w:cs="Arial" w:eastAsia="Arial" w:hAnsi="Arial"/>
                  <w:sz w:val="14"/>
                  <w:szCs w:val="14"/>
                  <w:color w:val="0000EE"/>
                </w:rPr>
                <w:t>Properties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32">
              <w:r>
                <w:rPr>
                  <w:rFonts w:ascii="Arial" w:cs="Arial" w:eastAsia="Arial" w:hAnsi="Arial"/>
                  <w:sz w:val="14"/>
                  <w:szCs w:val="14"/>
                  <w:color w:val="0000EE"/>
                </w:rPr>
                <w:t>30</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32">
              <w:r>
                <w:rPr>
                  <w:rFonts w:ascii="Arial" w:cs="Arial" w:eastAsia="Arial" w:hAnsi="Arial"/>
                  <w:sz w:val="13"/>
                  <w:szCs w:val="13"/>
                  <w:color w:val="0000EE"/>
                  <w:w w:val="73"/>
                </w:rPr>
                <w:t>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32">
              <w:r>
                <w:rPr>
                  <w:rFonts w:ascii="Arial" w:cs="Arial" w:eastAsia="Arial" w:hAnsi="Arial"/>
                  <w:sz w:val="14"/>
                  <w:szCs w:val="14"/>
                  <w:color w:val="0000EE"/>
                </w:rPr>
                <w:t>Legal Proceedings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32">
              <w:r>
                <w:rPr>
                  <w:rFonts w:ascii="Arial" w:cs="Arial" w:eastAsia="Arial" w:hAnsi="Arial"/>
                  <w:sz w:val="14"/>
                  <w:szCs w:val="14"/>
                  <w:color w:val="0000EE"/>
                </w:rPr>
                <w:t>30</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0000EE"/>
            </w:tcBorders>
            <w:gridSpan w:val="5"/>
          </w:tcPr>
          <w:p>
            <w:pPr>
              <w:spacing w:after="0"/>
              <w:rPr>
                <w:rFonts w:ascii="Arial" w:cs="Arial" w:eastAsia="Arial" w:hAnsi="Arial"/>
                <w:sz w:val="14"/>
                <w:szCs w:val="14"/>
                <w:b w:val="1"/>
                <w:bCs w:val="1"/>
                <w:color w:val="0000EE"/>
              </w:rPr>
            </w:pPr>
            <w:hyperlink w:anchor="page34">
              <w:r>
                <w:rPr>
                  <w:rFonts w:ascii="Arial" w:cs="Arial" w:eastAsia="Arial" w:hAnsi="Arial"/>
                  <w:sz w:val="14"/>
                  <w:szCs w:val="14"/>
                  <w:b w:val="1"/>
                  <w:bCs w:val="1"/>
                  <w:color w:val="0000EE"/>
                </w:rPr>
                <w:t>Part II</w:t>
              </w:r>
            </w:hyperlink>
          </w:p>
        </w:tc>
        <w:tc>
          <w:tcPr>
            <w:tcW w:w="8320" w:type="dxa"/>
            <w:vAlign w:val="bottom"/>
            <w:gridSpan w:val="23"/>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34">
              <w:r>
                <w:rPr>
                  <w:rFonts w:ascii="Arial" w:cs="Arial" w:eastAsia="Arial" w:hAnsi="Arial"/>
                  <w:sz w:val="13"/>
                  <w:szCs w:val="13"/>
                  <w:color w:val="0000EE"/>
                  <w:w w:val="73"/>
                </w:rPr>
                <w:t>5.</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34">
              <w:r>
                <w:rPr>
                  <w:rFonts w:ascii="Arial" w:cs="Arial" w:eastAsia="Arial" w:hAnsi="Arial"/>
                  <w:sz w:val="14"/>
                  <w:szCs w:val="14"/>
                  <w:color w:val="0000EE"/>
                </w:rPr>
                <w:t>Market for Registrant's Common Equity, Related Stockholder Matters and Issuer Purchases of Equity Securities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34">
              <w:r>
                <w:rPr>
                  <w:rFonts w:ascii="Arial" w:cs="Arial" w:eastAsia="Arial" w:hAnsi="Arial"/>
                  <w:sz w:val="14"/>
                  <w:szCs w:val="14"/>
                  <w:color w:val="0000EE"/>
                </w:rPr>
                <w:t>32</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36">
              <w:r>
                <w:rPr>
                  <w:rFonts w:ascii="Arial" w:cs="Arial" w:eastAsia="Arial" w:hAnsi="Arial"/>
                  <w:sz w:val="13"/>
                  <w:szCs w:val="13"/>
                  <w:color w:val="0000EE"/>
                  <w:w w:val="73"/>
                </w:rPr>
                <w:t>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36">
              <w:r>
                <w:rPr>
                  <w:rFonts w:ascii="Arial" w:cs="Arial" w:eastAsia="Arial" w:hAnsi="Arial"/>
                  <w:sz w:val="14"/>
                  <w:szCs w:val="14"/>
                  <w:color w:val="0000EE"/>
                </w:rPr>
                <w:t>Selected Financial Data</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36">
              <w:r>
                <w:rPr>
                  <w:rFonts w:ascii="Arial" w:cs="Arial" w:eastAsia="Arial" w:hAnsi="Arial"/>
                  <w:sz w:val="14"/>
                  <w:szCs w:val="14"/>
                  <w:color w:val="0000EE"/>
                </w:rPr>
                <w:t>34</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37">
              <w:r>
                <w:rPr>
                  <w:rFonts w:ascii="Arial" w:cs="Arial" w:eastAsia="Arial" w:hAnsi="Arial"/>
                  <w:sz w:val="13"/>
                  <w:szCs w:val="13"/>
                  <w:color w:val="0000EE"/>
                  <w:w w:val="73"/>
                </w:rPr>
                <w:t>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37">
              <w:r>
                <w:rPr>
                  <w:rFonts w:ascii="Arial" w:cs="Arial" w:eastAsia="Arial" w:hAnsi="Arial"/>
                  <w:sz w:val="14"/>
                  <w:szCs w:val="14"/>
                  <w:color w:val="0000EE"/>
                </w:rPr>
                <w:t>Management's Discussion and Analysis of Financial Condition and Results of Operations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37">
              <w:r>
                <w:rPr>
                  <w:rFonts w:ascii="Arial" w:cs="Arial" w:eastAsia="Arial" w:hAnsi="Arial"/>
                  <w:sz w:val="14"/>
                  <w:szCs w:val="14"/>
                  <w:color w:val="0000EE"/>
                </w:rPr>
                <w:t>35</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60" w:type="dxa"/>
            <w:vAlign w:val="bottom"/>
            <w:gridSpan w:val="3"/>
          </w:tcPr>
          <w:p>
            <w:pPr>
              <w:spacing w:after="0"/>
              <w:rPr>
                <w:rFonts w:ascii="Arial" w:cs="Arial" w:eastAsia="Arial" w:hAnsi="Arial"/>
                <w:sz w:val="11"/>
                <w:szCs w:val="11"/>
                <w:color w:val="0000EE"/>
                <w:w w:val="72"/>
              </w:rPr>
            </w:pPr>
            <w:hyperlink w:anchor="page55">
              <w:r>
                <w:rPr>
                  <w:rFonts w:ascii="Arial" w:cs="Arial" w:eastAsia="Arial" w:hAnsi="Arial"/>
                  <w:sz w:val="11"/>
                  <w:szCs w:val="11"/>
                  <w:color w:val="0000EE"/>
                  <w:w w:val="72"/>
                </w:rPr>
                <w:t>7A.</w:t>
              </w:r>
            </w:hyperlink>
          </w:p>
        </w:tc>
        <w:tc>
          <w:tcPr>
            <w:tcW w:w="240" w:type="dxa"/>
            <w:vAlign w:val="bottom"/>
            <w:gridSpan w:val="3"/>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55">
              <w:r>
                <w:rPr>
                  <w:rFonts w:ascii="Arial" w:cs="Arial" w:eastAsia="Arial" w:hAnsi="Arial"/>
                  <w:sz w:val="14"/>
                  <w:szCs w:val="14"/>
                  <w:color w:val="0000EE"/>
                </w:rPr>
                <w:t>Quantitative and Qualitative Disclosures about Market Risk</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55">
              <w:r>
                <w:rPr>
                  <w:rFonts w:ascii="Arial" w:cs="Arial" w:eastAsia="Arial" w:hAnsi="Arial"/>
                  <w:sz w:val="14"/>
                  <w:szCs w:val="14"/>
                  <w:color w:val="0000EE"/>
                </w:rPr>
                <w:t>53</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56">
              <w:r>
                <w:rPr>
                  <w:rFonts w:ascii="Arial" w:cs="Arial" w:eastAsia="Arial" w:hAnsi="Arial"/>
                  <w:sz w:val="13"/>
                  <w:szCs w:val="13"/>
                  <w:color w:val="0000EE"/>
                  <w:w w:val="73"/>
                </w:rPr>
                <w:t>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56">
              <w:r>
                <w:rPr>
                  <w:rFonts w:ascii="Arial" w:cs="Arial" w:eastAsia="Arial" w:hAnsi="Arial"/>
                  <w:sz w:val="14"/>
                  <w:szCs w:val="14"/>
                  <w:color w:val="0000EE"/>
                </w:rPr>
                <w:t>Financial Statements and Supplementary Data</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56">
              <w:r>
                <w:rPr>
                  <w:rFonts w:ascii="Arial" w:cs="Arial" w:eastAsia="Arial" w:hAnsi="Arial"/>
                  <w:sz w:val="14"/>
                  <w:szCs w:val="14"/>
                  <w:color w:val="0000EE"/>
                </w:rPr>
                <w:t>54</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260" w:type="dxa"/>
            <w:vAlign w:val="bottom"/>
            <w:gridSpan w:val="2"/>
          </w:tcPr>
          <w:p>
            <w:pPr>
              <w:ind w:left="1160"/>
              <w:spacing w:after="0"/>
              <w:rPr>
                <w:rFonts w:ascii="Arial" w:cs="Arial" w:eastAsia="Arial" w:hAnsi="Arial"/>
                <w:sz w:val="13"/>
                <w:szCs w:val="13"/>
                <w:color w:val="0000EE"/>
                <w:w w:val="73"/>
              </w:rPr>
            </w:pPr>
            <w:hyperlink w:anchor="page97">
              <w:r>
                <w:rPr>
                  <w:rFonts w:ascii="Arial" w:cs="Arial" w:eastAsia="Arial" w:hAnsi="Arial"/>
                  <w:sz w:val="13"/>
                  <w:szCs w:val="13"/>
                  <w:color w:val="0000EE"/>
                  <w:w w:val="73"/>
                </w:rPr>
                <w:t>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97">
              <w:r>
                <w:rPr>
                  <w:rFonts w:ascii="Arial" w:cs="Arial" w:eastAsia="Arial" w:hAnsi="Arial"/>
                  <w:sz w:val="14"/>
                  <w:szCs w:val="14"/>
                  <w:color w:val="0000EE"/>
                </w:rPr>
                <w:t>Changes in and Disagreements with Accountants on Accounting and Financial Disclosure</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97">
              <w:r>
                <w:rPr>
                  <w:rFonts w:ascii="Arial" w:cs="Arial" w:eastAsia="Arial" w:hAnsi="Arial"/>
                  <w:sz w:val="14"/>
                  <w:szCs w:val="14"/>
                  <w:color w:val="0000EE"/>
                </w:rPr>
                <w:t>95</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60" w:type="dxa"/>
            <w:vAlign w:val="bottom"/>
            <w:gridSpan w:val="3"/>
          </w:tcPr>
          <w:p>
            <w:pPr>
              <w:spacing w:after="0"/>
              <w:rPr>
                <w:rFonts w:ascii="Arial" w:cs="Arial" w:eastAsia="Arial" w:hAnsi="Arial"/>
                <w:sz w:val="11"/>
                <w:szCs w:val="11"/>
                <w:color w:val="0000EE"/>
                <w:w w:val="72"/>
              </w:rPr>
            </w:pPr>
            <w:hyperlink w:anchor="page97">
              <w:r>
                <w:rPr>
                  <w:rFonts w:ascii="Arial" w:cs="Arial" w:eastAsia="Arial" w:hAnsi="Arial"/>
                  <w:sz w:val="11"/>
                  <w:szCs w:val="11"/>
                  <w:color w:val="0000EE"/>
                  <w:w w:val="72"/>
                </w:rPr>
                <w:t>9A.</w:t>
              </w:r>
            </w:hyperlink>
          </w:p>
        </w:tc>
        <w:tc>
          <w:tcPr>
            <w:tcW w:w="240" w:type="dxa"/>
            <w:vAlign w:val="bottom"/>
            <w:gridSpan w:val="3"/>
          </w:tcPr>
          <w:p>
            <w:pPr>
              <w:spacing w:after="0"/>
              <w:rPr>
                <w:sz w:val="13"/>
                <w:szCs w:val="13"/>
                <w:color w:val="auto"/>
              </w:rPr>
            </w:pPr>
          </w:p>
        </w:tc>
        <w:tc>
          <w:tcPr>
            <w:tcW w:w="1400" w:type="dxa"/>
            <w:vAlign w:val="bottom"/>
            <w:gridSpan w:val="11"/>
          </w:tcPr>
          <w:p>
            <w:pPr>
              <w:spacing w:after="0" w:line="155" w:lineRule="exact"/>
              <w:rPr>
                <w:rFonts w:ascii="Arial" w:cs="Arial" w:eastAsia="Arial" w:hAnsi="Arial"/>
                <w:sz w:val="14"/>
                <w:szCs w:val="14"/>
                <w:color w:val="0000EE"/>
                <w:w w:val="89"/>
              </w:rPr>
            </w:pPr>
            <w:hyperlink w:anchor="page97">
              <w:r>
                <w:rPr>
                  <w:rFonts w:ascii="Arial" w:cs="Arial" w:eastAsia="Arial" w:hAnsi="Arial"/>
                  <w:sz w:val="14"/>
                  <w:szCs w:val="14"/>
                  <w:color w:val="0000EE"/>
                  <w:w w:val="89"/>
                </w:rPr>
                <w:t>Controls and Procedures</w:t>
              </w:r>
            </w:hyperlink>
          </w:p>
        </w:tc>
        <w:tc>
          <w:tcPr>
            <w:tcW w:w="7080" w:type="dxa"/>
            <w:vAlign w:val="bottom"/>
            <w:gridSpan w:val="13"/>
          </w:tcPr>
          <w:p>
            <w:pPr>
              <w:spacing w:after="0"/>
              <w:rPr>
                <w:sz w:val="13"/>
                <w:szCs w:val="13"/>
                <w:color w:val="auto"/>
              </w:rPr>
            </w:pPr>
          </w:p>
        </w:tc>
        <w:tc>
          <w:tcPr>
            <w:tcW w:w="280" w:type="dxa"/>
            <w:vAlign w:val="bottom"/>
            <w:gridSpan w:val="3"/>
          </w:tcPr>
          <w:p>
            <w:pPr>
              <w:jc w:val="right"/>
              <w:spacing w:after="0" w:line="155" w:lineRule="exact"/>
              <w:rPr>
                <w:rFonts w:ascii="Arial" w:cs="Arial" w:eastAsia="Arial" w:hAnsi="Arial"/>
                <w:sz w:val="14"/>
                <w:szCs w:val="14"/>
                <w:color w:val="0000EE"/>
              </w:rPr>
            </w:pPr>
            <w:hyperlink w:anchor="page97">
              <w:r>
                <w:rPr>
                  <w:rFonts w:ascii="Arial" w:cs="Arial" w:eastAsia="Arial" w:hAnsi="Arial"/>
                  <w:sz w:val="14"/>
                  <w:szCs w:val="14"/>
                  <w:color w:val="0000EE"/>
                </w:rPr>
                <w:t>95</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60" w:type="dxa"/>
            <w:vAlign w:val="bottom"/>
            <w:gridSpan w:val="3"/>
          </w:tcPr>
          <w:p>
            <w:pPr>
              <w:spacing w:after="0"/>
              <w:rPr>
                <w:rFonts w:ascii="Arial" w:cs="Arial" w:eastAsia="Arial" w:hAnsi="Arial"/>
                <w:sz w:val="11"/>
                <w:szCs w:val="11"/>
                <w:color w:val="0000EE"/>
                <w:w w:val="72"/>
              </w:rPr>
            </w:pPr>
            <w:hyperlink w:anchor="page99">
              <w:r>
                <w:rPr>
                  <w:rFonts w:ascii="Arial" w:cs="Arial" w:eastAsia="Arial" w:hAnsi="Arial"/>
                  <w:sz w:val="11"/>
                  <w:szCs w:val="11"/>
                  <w:color w:val="0000EE"/>
                  <w:w w:val="72"/>
                </w:rPr>
                <w:t>9B.</w:t>
              </w:r>
            </w:hyperlink>
          </w:p>
        </w:tc>
        <w:tc>
          <w:tcPr>
            <w:tcW w:w="240" w:type="dxa"/>
            <w:vAlign w:val="bottom"/>
            <w:gridSpan w:val="3"/>
          </w:tcPr>
          <w:p>
            <w:pPr>
              <w:spacing w:after="0"/>
              <w:rPr>
                <w:sz w:val="13"/>
                <w:szCs w:val="13"/>
                <w:color w:val="auto"/>
              </w:rPr>
            </w:pPr>
          </w:p>
        </w:tc>
        <w:tc>
          <w:tcPr>
            <w:tcW w:w="1040" w:type="dxa"/>
            <w:vAlign w:val="bottom"/>
            <w:gridSpan w:val="9"/>
          </w:tcPr>
          <w:p>
            <w:pPr>
              <w:spacing w:after="0" w:line="155" w:lineRule="exact"/>
              <w:rPr>
                <w:rFonts w:ascii="Arial" w:cs="Arial" w:eastAsia="Arial" w:hAnsi="Arial"/>
                <w:sz w:val="14"/>
                <w:szCs w:val="14"/>
                <w:color w:val="0000EE"/>
                <w:w w:val="91"/>
              </w:rPr>
            </w:pPr>
            <w:hyperlink w:anchor="page99">
              <w:r>
                <w:rPr>
                  <w:rFonts w:ascii="Arial" w:cs="Arial" w:eastAsia="Arial" w:hAnsi="Arial"/>
                  <w:sz w:val="14"/>
                  <w:szCs w:val="14"/>
                  <w:color w:val="0000EE"/>
                  <w:w w:val="91"/>
                </w:rPr>
                <w:t>Other Information</w:t>
              </w:r>
            </w:hyperlink>
          </w:p>
        </w:tc>
        <w:tc>
          <w:tcPr>
            <w:tcW w:w="360" w:type="dxa"/>
            <w:vAlign w:val="bottom"/>
            <w:gridSpan w:val="2"/>
          </w:tcPr>
          <w:p>
            <w:pPr>
              <w:spacing w:after="0"/>
              <w:rPr>
                <w:sz w:val="13"/>
                <w:szCs w:val="13"/>
                <w:color w:val="auto"/>
              </w:rPr>
            </w:pPr>
          </w:p>
        </w:tc>
        <w:tc>
          <w:tcPr>
            <w:tcW w:w="7080" w:type="dxa"/>
            <w:vAlign w:val="bottom"/>
            <w:gridSpan w:val="13"/>
          </w:tcPr>
          <w:p>
            <w:pPr>
              <w:spacing w:after="0"/>
              <w:rPr>
                <w:sz w:val="13"/>
                <w:szCs w:val="13"/>
                <w:color w:val="auto"/>
              </w:rPr>
            </w:pPr>
          </w:p>
        </w:tc>
        <w:tc>
          <w:tcPr>
            <w:tcW w:w="280" w:type="dxa"/>
            <w:vAlign w:val="bottom"/>
            <w:gridSpan w:val="3"/>
          </w:tcPr>
          <w:p>
            <w:pPr>
              <w:jc w:val="right"/>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bottom w:val="single" w:sz="8" w:color="0000EE"/>
            </w:tcBorders>
            <w:gridSpan w:val="7"/>
          </w:tcPr>
          <w:p>
            <w:pPr>
              <w:spacing w:after="0"/>
              <w:rPr>
                <w:rFonts w:ascii="Arial" w:cs="Arial" w:eastAsia="Arial" w:hAnsi="Arial"/>
                <w:sz w:val="14"/>
                <w:szCs w:val="14"/>
                <w:b w:val="1"/>
                <w:bCs w:val="1"/>
                <w:color w:val="0000EE"/>
              </w:rPr>
            </w:pPr>
            <w:hyperlink w:anchor="page99">
              <w:r>
                <w:rPr>
                  <w:rFonts w:ascii="Arial" w:cs="Arial" w:eastAsia="Arial" w:hAnsi="Arial"/>
                  <w:sz w:val="14"/>
                  <w:szCs w:val="14"/>
                  <w:b w:val="1"/>
                  <w:bCs w:val="1"/>
                  <w:color w:val="0000EE"/>
                </w:rPr>
                <w:t>Part III</w:t>
              </w:r>
            </w:hyperlink>
          </w:p>
        </w:tc>
        <w:tc>
          <w:tcPr>
            <w:tcW w:w="8260" w:type="dxa"/>
            <w:vAlign w:val="bottom"/>
            <w:gridSpan w:val="21"/>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5"/>
        </w:trPr>
        <w:tc>
          <w:tcPr>
            <w:tcW w:w="1320" w:type="dxa"/>
            <w:vAlign w:val="bottom"/>
            <w:gridSpan w:val="4"/>
          </w:tcPr>
          <w:p>
            <w:pPr>
              <w:ind w:left="1160"/>
              <w:spacing w:after="0"/>
              <w:rPr>
                <w:rFonts w:ascii="Arial" w:cs="Arial" w:eastAsia="Arial" w:hAnsi="Arial"/>
                <w:sz w:val="12"/>
                <w:szCs w:val="12"/>
                <w:color w:val="0000EE"/>
                <w:w w:val="71"/>
              </w:rPr>
            </w:pPr>
            <w:hyperlink w:anchor="page99">
              <w:r>
                <w:rPr>
                  <w:rFonts w:ascii="Arial" w:cs="Arial" w:eastAsia="Arial" w:hAnsi="Arial"/>
                  <w:sz w:val="12"/>
                  <w:szCs w:val="12"/>
                  <w:color w:val="0000EE"/>
                  <w:w w:val="71"/>
                </w:rPr>
                <w:t>10.</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Directors, Executive Officers and Corporate Governance</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320" w:type="dxa"/>
            <w:vAlign w:val="bottom"/>
            <w:gridSpan w:val="4"/>
          </w:tcPr>
          <w:p>
            <w:pPr>
              <w:ind w:left="1160"/>
              <w:spacing w:after="0"/>
              <w:rPr>
                <w:rFonts w:ascii="Arial" w:cs="Arial" w:eastAsia="Arial" w:hAnsi="Arial"/>
                <w:sz w:val="12"/>
                <w:szCs w:val="12"/>
                <w:color w:val="0000EE"/>
                <w:w w:val="71"/>
              </w:rPr>
            </w:pPr>
            <w:hyperlink w:anchor="page99">
              <w:r>
                <w:rPr>
                  <w:rFonts w:ascii="Arial" w:cs="Arial" w:eastAsia="Arial" w:hAnsi="Arial"/>
                  <w:sz w:val="12"/>
                  <w:szCs w:val="12"/>
                  <w:color w:val="0000EE"/>
                  <w:w w:val="71"/>
                </w:rPr>
                <w:t>11.</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Executive Compensation</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320" w:type="dxa"/>
            <w:vAlign w:val="bottom"/>
            <w:gridSpan w:val="4"/>
          </w:tcPr>
          <w:p>
            <w:pPr>
              <w:ind w:left="1160"/>
              <w:spacing w:after="0"/>
              <w:rPr>
                <w:rFonts w:ascii="Arial" w:cs="Arial" w:eastAsia="Arial" w:hAnsi="Arial"/>
                <w:sz w:val="12"/>
                <w:szCs w:val="12"/>
                <w:color w:val="0000EE"/>
                <w:w w:val="71"/>
              </w:rPr>
            </w:pPr>
            <w:hyperlink w:anchor="page99">
              <w:r>
                <w:rPr>
                  <w:rFonts w:ascii="Arial" w:cs="Arial" w:eastAsia="Arial" w:hAnsi="Arial"/>
                  <w:sz w:val="12"/>
                  <w:szCs w:val="12"/>
                  <w:color w:val="0000EE"/>
                  <w:w w:val="71"/>
                </w:rPr>
                <w:t>12.</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Security Ownership of Certain Beneficial Owners and Management and Related Stockholder Matters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320" w:type="dxa"/>
            <w:vAlign w:val="bottom"/>
            <w:gridSpan w:val="4"/>
          </w:tcPr>
          <w:p>
            <w:pPr>
              <w:ind w:left="1160"/>
              <w:spacing w:after="0"/>
              <w:rPr>
                <w:rFonts w:ascii="Arial" w:cs="Arial" w:eastAsia="Arial" w:hAnsi="Arial"/>
                <w:sz w:val="12"/>
                <w:szCs w:val="12"/>
                <w:color w:val="0000EE"/>
                <w:w w:val="71"/>
              </w:rPr>
            </w:pPr>
            <w:hyperlink w:anchor="page99">
              <w:r>
                <w:rPr>
                  <w:rFonts w:ascii="Arial" w:cs="Arial" w:eastAsia="Arial" w:hAnsi="Arial"/>
                  <w:sz w:val="12"/>
                  <w:szCs w:val="12"/>
                  <w:color w:val="0000EE"/>
                  <w:w w:val="71"/>
                </w:rPr>
                <w:t>13.</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Certain Relationships and Related Transactions, and Director Independence</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320" w:type="dxa"/>
            <w:vAlign w:val="bottom"/>
            <w:gridSpan w:val="4"/>
          </w:tcPr>
          <w:p>
            <w:pPr>
              <w:ind w:left="1160"/>
              <w:spacing w:after="0"/>
              <w:rPr>
                <w:rFonts w:ascii="Arial" w:cs="Arial" w:eastAsia="Arial" w:hAnsi="Arial"/>
                <w:sz w:val="12"/>
                <w:szCs w:val="12"/>
                <w:color w:val="0000EE"/>
                <w:w w:val="71"/>
              </w:rPr>
            </w:pPr>
            <w:hyperlink w:anchor="page99">
              <w:r>
                <w:rPr>
                  <w:rFonts w:ascii="Arial" w:cs="Arial" w:eastAsia="Arial" w:hAnsi="Arial"/>
                  <w:sz w:val="12"/>
                  <w:szCs w:val="12"/>
                  <w:color w:val="0000EE"/>
                  <w:w w:val="71"/>
                </w:rPr>
                <w:t>14.</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Principal Accounting Fees and Services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0"/>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gridSpan w:val="28"/>
          </w:tcPr>
          <w:p>
            <w:pPr>
              <w:spacing w:after="0"/>
              <w:rPr>
                <w:rFonts w:ascii="Arial" w:cs="Arial" w:eastAsia="Arial" w:hAnsi="Arial"/>
                <w:sz w:val="14"/>
                <w:szCs w:val="14"/>
                <w:b w:val="1"/>
                <w:bCs w:val="1"/>
                <w:color w:val="0000EE"/>
              </w:rPr>
            </w:pPr>
            <w:hyperlink w:anchor="page100">
              <w:r>
                <w:rPr>
                  <w:rFonts w:ascii="Arial" w:cs="Arial" w:eastAsia="Arial" w:hAnsi="Arial"/>
                  <w:sz w:val="14"/>
                  <w:szCs w:val="14"/>
                  <w:b w:val="1"/>
                  <w:bCs w:val="1"/>
                  <w:color w:val="0000EE"/>
                </w:rPr>
                <w:t>Part IV</w:t>
              </w:r>
            </w:hyperlink>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300" w:type="dxa"/>
            <w:vAlign w:val="bottom"/>
            <w:gridSpan w:val="3"/>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320" w:type="dxa"/>
            <w:vAlign w:val="bottom"/>
            <w:gridSpan w:val="4"/>
          </w:tcPr>
          <w:p>
            <w:pPr>
              <w:ind w:left="1160"/>
              <w:spacing w:after="0"/>
              <w:rPr>
                <w:rFonts w:ascii="Arial" w:cs="Arial" w:eastAsia="Arial" w:hAnsi="Arial"/>
                <w:sz w:val="12"/>
                <w:szCs w:val="12"/>
                <w:color w:val="0000EE"/>
                <w:w w:val="71"/>
              </w:rPr>
            </w:pPr>
            <w:hyperlink w:anchor="page100">
              <w:r>
                <w:rPr>
                  <w:rFonts w:ascii="Arial" w:cs="Arial" w:eastAsia="Arial" w:hAnsi="Arial"/>
                  <w:sz w:val="12"/>
                  <w:szCs w:val="12"/>
                  <w:color w:val="0000EE"/>
                  <w:w w:val="71"/>
                </w:rPr>
                <w:t>15.</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100">
              <w:r>
                <w:rPr>
                  <w:rFonts w:ascii="Arial" w:cs="Arial" w:eastAsia="Arial" w:hAnsi="Arial"/>
                  <w:sz w:val="14"/>
                  <w:szCs w:val="14"/>
                  <w:color w:val="0000EE"/>
                </w:rPr>
                <w:t>Exhibits and Financial Statement Schedules</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100">
              <w:r>
                <w:rPr>
                  <w:rFonts w:ascii="Arial" w:cs="Arial" w:eastAsia="Arial" w:hAnsi="Arial"/>
                  <w:sz w:val="14"/>
                  <w:szCs w:val="14"/>
                  <w:color w:val="0000EE"/>
                </w:rPr>
                <w:t>98</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6"/>
          </w:tcPr>
          <w:p>
            <w:pPr>
              <w:spacing w:after="0" w:line="155" w:lineRule="exact"/>
              <w:rPr>
                <w:rFonts w:ascii="Arial" w:cs="Arial" w:eastAsia="Arial" w:hAnsi="Arial"/>
                <w:sz w:val="14"/>
                <w:szCs w:val="14"/>
                <w:color w:val="0000EE"/>
                <w:w w:val="86"/>
              </w:rPr>
            </w:pPr>
            <w:hyperlink w:anchor="page101">
              <w:r>
                <w:rPr>
                  <w:rFonts w:ascii="Arial" w:cs="Arial" w:eastAsia="Arial" w:hAnsi="Arial"/>
                  <w:sz w:val="14"/>
                  <w:szCs w:val="14"/>
                  <w:color w:val="0000EE"/>
                  <w:w w:val="86"/>
                </w:rPr>
                <w:t>Signatures</w:t>
              </w:r>
            </w:hyperlink>
          </w:p>
        </w:tc>
        <w:tc>
          <w:tcPr>
            <w:tcW w:w="1900" w:type="dxa"/>
            <w:vAlign w:val="bottom"/>
            <w:gridSpan w:val="9"/>
          </w:tcPr>
          <w:p>
            <w:pPr>
              <w:spacing w:after="0"/>
              <w:rPr>
                <w:sz w:val="13"/>
                <w:szCs w:val="13"/>
                <w:color w:val="auto"/>
              </w:rPr>
            </w:pPr>
          </w:p>
        </w:tc>
        <w:tc>
          <w:tcPr>
            <w:tcW w:w="5980" w:type="dxa"/>
            <w:vAlign w:val="bottom"/>
            <w:gridSpan w:val="9"/>
          </w:tcPr>
          <w:p>
            <w:pPr>
              <w:spacing w:after="0"/>
              <w:rPr>
                <w:sz w:val="13"/>
                <w:szCs w:val="13"/>
                <w:color w:val="auto"/>
              </w:rPr>
            </w:pPr>
          </w:p>
        </w:tc>
        <w:tc>
          <w:tcPr>
            <w:tcW w:w="280" w:type="dxa"/>
            <w:vAlign w:val="bottom"/>
            <w:gridSpan w:val="3"/>
          </w:tcPr>
          <w:p>
            <w:pPr>
              <w:jc w:val="right"/>
              <w:spacing w:after="0" w:line="155" w:lineRule="exact"/>
              <w:rPr>
                <w:rFonts w:ascii="Arial" w:cs="Arial" w:eastAsia="Arial" w:hAnsi="Arial"/>
                <w:sz w:val="14"/>
                <w:szCs w:val="14"/>
                <w:color w:val="0000EE"/>
              </w:rPr>
            </w:pPr>
            <w:hyperlink w:anchor="page101">
              <w:r>
                <w:rPr>
                  <w:rFonts w:ascii="Arial" w:cs="Arial" w:eastAsia="Arial" w:hAnsi="Arial"/>
                  <w:sz w:val="14"/>
                  <w:szCs w:val="14"/>
                  <w:color w:val="0000EE"/>
                </w:rPr>
                <w:t>99</w:t>
              </w:r>
            </w:hyperlink>
          </w:p>
        </w:tc>
        <w:tc>
          <w:tcPr>
            <w:tcW w:w="11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80" w:type="dxa"/>
            <w:vAlign w:val="bottom"/>
            <w:gridSpan w:val="24"/>
          </w:tcPr>
          <w:p>
            <w:pPr>
              <w:spacing w:after="0" w:line="155" w:lineRule="exact"/>
              <w:rPr>
                <w:rFonts w:ascii="Arial" w:cs="Arial" w:eastAsia="Arial" w:hAnsi="Arial"/>
                <w:sz w:val="14"/>
                <w:szCs w:val="14"/>
                <w:color w:val="0000EE"/>
              </w:rPr>
            </w:pPr>
            <w:hyperlink w:anchor="page102">
              <w:r>
                <w:rPr>
                  <w:rFonts w:ascii="Arial" w:cs="Arial" w:eastAsia="Arial" w:hAnsi="Arial"/>
                  <w:sz w:val="14"/>
                  <w:szCs w:val="14"/>
                  <w:color w:val="0000EE"/>
                </w:rPr>
                <w:t>Exhibit Index</w:t>
              </w:r>
            </w:hyperlink>
          </w:p>
        </w:tc>
        <w:tc>
          <w:tcPr>
            <w:tcW w:w="280" w:type="dxa"/>
            <w:vAlign w:val="bottom"/>
            <w:gridSpan w:val="3"/>
          </w:tcPr>
          <w:p>
            <w:pPr>
              <w:jc w:val="right"/>
              <w:spacing w:after="0" w:line="155" w:lineRule="exact"/>
              <w:rPr>
                <w:rFonts w:ascii="Arial" w:cs="Arial" w:eastAsia="Arial" w:hAnsi="Arial"/>
                <w:sz w:val="14"/>
                <w:szCs w:val="14"/>
                <w:color w:val="0000EE"/>
              </w:rPr>
            </w:pPr>
            <w:hyperlink w:anchor="page102">
              <w:r>
                <w:rPr>
                  <w:rFonts w:ascii="Arial" w:cs="Arial" w:eastAsia="Arial" w:hAnsi="Arial"/>
                  <w:sz w:val="14"/>
                  <w:szCs w:val="14"/>
                  <w:color w:val="0000EE"/>
                </w:rPr>
                <w:t>100</w:t>
              </w:r>
            </w:hyperlink>
          </w:p>
        </w:tc>
        <w:tc>
          <w:tcPr>
            <w:tcW w:w="1140" w:type="dxa"/>
            <w:vAlign w:val="bottom"/>
          </w:tcPr>
          <w:p>
            <w:pPr>
              <w:spacing w:after="0"/>
              <w:rPr>
                <w:sz w:val="13"/>
                <w:szCs w:val="13"/>
                <w:color w:val="auto"/>
              </w:rPr>
            </w:pPr>
          </w:p>
        </w:tc>
      </w:tr>
      <w:tr>
        <w:trPr>
          <w:trHeight w:val="107"/>
        </w:trPr>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2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60" w:type="dxa"/>
            <w:vAlign w:val="bottom"/>
            <w:tcBorders>
              <w:top w:val="single" w:sz="8" w:color="0000EE"/>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PART I</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93" w:lineRule="exact"/>
        <w:rPr>
          <w:sz w:val="20"/>
          <w:szCs w:val="20"/>
          <w:color w:val="auto"/>
        </w:rPr>
      </w:pPr>
    </w:p>
    <w:p>
      <w:pPr>
        <w:ind w:firstLine="284"/>
        <w:spacing w:after="0" w:line="265" w:lineRule="auto"/>
        <w:rPr>
          <w:sz w:val="20"/>
          <w:szCs w:val="20"/>
          <w:color w:val="auto"/>
        </w:rPr>
      </w:pPr>
      <w:r>
        <w:rPr>
          <w:rFonts w:ascii="Arial" w:cs="Arial" w:eastAsia="Arial" w:hAnsi="Arial"/>
          <w:sz w:val="14"/>
          <w:szCs w:val="14"/>
          <w:i w:val="1"/>
          <w:iCs w:val="1"/>
          <w:color w:val="auto"/>
        </w:rPr>
        <w:t>This Annual Report on Form 10-K contains forward-looking statements, which are subject to a number of risks and uncertainties. All statements other than statements of historical facts contained in this Annual Report on Form 10-K, including statements regarding our future results of operations and financial position, business strategy, plans and objectives of management for future operations, and plans for product development and manufacturing are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certain of these risks in greater detail in the "Risk Factors" section and elsewhere in this Annual Report on Form 10-K. Also, these forward-looking statements speak only as of the date of this Annual Report on Form 10-K, and we have no plans to update our forward-looking statements to reflect events or circumstances occurring after the date of this Annual Report on Form 10-K. We caution readers not to place undue reliance upon any such forward-looking statements.</w:t>
      </w:r>
    </w:p>
    <w:p>
      <w:pPr>
        <w:spacing w:after="0" w:line="155" w:lineRule="exact"/>
        <w:rPr>
          <w:sz w:val="20"/>
          <w:szCs w:val="20"/>
          <w:color w:val="auto"/>
        </w:rPr>
      </w:pPr>
    </w:p>
    <w:p>
      <w:pPr>
        <w:ind w:right="140" w:firstLine="284"/>
        <w:spacing w:after="0" w:line="289" w:lineRule="auto"/>
        <w:rPr>
          <w:sz w:val="20"/>
          <w:szCs w:val="20"/>
          <w:color w:val="auto"/>
        </w:rPr>
      </w:pPr>
      <w:r>
        <w:rPr>
          <w:rFonts w:ascii="Arial" w:cs="Arial" w:eastAsia="Arial" w:hAnsi="Arial"/>
          <w:sz w:val="14"/>
          <w:szCs w:val="14"/>
          <w:color w:val="auto"/>
        </w:rPr>
        <w:t>References in this Annual Report on Form 10-K to "Sonus," "Sonus Networks," "Company," "we," "us" and "our" are to Sonus Networks, Inc. and its subsidiaries, collectively, unless the context requires otherwise.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3" w:lineRule="exact"/>
        <w:rPr>
          <w:sz w:val="20"/>
          <w:szCs w:val="20"/>
          <w:color w:val="auto"/>
        </w:rPr>
      </w:pPr>
    </w:p>
    <w:p>
      <w:pPr>
        <w:ind w:firstLine="282"/>
        <w:spacing w:after="0" w:line="275" w:lineRule="auto"/>
        <w:rPr>
          <w:sz w:val="20"/>
          <w:szCs w:val="20"/>
          <w:color w:val="auto"/>
        </w:rPr>
      </w:pPr>
      <w:r>
        <w:rPr>
          <w:rFonts w:ascii="Arial" w:cs="Arial" w:eastAsia="Arial" w:hAnsi="Arial"/>
          <w:sz w:val="14"/>
          <w:szCs w:val="14"/>
          <w:color w:val="auto"/>
        </w:rPr>
        <w:t>We are a leading provider of voice and data infrastructure solutions, including softswitch and session border control products for service providers and large enterprises. Our infrastructure solutions allow efficient and reliable delivery of voice and multimedia sessions over IP (internet protocol) networks while allowing our customers to manage the flows of such sessions in their networks using business policies.</w:t>
      </w:r>
    </w:p>
    <w:p>
      <w:pPr>
        <w:spacing w:after="0" w:line="146" w:lineRule="exact"/>
        <w:rPr>
          <w:sz w:val="20"/>
          <w:szCs w:val="20"/>
          <w:color w:val="auto"/>
        </w:rPr>
      </w:pPr>
    </w:p>
    <w:p>
      <w:pPr>
        <w:ind w:right="160" w:firstLine="284"/>
        <w:spacing w:after="0" w:line="270" w:lineRule="auto"/>
        <w:rPr>
          <w:sz w:val="20"/>
          <w:szCs w:val="20"/>
          <w:color w:val="auto"/>
        </w:rPr>
      </w:pPr>
      <w:r>
        <w:rPr>
          <w:rFonts w:ascii="Arial" w:cs="Arial" w:eastAsia="Arial" w:hAnsi="Arial"/>
          <w:sz w:val="14"/>
          <w:szCs w:val="14"/>
          <w:color w:val="auto"/>
        </w:rPr>
        <w:t>One of the first companies to leverage SIP (session initiation protocol) and IP as the mechanism to carry voice traffic, we have helped over 150 wireline and wireless service providers in over 50 countries to create and deliver value with their deployed networks. Our customer list includes some of the world's largest service providers including AT&amp;T, Belgacom ICS, BT Group, TalkTalk (formerly Carphone Warehouse), CITIC 1616, France Telecom, Global Crossing, KDDI, Level 3, Qwest, Softbank Corporation, Tata Communications, T-Systems Business Services (a division of Deutsche Telekom Group), Verizon and XO Communications.</w:t>
      </w:r>
    </w:p>
    <w:p>
      <w:pPr>
        <w:spacing w:after="0" w:line="150" w:lineRule="exact"/>
        <w:rPr>
          <w:sz w:val="20"/>
          <w:szCs w:val="20"/>
          <w:color w:val="auto"/>
        </w:rPr>
      </w:pPr>
    </w:p>
    <w:p>
      <w:pPr>
        <w:ind w:right="40" w:firstLine="282"/>
        <w:spacing w:after="0" w:line="266" w:lineRule="auto"/>
        <w:rPr>
          <w:sz w:val="20"/>
          <w:szCs w:val="20"/>
          <w:color w:val="auto"/>
        </w:rPr>
      </w:pPr>
      <w:r>
        <w:rPr>
          <w:rFonts w:ascii="Arial" w:cs="Arial" w:eastAsia="Arial" w:hAnsi="Arial"/>
          <w:sz w:val="14"/>
          <w:szCs w:val="14"/>
          <w:color w:val="auto"/>
        </w:rPr>
        <w:t>We deliver value to our customers through our flexible and distributed architecture. Our customers peer with other service providers or large enterprises using either TDM (time division multiplexing), also known as circuit-switched telephony, or IP technology. Our products allow our customers to manage their network borders (or peering points) using either our GSX or NBS products to secure the borders, perform signaling interworking and media transcoding, and apply routing decisions. Our centralized policy and routing engine, or PSX, then manages the entire set of our GSX and NBS elements along a network's border. Other of our tools visualize and operate the entire network as a single entity. Business policies from the customer are transformed into routing and control decisions at these peering points, which secures the network from unwanted traffic and routes the desired traffic efficiently while preserving quality of service and gathering data necessary for billing and accounting.</w:t>
      </w:r>
    </w:p>
    <w:p>
      <w:pPr>
        <w:spacing w:after="0" w:line="153" w:lineRule="exact"/>
        <w:rPr>
          <w:sz w:val="20"/>
          <w:szCs w:val="20"/>
          <w:color w:val="auto"/>
        </w:rPr>
      </w:pPr>
    </w:p>
    <w:p>
      <w:pPr>
        <w:ind w:right="20" w:firstLine="282"/>
        <w:spacing w:after="0" w:line="341" w:lineRule="auto"/>
        <w:rPr>
          <w:sz w:val="20"/>
          <w:szCs w:val="20"/>
          <w:color w:val="auto"/>
        </w:rPr>
      </w:pPr>
      <w:r>
        <w:rPr>
          <w:rFonts w:ascii="Arial" w:cs="Arial" w:eastAsia="Arial" w:hAnsi="Arial"/>
          <w:sz w:val="12"/>
          <w:szCs w:val="12"/>
          <w:color w:val="auto"/>
        </w:rPr>
        <w:t>We are unique in the sense that our solutions help customers to gracefully migrate their networks from TDM networks to all-IP networks. Our NBS9000 session border controller can operate in a hybrid environment, carrying both TDM-to-IP sessions and IP-to-IP sessions in the same platform, while managing and controlling the traffic in a seamless way. Our NBS5200 session border controller operates in a pure-IP environment and is designed to operate at high performance without compromising on security or features. Both platforms support IPv6 (Internet Protocol version 6, which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is designed to succeed Internet Protocol version 4, or IPv4), and are built to work within an IMS (IP Multimedia Subsystem) architecture.</w:t>
      </w:r>
    </w:p>
    <w:p>
      <w:pPr>
        <w:spacing w:after="0" w:line="189" w:lineRule="exact"/>
        <w:rPr>
          <w:sz w:val="20"/>
          <w:szCs w:val="20"/>
          <w:color w:val="auto"/>
        </w:rPr>
      </w:pPr>
    </w:p>
    <w:p>
      <w:pPr>
        <w:ind w:right="40" w:firstLine="282"/>
        <w:spacing w:after="0" w:line="289" w:lineRule="auto"/>
        <w:rPr>
          <w:sz w:val="20"/>
          <w:szCs w:val="20"/>
          <w:color w:val="auto"/>
        </w:rPr>
      </w:pPr>
      <w:r>
        <w:rPr>
          <w:rFonts w:ascii="Arial" w:cs="Arial" w:eastAsia="Arial" w:hAnsi="Arial"/>
          <w:sz w:val="14"/>
          <w:szCs w:val="14"/>
          <w:color w:val="auto"/>
        </w:rPr>
        <w:t>We sell our products principally through a direct sales force in the United States, Europe, the Middle East and Asia-Pacific. We continue to expand our presence into new geographies and markets through our relationships with regional channel partners.</w:t>
      </w:r>
    </w:p>
    <w:p>
      <w:pPr>
        <w:spacing w:after="0" w:line="137" w:lineRule="exact"/>
        <w:rPr>
          <w:sz w:val="20"/>
          <w:szCs w:val="20"/>
          <w:color w:val="auto"/>
        </w:rPr>
      </w:pPr>
    </w:p>
    <w:p>
      <w:pPr>
        <w:ind w:right="80" w:firstLine="284"/>
        <w:spacing w:after="0" w:line="275" w:lineRule="auto"/>
        <w:rPr>
          <w:sz w:val="20"/>
          <w:szCs w:val="20"/>
          <w:color w:val="auto"/>
        </w:rPr>
      </w:pPr>
      <w:r>
        <w:rPr>
          <w:rFonts w:ascii="Arial" w:cs="Arial" w:eastAsia="Arial" w:hAnsi="Arial"/>
          <w:sz w:val="14"/>
          <w:szCs w:val="14"/>
          <w:color w:val="auto"/>
        </w:rPr>
        <w:t>Our target customers comprise both traditional and emerging communications service providers, including long-distance carriers, local exchange carriers, Internet service providers, wireless operators, cable operators, international telephone companies and carriers that provide services to other carriers, as well as enterprise customers. We also collaborate with our customers to identify and develop new advanced services and applications that they may offer to their customers.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Background</w:t>
      </w:r>
    </w:p>
    <w:p>
      <w:pPr>
        <w:spacing w:after="0" w:line="193" w:lineRule="exact"/>
        <w:rPr>
          <w:sz w:val="20"/>
          <w:szCs w:val="20"/>
          <w:color w:val="auto"/>
        </w:rPr>
      </w:pPr>
    </w:p>
    <w:p>
      <w:pPr>
        <w:ind w:right="240" w:firstLine="282"/>
        <w:spacing w:after="0" w:line="305" w:lineRule="auto"/>
        <w:rPr>
          <w:sz w:val="20"/>
          <w:szCs w:val="20"/>
          <w:color w:val="auto"/>
        </w:rPr>
      </w:pPr>
      <w:r>
        <w:rPr>
          <w:rFonts w:ascii="Arial" w:cs="Arial" w:eastAsia="Arial" w:hAnsi="Arial"/>
          <w:sz w:val="13"/>
          <w:szCs w:val="13"/>
          <w:color w:val="auto"/>
        </w:rPr>
        <w:t>The public telephone network is an integral part of our everyday lives. For most of its history, the global telephone industry was heavily regulated, which slowed the evolution of its underlying switching and infrastructure technologies and limited innovation in service offerings and pricing of telephone services. Two global forces—deregulation and expansion of the Internet—have revolutionized the public telephone network worldwide. The expansion in wireless voice and data services has further blurred many of the traditional telephone service models.</w:t>
      </w:r>
    </w:p>
    <w:p>
      <w:pPr>
        <w:spacing w:after="0" w:line="129"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color w:val="auto"/>
        </w:rPr>
        <w:t>Deregulation of the telephone industry in the United States accelerated with the passage of the Telecommunications Act of 1996. The barriers that once restricted service providers to a specific geography or service offering, such as local or long-distance services, have been largely eliminated. The migration to IP-based last-mile technologies reduces the capital investments required to provide services over large geographies. The opportunity created by accessibility to the telephone services market has encouraged new participants to enter this market and incumbent service providers to expand into additional markets, both domestic and international.</w:t>
      </w:r>
    </w:p>
    <w:p>
      <w:pPr>
        <w:spacing w:after="0" w:line="150" w:lineRule="exact"/>
        <w:rPr>
          <w:sz w:val="20"/>
          <w:szCs w:val="20"/>
          <w:color w:val="auto"/>
        </w:rPr>
      </w:pPr>
    </w:p>
    <w:p>
      <w:pPr>
        <w:ind w:right="40" w:firstLine="284"/>
        <w:spacing w:after="0" w:line="267" w:lineRule="auto"/>
        <w:rPr>
          <w:sz w:val="20"/>
          <w:szCs w:val="20"/>
          <w:color w:val="auto"/>
        </w:rPr>
      </w:pPr>
      <w:r>
        <w:rPr>
          <w:rFonts w:ascii="Arial" w:cs="Arial" w:eastAsia="Arial" w:hAnsi="Arial"/>
          <w:sz w:val="14"/>
          <w:szCs w:val="14"/>
          <w:color w:val="auto"/>
        </w:rPr>
        <w:t>Competition between new providers and incumbents is driving down service prices. With limited ability to reduce the cost structure of the public telephone network, profit margins for traditional telephone services have declined. In response, service providers are seeking new, creative and differentiated services as a means to increase revenues and as an opportunity to reduce costs. The first wave of service differentiation, typified by triple-play bundling of voice, Internet and television, is commonplace. Rapid adoption of Internet and broadband connectivity over the IP network has left service providers seeking more advanced solutions in broadband wireline-wireless converged services, video transport and services as well as innovative application of business policies over the traffic flows within a service provider's network.</w:t>
      </w:r>
    </w:p>
    <w:p>
      <w:pPr>
        <w:spacing w:after="0" w:line="154" w:lineRule="exact"/>
        <w:rPr>
          <w:sz w:val="20"/>
          <w:szCs w:val="20"/>
          <w:color w:val="auto"/>
        </w:rPr>
      </w:pPr>
    </w:p>
    <w:p>
      <w:pPr>
        <w:ind w:right="60" w:firstLine="282"/>
        <w:spacing w:after="0" w:line="293" w:lineRule="auto"/>
        <w:rPr>
          <w:sz w:val="20"/>
          <w:szCs w:val="20"/>
          <w:color w:val="auto"/>
        </w:rPr>
      </w:pPr>
      <w:r>
        <w:rPr>
          <w:rFonts w:ascii="Arial" w:cs="Arial" w:eastAsia="Arial" w:hAnsi="Arial"/>
          <w:sz w:val="13"/>
          <w:szCs w:val="13"/>
          <w:color w:val="auto"/>
        </w:rPr>
        <w:t>We deliver the next two waves of differentiation for service providers. The first is by transforming their networks from TDM to all-IP networks at a pace that the customers are willing to adopt. This lowers the overall cost structure for transporting voice and data and helps the service providers to be more competitive in the market. The next level of differentiation comes in giving service providers fine-grained control over how the IP sessions flow through their network, and applying business rules and policies to increase their return on investment on the network infrastructure. In addition, significant opportunities exist in combining traditional voice services with Internet or web-based services in a manner that allows the service provider to deliver and monetize powerful, high-margin experiences in partnership with over-the-top providers, large enterprises, and their peers around the world.</w:t>
      </w:r>
    </w:p>
    <w:p>
      <w:pPr>
        <w:spacing w:after="0" w:line="137" w:lineRule="exact"/>
        <w:rPr>
          <w:sz w:val="20"/>
          <w:szCs w:val="20"/>
          <w:color w:val="auto"/>
        </w:rPr>
      </w:pPr>
    </w:p>
    <w:p>
      <w:pPr>
        <w:jc w:val="both"/>
        <w:ind w:right="40" w:firstLine="282"/>
        <w:spacing w:after="0" w:line="275" w:lineRule="auto"/>
        <w:rPr>
          <w:sz w:val="20"/>
          <w:szCs w:val="20"/>
          <w:color w:val="auto"/>
        </w:rPr>
      </w:pPr>
      <w:r>
        <w:rPr>
          <w:rFonts w:ascii="Arial" w:cs="Arial" w:eastAsia="Arial" w:hAnsi="Arial"/>
          <w:sz w:val="14"/>
          <w:szCs w:val="14"/>
          <w:color w:val="auto"/>
        </w:rPr>
        <w:t>The transition of the public telecommunications network to an all-IP network is a complex and gradual process. Voice and voice-based services are still a significant source of revenues for service providers. The transition to IP is happening on several fronts, including the following: service providers are deploying Voice over IP, or VoIP, to add capacity; they are retiring legacy equipment where the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operational expense savings justify the investment in new IP technology; and they are adding IP networks to directly reach their consumer and business customers to offer new innovative services. Other than in certain limited situations, the service providers are left operating hybrid networks that have a mix of old and new equipment. Issues like security, call control and quality of service now must be addressed, except over a converged IP pipe that carries not just data, but also voice and multimedia. This has opened up a new world of opportunity, both to the existing telecommunications providers and the traditional data networking providers to provide efficient management of traffic flows and new services in this converged IP network.</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Network Requirements and the Sonus Solutions</w:t>
      </w:r>
    </w:p>
    <w:p>
      <w:pPr>
        <w:spacing w:after="0" w:line="193" w:lineRule="exact"/>
        <w:rPr>
          <w:sz w:val="20"/>
          <w:szCs w:val="20"/>
          <w:color w:val="auto"/>
        </w:rPr>
      </w:pPr>
    </w:p>
    <w:p>
      <w:pPr>
        <w:ind w:right="20" w:firstLine="284"/>
        <w:spacing w:after="0" w:line="270" w:lineRule="auto"/>
        <w:rPr>
          <w:sz w:val="20"/>
          <w:szCs w:val="20"/>
          <w:color w:val="auto"/>
        </w:rPr>
      </w:pPr>
      <w:r>
        <w:rPr>
          <w:rFonts w:ascii="Arial" w:cs="Arial" w:eastAsia="Arial" w:hAnsi="Arial"/>
          <w:sz w:val="14"/>
          <w:szCs w:val="14"/>
          <w:color w:val="auto"/>
        </w:rPr>
        <w:t>Users demand high levels of quality and reliability from the public telephone network, while service providers require a cost-efficient network that enables the latest revenue-generating services. We develop, market and sell a comprehensive suite of voice and data communications infrastructure products, which are designed to effectively set-up, route, and securely manage the multitude of sessions traversing a service provider's network at any given time. Our solutions are designed to scale to meet the security and performance needs of the largest packet networks and are compliant with the latest industry standards and best practices. Our solutions meet the following requirements:</w:t>
      </w:r>
    </w:p>
    <w:p>
      <w:pPr>
        <w:spacing w:after="0" w:line="150" w:lineRule="exact"/>
        <w:rPr>
          <w:sz w:val="20"/>
          <w:szCs w:val="20"/>
          <w:color w:val="auto"/>
        </w:rPr>
      </w:pPr>
    </w:p>
    <w:p>
      <w:pPr>
        <w:ind w:right="460" w:firstLine="284"/>
        <w:spacing w:after="0" w:line="289" w:lineRule="auto"/>
        <w:rPr>
          <w:sz w:val="20"/>
          <w:szCs w:val="20"/>
          <w:color w:val="auto"/>
        </w:rPr>
      </w:pPr>
      <w:r>
        <w:rPr>
          <w:rFonts w:ascii="Arial" w:cs="Arial" w:eastAsia="Arial" w:hAnsi="Arial"/>
          <w:sz w:val="14"/>
          <w:szCs w:val="14"/>
          <w:b w:val="1"/>
          <w:bCs w:val="1"/>
          <w:i w:val="1"/>
          <w:iCs w:val="1"/>
          <w:color w:val="auto"/>
        </w:rPr>
        <w:t xml:space="preserve">Carrier-class performance. </w:t>
      </w:r>
      <w:r>
        <w:rPr>
          <w:rFonts w:ascii="Arial" w:cs="Arial" w:eastAsia="Arial" w:hAnsi="Arial"/>
          <w:sz w:val="14"/>
          <w:szCs w:val="14"/>
          <w:color w:val="auto"/>
        </w:rPr>
        <w:t>Service providers operate complex, mission-critical networks. Our products are designed to offer the highest levels of quality, reliability and interoperability,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w:t>
      </w:r>
    </w:p>
    <w:p>
      <w:pPr>
        <w:spacing w:after="0" w:line="148" w:lineRule="exact"/>
        <w:rPr>
          <w:sz w:val="20"/>
          <w:szCs w:val="20"/>
          <w:color w:val="auto"/>
        </w:rPr>
      </w:pPr>
    </w:p>
    <w:p>
      <w:pPr>
        <w:ind w:left="880" w:hanging="4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full redundancy, designed for 5-nine's (99.999%) availability;</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quality of service equal or superior to today's circuit-switched network;</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system hardware designed to comply with NEBS (Network Equipment Building System) standards Level 3;</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interworking between the numerous signaling and media formats existing worldwide;</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sophisticated security, network monitoring and analytics capabilities.</w:t>
      </w:r>
    </w:p>
    <w:p>
      <w:pPr>
        <w:spacing w:after="0" w:line="189" w:lineRule="exact"/>
        <w:rPr>
          <w:sz w:val="20"/>
          <w:szCs w:val="20"/>
          <w:color w:val="auto"/>
        </w:rPr>
      </w:pPr>
    </w:p>
    <w:p>
      <w:pPr>
        <w:ind w:right="60" w:firstLine="284"/>
        <w:spacing w:after="0" w:line="293" w:lineRule="auto"/>
        <w:rPr>
          <w:sz w:val="20"/>
          <w:szCs w:val="20"/>
          <w:color w:val="auto"/>
        </w:rPr>
      </w:pPr>
      <w:r>
        <w:rPr>
          <w:rFonts w:ascii="Arial" w:cs="Arial" w:eastAsia="Arial" w:hAnsi="Arial"/>
          <w:sz w:val="13"/>
          <w:szCs w:val="13"/>
          <w:b w:val="1"/>
          <w:bCs w:val="1"/>
          <w:i w:val="1"/>
          <w:iCs w:val="1"/>
          <w:color w:val="auto"/>
        </w:rPr>
        <w:t xml:space="preserve">Scalability and density. </w:t>
      </w:r>
      <w:r>
        <w:rPr>
          <w:rFonts w:ascii="Arial" w:cs="Arial" w:eastAsia="Arial" w:hAnsi="Arial"/>
          <w:sz w:val="13"/>
          <w:szCs w:val="13"/>
          <w:color w:val="auto"/>
        </w:rPr>
        <w:t>Carrier infrastructure solutions face challenging scalability requirements. Service providers' central offices typically support tens or even hundreds of thousands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simultaneous sessions. To be economically attractive, modern infrastructure must compare favorably with existing networks in terms of performance, cost per port, space occupation, power consumption and cooling requirements. Our solution scales to build packet-based switch configurations that cost-effectively support a few hundred to hundreds of thousands of simultaneous calls. In addition, the capital cost of our equipment is typically lower than that of traditional circuit-switched equipment. At the same time, our equipment offers unparalleled density, requires significantly less space, power and cooling than that needed by typical circuit-switching implementations and is much more environmentally-friendly.</w:t>
      </w:r>
    </w:p>
    <w:p>
      <w:pPr>
        <w:spacing w:after="0" w:line="137"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b w:val="1"/>
          <w:bCs w:val="1"/>
          <w:i w:val="1"/>
          <w:iCs w:val="1"/>
          <w:color w:val="auto"/>
        </w:rPr>
        <w:t xml:space="preserve">Compatibility with standards and existing infrastructure. </w:t>
      </w:r>
      <w:r>
        <w:rPr>
          <w:rFonts w:ascii="Arial" w:cs="Arial" w:eastAsia="Arial" w:hAnsi="Arial"/>
          <w:sz w:val="14"/>
          <w:szCs w:val="14"/>
          <w:color w:val="auto"/>
        </w:rPr>
        <w:t>New infrastructure equipment and software must often sustain the full range of telephone network standards. It must also support data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networking protocols as well as telephony protocols. Infrastructure solutions must integrate seamlessly with the service providers' existing operations support systems. Our products are therefore designed to be compatible with applicable voice and data networking standards and interfaces, including:</w:t>
      </w:r>
    </w:p>
    <w:p>
      <w:pPr>
        <w:spacing w:after="0" w:line="157" w:lineRule="exact"/>
        <w:rPr>
          <w:sz w:val="20"/>
          <w:szCs w:val="20"/>
          <w:color w:val="auto"/>
        </w:rPr>
      </w:pPr>
    </w:p>
    <w:p>
      <w:pPr>
        <w:ind w:left="880" w:hanging="435"/>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SS7 and other telephony signaling protocols, including numerous country variants, number translations and intelligent services routing;</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Call signaling standards such as SIP and its variants, BICC, MGCP, H.323 and Diameter;</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Narrowband and Wideband media encoding/decoding formats and standards such as G.711 and G.722;</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80"/>
          </w:cols>
          <w:pgMar w:left="220" w:top="132" w:right="29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ind w:left="880" w:hanging="435"/>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bearer interfaces over both packet and circuit based bearers such as TDM, Optical and Ethernet; and</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Management and accounting interfaces such as Radius, Diameter, SNMP and AMA.</w:t>
      </w:r>
    </w:p>
    <w:p>
      <w:pPr>
        <w:spacing w:after="0" w:line="189" w:lineRule="exact"/>
        <w:rPr>
          <w:sz w:val="20"/>
          <w:szCs w:val="20"/>
          <w:color w:val="auto"/>
        </w:rPr>
      </w:pPr>
    </w:p>
    <w:p>
      <w:pPr>
        <w:ind w:right="280" w:firstLine="284"/>
        <w:spacing w:after="0" w:line="289" w:lineRule="auto"/>
        <w:rPr>
          <w:sz w:val="20"/>
          <w:szCs w:val="20"/>
          <w:color w:val="auto"/>
        </w:rPr>
      </w:pPr>
      <w:r>
        <w:rPr>
          <w:rFonts w:ascii="Arial" w:cs="Arial" w:eastAsia="Arial" w:hAnsi="Arial"/>
          <w:sz w:val="14"/>
          <w:szCs w:val="14"/>
          <w:color w:val="auto"/>
        </w:rPr>
        <w:t>Our solution is designed to interface with legacy circuit-switching equipment and transparently bridge the gap to new technologies, such as IPv6 based packet networks, and maximize revenue from existing assets.</w:t>
      </w:r>
    </w:p>
    <w:p>
      <w:pPr>
        <w:spacing w:after="0" w:line="137" w:lineRule="exact"/>
        <w:rPr>
          <w:sz w:val="20"/>
          <w:szCs w:val="20"/>
          <w:color w:val="auto"/>
        </w:rPr>
      </w:pPr>
    </w:p>
    <w:p>
      <w:pPr>
        <w:ind w:right="60" w:firstLine="284"/>
        <w:spacing w:after="0" w:line="266" w:lineRule="auto"/>
        <w:rPr>
          <w:sz w:val="20"/>
          <w:szCs w:val="20"/>
          <w:color w:val="auto"/>
        </w:rPr>
      </w:pPr>
      <w:r>
        <w:rPr>
          <w:rFonts w:ascii="Arial" w:cs="Arial" w:eastAsia="Arial" w:hAnsi="Arial"/>
          <w:sz w:val="14"/>
          <w:szCs w:val="14"/>
          <w:b w:val="1"/>
          <w:bCs w:val="1"/>
          <w:i w:val="1"/>
          <w:iCs w:val="1"/>
          <w:color w:val="auto"/>
        </w:rPr>
        <w:t xml:space="preserve">Security. </w:t>
      </w:r>
      <w:r>
        <w:rPr>
          <w:rFonts w:ascii="Arial" w:cs="Arial" w:eastAsia="Arial" w:hAnsi="Arial"/>
          <w:sz w:val="14"/>
          <w:szCs w:val="14"/>
          <w:color w:val="auto"/>
        </w:rPr>
        <w:t>IP-voice security is as important for a service provider's network as the services it provides. Various standards bodies, such as ISO 27001, ITU, ANSI and NIST, and industry consortia,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as 3GPP and ETSI, have development frameworks and guidelines for securing IP and IP-voice networks. As carriers extend the network edge via IP, security is critical to provide manageable, predictable services at peering points between service providers while maintaining the integrity and privacy of subscriber information. We address security on three dimensions: security and access control at the network border (peering or access), security and integrity of the network border element itself, and security of all of our network elements (media gateways, route servers, etc.) and their inter-element communications. Based on these three areas, we have developed an overall VoIP security threat model and mitigation architecture that provides a holistic approach to total network security. This threat model guides our overall product development and solution delivery.</w:t>
      </w:r>
    </w:p>
    <w:p>
      <w:pPr>
        <w:spacing w:after="0" w:line="153"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4"/>
          <w:szCs w:val="14"/>
          <w:b w:val="1"/>
          <w:bCs w:val="1"/>
          <w:i w:val="1"/>
          <w:iCs w:val="1"/>
          <w:color w:val="auto"/>
        </w:rPr>
        <w:t xml:space="preserve">Simple and rapid installation, deployment and support. </w:t>
      </w:r>
      <w:r>
        <w:rPr>
          <w:rFonts w:ascii="Arial" w:cs="Arial" w:eastAsia="Arial" w:hAnsi="Arial"/>
          <w:sz w:val="14"/>
          <w:szCs w:val="14"/>
          <w:color w:val="auto"/>
        </w:rPr>
        <w:t>Infrastructure solutions must be easy to install, deploy, configure and manage. Our equipment and software can be installed and placed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 by our customers more quickly than circuit-switched equipment. By offering comprehensive testing, configuration and management software, we expedite the deployment process as well as the ongoing management and operation of our products. We believe that typical installations of our solution require only weeks from product arrival to final testing, thereby reducing the cost of deployment and the time to market for new services.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GSX9000 Open Services Switch and Sonus GSX4000 Open Services Switch</w:t>
      </w:r>
    </w:p>
    <w:p>
      <w:pPr>
        <w:spacing w:after="0" w:line="193" w:lineRule="exact"/>
        <w:rPr>
          <w:sz w:val="20"/>
          <w:szCs w:val="20"/>
          <w:color w:val="auto"/>
        </w:rPr>
      </w:pPr>
    </w:p>
    <w:p>
      <w:pPr>
        <w:ind w:right="20" w:firstLine="282"/>
        <w:spacing w:after="0" w:line="289" w:lineRule="auto"/>
        <w:rPr>
          <w:sz w:val="20"/>
          <w:szCs w:val="20"/>
          <w:color w:val="auto"/>
        </w:rPr>
      </w:pPr>
      <w:r>
        <w:rPr>
          <w:rFonts w:ascii="Arial" w:cs="Arial" w:eastAsia="Arial" w:hAnsi="Arial"/>
          <w:sz w:val="13"/>
          <w:szCs w:val="13"/>
          <w:color w:val="auto"/>
        </w:rPr>
        <w:t>The Sonus GSX9000 Open Services Switch, or GSX9000, enables voice traffic to be transported over packet networks by converting any type of voice signal into IP packets and transmitting those IP packets over a data network. It then converts whatever type of signal is necessary to be deposited back onto non-IP networks to be delivered to its intended destination. The GSX9000 is designed to deliver voice quality that is equal or superior to that of the legacy circuit-switched public network. Further, it supports multiple voice encoding schemes used in circuit switches and delivers a number of other voice compression algorithms. The GSX9000 minimizes delay, further enhancing perceived voice quality, and scales to very large configurations required by major service providers. A single GSX9000 shelf can support up to 22,000 simultaneous calls, while a single GSX9000 in a multiple-shelf configuration can support 100,000 or more simultaneous calls. The GSX9000 also operates with our PSX Policy &amp; Routing Server and with softswitches and network products offered by other vendors. The Sonus GSX4000 Open Services Switch, or GSX4000, allows service providers to realize the benefits of the GSX9000 in a smaller form factor that meets the needs of service providers and enterprises.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NBS9000 Network Border Switch</w:t>
      </w:r>
    </w:p>
    <w:p>
      <w:pPr>
        <w:spacing w:after="0" w:line="193" w:lineRule="exact"/>
        <w:rPr>
          <w:sz w:val="20"/>
          <w:szCs w:val="20"/>
          <w:color w:val="auto"/>
        </w:rPr>
      </w:pPr>
    </w:p>
    <w:p>
      <w:pPr>
        <w:ind w:right="40" w:firstLine="282"/>
        <w:spacing w:after="0" w:line="275" w:lineRule="auto"/>
        <w:rPr>
          <w:sz w:val="20"/>
          <w:szCs w:val="20"/>
          <w:color w:val="auto"/>
        </w:rPr>
      </w:pPr>
      <w:r>
        <w:rPr>
          <w:rFonts w:ascii="Arial" w:cs="Arial" w:eastAsia="Arial" w:hAnsi="Arial"/>
          <w:sz w:val="14"/>
          <w:szCs w:val="14"/>
          <w:color w:val="auto"/>
        </w:rPr>
        <w:t>With the adoption of IP-based networks and industry convergence around IMS architectures, the ability to securely interconnect IP peering partners, business enterprises and individual voice customers has become critical. Offered as an upgrade on the GSX9000 platform, the Sonus NBS9000 Network Border Switch, or NBS9000, permits service providers to gradually transform their TDM networks to IP by permitting both TDM-to-IP and IP-to-IP session management capability on the same platform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provides the potential for significant cost savings. The NBS9000 provides a robust suite of security features, including traffic policing. Supporting both peering and access SBC configurations, the NBS9000 allows operators to satisfy their security, session border control and media services requirements within an integrated and easily managed system. The integrated media services include media transcoding, recorded tones and announcements and support for data (modem) and fax relay or interworking. Combined with the Sonus PSX Policy &amp; Routing Server, the NBS9000 leverages the same policy-based packet switching features that drive Sonus IP-based networks around the world. The NBS9000 also includes full access to our centralized routing, network voice features and management/provisioning tools.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PSX Policy &amp; Routing Server</w:t>
      </w:r>
    </w:p>
    <w:p>
      <w:pPr>
        <w:spacing w:after="0" w:line="193" w:lineRule="exact"/>
        <w:rPr>
          <w:sz w:val="20"/>
          <w:szCs w:val="20"/>
          <w:color w:val="auto"/>
        </w:rPr>
      </w:pPr>
    </w:p>
    <w:p>
      <w:pPr>
        <w:ind w:right="20" w:firstLine="282"/>
        <w:spacing w:after="0" w:line="270" w:lineRule="auto"/>
        <w:rPr>
          <w:sz w:val="20"/>
          <w:szCs w:val="20"/>
          <w:color w:val="auto"/>
        </w:rPr>
      </w:pPr>
      <w:r>
        <w:rPr>
          <w:rFonts w:ascii="Arial" w:cs="Arial" w:eastAsia="Arial" w:hAnsi="Arial"/>
          <w:sz w:val="14"/>
          <w:szCs w:val="14"/>
          <w:color w:val="auto"/>
        </w:rPr>
        <w:t>The Sonus PSX Policy &amp; Routing Server, or PSX, is a primary element of a Sonus distributed deployment that consists of multiple GSX and NBS-based edge elements deployed at various peering points in a service provider network, along with a centralized PSX that includes the database determining how sessions get routed over the service provider network. The PSX plays an integral role in all of our network deployments and translates business policies into actual call control, routing and service selection decisions. The PSX acts as a central control point in a large Sonus network, permitting significant operational savings for our customers.</w:t>
      </w:r>
    </w:p>
    <w:p>
      <w:pPr>
        <w:spacing w:after="0" w:line="150" w:lineRule="exact"/>
        <w:rPr>
          <w:sz w:val="20"/>
          <w:szCs w:val="20"/>
          <w:color w:val="auto"/>
        </w:rPr>
      </w:pPr>
    </w:p>
    <w:p>
      <w:pPr>
        <w:ind w:firstLine="282"/>
        <w:spacing w:after="0" w:line="270" w:lineRule="auto"/>
        <w:rPr>
          <w:sz w:val="20"/>
          <w:szCs w:val="20"/>
          <w:color w:val="auto"/>
        </w:rPr>
      </w:pPr>
      <w:r>
        <w:rPr>
          <w:rFonts w:ascii="Arial" w:cs="Arial" w:eastAsia="Arial" w:hAnsi="Arial"/>
          <w:sz w:val="14"/>
          <w:szCs w:val="14"/>
          <w:color w:val="auto"/>
        </w:rPr>
        <w:t>The PSX is based upon a modular architecture that is designed for high performance and scalability, as well as interoperability with third-party gateways, devices and services. It supports a broad set of features that routes traffic to minimize cost and delays. It interfaces with third-party databases maintained by numbering authorities to determine where a session needs to be routed. When there is a need to query a traditional database over the SS7 network, an SGX (signaling gateway) component is deployed in conjunction with the PSX. The PSX is an all-IP component and can perform most IP-based database lookups natively.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NBS5200 Network Border Switch</w:t>
      </w:r>
    </w:p>
    <w:p>
      <w:pPr>
        <w:spacing w:after="0" w:line="193" w:lineRule="exact"/>
        <w:rPr>
          <w:sz w:val="20"/>
          <w:szCs w:val="20"/>
          <w:color w:val="auto"/>
        </w:rPr>
      </w:pPr>
    </w:p>
    <w:p>
      <w:pPr>
        <w:ind w:right="160" w:firstLine="282"/>
        <w:spacing w:after="0" w:line="267" w:lineRule="auto"/>
        <w:rPr>
          <w:sz w:val="20"/>
          <w:szCs w:val="20"/>
          <w:color w:val="auto"/>
        </w:rPr>
      </w:pPr>
      <w:r>
        <w:rPr>
          <w:rFonts w:ascii="Arial" w:cs="Arial" w:eastAsia="Arial" w:hAnsi="Arial"/>
          <w:sz w:val="14"/>
          <w:szCs w:val="14"/>
          <w:color w:val="auto"/>
        </w:rPr>
        <w:t>The Sonus NBS5200 Network Border Switch, or NBS5200, is the first product built on our next-generation ConnexIP platform. The NBS5200 complements our NBS9000 as part of our Session Border Control, or SBC, solutions portfolio and provides SBC functionality, including media interworking, advanced routing and policy engine, and multi-access security gateway functionality. The ConnexIP platform is a platform for connecting, managing and securing IP session-based communications and represents a key element in our strategy to bring industry-leading performance and carrier-grade reliability to the session management market, and represents a new foundation for the next generation of our IP-based products. The NBS5200 includes local Sonus PSX server functionality for advanced routing in standalone mode or can be configured to access a centralized PSX or third-party softswitch.</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ASX Call Feature Server</w:t>
      </w:r>
    </w:p>
    <w:p>
      <w:pPr>
        <w:spacing w:after="0" w:line="193" w:lineRule="exact"/>
        <w:rPr>
          <w:sz w:val="20"/>
          <w:szCs w:val="20"/>
          <w:color w:val="auto"/>
        </w:rPr>
      </w:pPr>
    </w:p>
    <w:p>
      <w:pPr>
        <w:ind w:right="40" w:firstLine="282"/>
        <w:spacing w:after="0" w:line="267" w:lineRule="auto"/>
        <w:rPr>
          <w:sz w:val="20"/>
          <w:szCs w:val="20"/>
          <w:color w:val="auto"/>
        </w:rPr>
      </w:pPr>
      <w:r>
        <w:rPr>
          <w:rFonts w:ascii="Arial" w:cs="Arial" w:eastAsia="Arial" w:hAnsi="Arial"/>
          <w:sz w:val="14"/>
          <w:szCs w:val="14"/>
          <w:color w:val="auto"/>
        </w:rPr>
        <w:t>The Sonus ASX Call Feature Server, or ASX, provides functionality to address subscriber access services within the network. The ASX is a call agent that handles call setup and both basic and advanced call features. The ASX provides local area calling features for residential and enterprise markets and regulatory features such as emergency services and lawful intercept. The ASX allows the same features to run over various transport technologies, including analog lines, Ethernet, voice over DSL, voice over cable or fixed wireless infrastructure. This flexibility enables a multitude of applications, such as residential access, cable access and business services, and new features available only on packet-based networks, such as unified messaging, multimedia conferencing and desktop integration.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Network Analytics Suite</w:t>
      </w:r>
    </w:p>
    <w:p>
      <w:pPr>
        <w:spacing w:after="0" w:line="193" w:lineRule="exact"/>
        <w:rPr>
          <w:sz w:val="20"/>
          <w:szCs w:val="20"/>
          <w:color w:val="auto"/>
        </w:rPr>
      </w:pPr>
    </w:p>
    <w:p>
      <w:pPr>
        <w:ind w:firstLine="282"/>
        <w:spacing w:after="0" w:line="286" w:lineRule="auto"/>
        <w:rPr>
          <w:sz w:val="20"/>
          <w:szCs w:val="20"/>
          <w:color w:val="auto"/>
        </w:rPr>
      </w:pPr>
      <w:r>
        <w:rPr>
          <w:rFonts w:ascii="Arial" w:cs="Arial" w:eastAsia="Arial" w:hAnsi="Arial"/>
          <w:sz w:val="13"/>
          <w:szCs w:val="13"/>
          <w:color w:val="auto"/>
        </w:rPr>
        <w:t>The Network Analytics Suite of performance management products delivers advanced collection, monitoring, reporting and notification of performance metrics to help lower operational costs and maximize network performance. The suite is comprised of three products—NetScore Network Performance Analysis Tool, or NetScore; NetAssure Voice Quality Monitoring Tool, or NetAssure; and NetEng Network Audit and Visualization Engine, or NetEng. NetScore provides a real-time assessment of the state of a service provider's network, including quality of service, call delay, network effectiveness, congestion and efficiency, and allows network operators to analyze real-time and historic trends, aggregate data by trunk group or gateway, or monitor specific events. NetAssure is designed to deliver end-to-end service quality assurance for Sonus IP networks through active call monitoring and advanced analytics, then presenting this information through detailed visual reports and real-time alarms, so network operators can understand how well the network is delivering services and systematically isolate any quality degradations that may occur. NetEng provides visibility into the performance and capacity levels of our networks by collecting, analyzing and aggregating historical data from each network element and presenting the information through a visualization and reporting tool, providing a comprehensive reporting platform for on-demand network audits, capacity planning, forecasting, trending analysis and standardized element configuration. The products are available as individually licensed software packages or bundled with our comprehensive Professional Services offering.</w:t>
      </w:r>
    </w:p>
    <w:p>
      <w:pPr>
        <w:spacing w:after="0" w:line="145" w:lineRule="exact"/>
        <w:rPr>
          <w:sz w:val="20"/>
          <w:szCs w:val="20"/>
          <w:color w:val="auto"/>
        </w:rPr>
      </w:pPr>
    </w:p>
    <w:p>
      <w:pPr>
        <w:ind w:right="60" w:firstLine="282"/>
        <w:spacing w:after="0" w:line="270" w:lineRule="auto"/>
        <w:rPr>
          <w:sz w:val="20"/>
          <w:szCs w:val="20"/>
          <w:color w:val="auto"/>
        </w:rPr>
      </w:pPr>
      <w:r>
        <w:rPr>
          <w:rFonts w:ascii="Arial" w:cs="Arial" w:eastAsia="Arial" w:hAnsi="Arial"/>
          <w:sz w:val="14"/>
          <w:szCs w:val="14"/>
          <w:color w:val="auto"/>
        </w:rPr>
        <w:t>The Sonus VoiceSentry system is an application-aware security system that protects voice networks against Telephony Denial of Service or TDoS, and other malicious attacks. The VoiceSentry system monitors voice traffic (both TDM and SIP) in real time to identify suspicious, malicious and machine-generated calls, then allows the network management team to take appropriate, real-time defensive actions. It gives enterprises and government agencies a way to safeguard their voice networks from new SIP and voice-based attacks, prevent network costs from escalating and keep services running for their customers.</w:t>
      </w:r>
    </w:p>
    <w:p>
      <w:pPr>
        <w:spacing w:after="0" w:line="150" w:lineRule="exact"/>
        <w:rPr>
          <w:sz w:val="20"/>
          <w:szCs w:val="20"/>
          <w:color w:val="auto"/>
        </w:rPr>
      </w:pPr>
    </w:p>
    <w:p>
      <w:pPr>
        <w:ind w:right="100" w:firstLine="282"/>
        <w:spacing w:after="0" w:line="267" w:lineRule="auto"/>
        <w:rPr>
          <w:sz w:val="20"/>
          <w:szCs w:val="20"/>
          <w:color w:val="auto"/>
        </w:rPr>
      </w:pPr>
      <w:r>
        <w:rPr>
          <w:rFonts w:ascii="Arial" w:cs="Arial" w:eastAsia="Arial" w:hAnsi="Arial"/>
          <w:sz w:val="14"/>
          <w:szCs w:val="14"/>
          <w:color w:val="auto"/>
        </w:rPr>
        <w:t>The VoiceSentry system's anomaly detection function defends call centers by detecting voice SPAM and TDoS attacks. The guardian function mitigates those attacks with a Rules and Policy Change Engine as well as intelligent media interception. The VoiceSentry system learns behaviors as it goes and uses what is has learned about malicious traffic to prevent future attacks. The VoiceSentry system also includes an optional feature for voice CAPTCHA that screens out machine-generated voice traffic using a series of audio prompts or challenges similar to the data CAPTCHA tools used on commercial Web sites such as ticket reservation systems. Depending on the results of the CAPTCHA test, the VoiceSentry system can disconnect the call or route it to an appropriate destination.</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Sonus Global Services and Sonus Professional Services</w:t>
      </w:r>
    </w:p>
    <w:p>
      <w:pPr>
        <w:spacing w:after="0" w:line="193" w:lineRule="exact"/>
        <w:rPr>
          <w:sz w:val="20"/>
          <w:szCs w:val="20"/>
          <w:color w:val="auto"/>
        </w:rPr>
      </w:pPr>
    </w:p>
    <w:p>
      <w:pPr>
        <w:ind w:right="120" w:firstLine="284"/>
        <w:spacing w:after="0" w:line="267" w:lineRule="auto"/>
        <w:rPr>
          <w:sz w:val="20"/>
          <w:szCs w:val="20"/>
          <w:color w:val="auto"/>
        </w:rPr>
      </w:pPr>
      <w:r>
        <w:rPr>
          <w:rFonts w:ascii="Arial" w:cs="Arial" w:eastAsia="Arial" w:hAnsi="Arial"/>
          <w:sz w:val="14"/>
          <w:szCs w:val="14"/>
          <w:color w:val="auto"/>
        </w:rPr>
        <w:t>Sonus Global Services offers professional consulting and services that support our industry-leading IP communications solutions. Through a wide range of service offerings, our consultants provide the skill and expertise to help wireline, wireless and cable operators transform their communications networks, from network engineering and design through network integration and commissioning to network operations. Our consultants have an average of more than twelve years of industry experience with world-leading carriers and network vendors to ensure that our customers receive the professional guidance they need. In addition to end-to-end design, integration and deployment solutions, our Global Services team offers customized engagements, training workshops, interoperability/verification testing and around-the-clock technical support worldwide.</w:t>
      </w:r>
    </w:p>
    <w:p>
      <w:pPr>
        <w:spacing w:after="0" w:line="154" w:lineRule="exact"/>
        <w:rPr>
          <w:sz w:val="20"/>
          <w:szCs w:val="20"/>
          <w:color w:val="auto"/>
        </w:rPr>
      </w:pPr>
    </w:p>
    <w:p>
      <w:pPr>
        <w:ind w:right="240" w:firstLine="284"/>
        <w:spacing w:after="0" w:line="289" w:lineRule="auto"/>
        <w:rPr>
          <w:sz w:val="20"/>
          <w:szCs w:val="20"/>
          <w:color w:val="auto"/>
        </w:rPr>
      </w:pPr>
      <w:r>
        <w:rPr>
          <w:rFonts w:ascii="Arial" w:cs="Arial" w:eastAsia="Arial" w:hAnsi="Arial"/>
          <w:sz w:val="14"/>
          <w:szCs w:val="14"/>
          <w:color w:val="auto"/>
        </w:rPr>
        <w:t>Sonus Professional Services deliver an end-to-end solution through well-defined service engagements that include program management, network deployment design, softswitch and subscriber database design, network verification, network audit services, service management solutions, custom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application and adaptor development, OSS and API integration, engineering, furnishing and installation, migration services, resident engineers, upgrade services, managed services and other services.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Sonus Professional Services organization offers our customers:</w:t>
      </w:r>
    </w:p>
    <w:p>
      <w:pPr>
        <w:spacing w:after="0" w:line="200" w:lineRule="exact"/>
        <w:rPr>
          <w:sz w:val="20"/>
          <w:szCs w:val="20"/>
          <w:color w:val="auto"/>
        </w:rPr>
      </w:pPr>
    </w:p>
    <w:p>
      <w:pPr>
        <w:ind w:left="880" w:hanging="43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Experience in deploying large-scale integrated solutions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full-service portfolio including consulting, integration, deployment, migration and operation support services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Global reach through our worldwide service organization and partner presence in all major global markets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Program managers who use a disciplined methodology for all deployment and integration projects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Consistent execution in the design, deployment and support of the world's largest and most advanced networks</w:t>
      </w:r>
    </w:p>
    <w:p>
      <w:pPr>
        <w:spacing w:after="0" w:line="189" w:lineRule="exact"/>
        <w:rPr>
          <w:sz w:val="20"/>
          <w:szCs w:val="20"/>
          <w:color w:val="auto"/>
        </w:rPr>
      </w:pPr>
    </w:p>
    <w:p>
      <w:pPr>
        <w:ind w:right="120" w:firstLine="284"/>
        <w:spacing w:after="0" w:line="305" w:lineRule="auto"/>
        <w:rPr>
          <w:sz w:val="20"/>
          <w:szCs w:val="20"/>
          <w:color w:val="auto"/>
        </w:rPr>
      </w:pPr>
      <w:r>
        <w:rPr>
          <w:rFonts w:ascii="Arial" w:cs="Arial" w:eastAsia="Arial" w:hAnsi="Arial"/>
          <w:sz w:val="13"/>
          <w:szCs w:val="13"/>
          <w:color w:val="auto"/>
        </w:rPr>
        <w:t>In addition to our standard Sonus Professional Services engagements, Sonus Global Services offers customized engagements and workshops, ongoing training classes and, for our maintenance plan customers, ongoing support through our online knowledge center, technical document library and 24-hour telephone support from our worldwide technical assistance centers located in Westford, Massachusetts, Tokyo, Japan and Prague, Czech Republic. We also have customer test and support centers located in Richardson, Texas and Bangalore, India.</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These service offerings accelerate our customers' return on investment, optimize their operational capability, enhance network performance and health, and generate new revenue.</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At December 31, 2010, our customer support and professional services organization consisted of 194 employees.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193" w:lineRule="exact"/>
        <w:rPr>
          <w:sz w:val="20"/>
          <w:szCs w:val="20"/>
          <w:color w:val="auto"/>
        </w:rPr>
      </w:pPr>
    </w:p>
    <w:p>
      <w:pPr>
        <w:ind w:firstLine="282"/>
        <w:spacing w:after="0" w:line="290" w:lineRule="auto"/>
        <w:rPr>
          <w:sz w:val="20"/>
          <w:szCs w:val="20"/>
          <w:color w:val="auto"/>
        </w:rPr>
      </w:pPr>
      <w:r>
        <w:rPr>
          <w:rFonts w:ascii="Arial" w:cs="Arial" w:eastAsia="Arial" w:hAnsi="Arial"/>
          <w:sz w:val="13"/>
          <w:szCs w:val="13"/>
          <w:color w:val="auto"/>
        </w:rPr>
        <w:t>Traditionally, we provided robust solutions for carriers that wanted to evolve their TDM based networks to IP and bridge their networks by supporting sessions on both networks until their entire network became IP. We believe the need for this hybrid trunking technology will persist for years to come, as the number of IP islands increases while vast portions of the world's class 5 ("last mile," or exchanges to which subscriber and end-user telephone lines connect) and mobile infrastructure remain based on TDM. As networks evolve, however, we must continue to develop solutions that are optimized for all-IP and become more focused on securing and applying business policies to IP traffic flows within the service provider network. Further, the systems and software required to manage all-IP-based voice calls will need to evolve to support all types of media sessions, not just voice. Our launch of the ConnexIP platform is an example of this innovation that we believe will serve as the foundation for multiple solutions in the all-IP space. In response to this evolution, we plan to develop solutions based on the following principles:</w:t>
      </w:r>
    </w:p>
    <w:p>
      <w:pPr>
        <w:spacing w:after="0" w:line="140" w:lineRule="exact"/>
        <w:rPr>
          <w:sz w:val="20"/>
          <w:szCs w:val="20"/>
          <w:color w:val="auto"/>
        </w:rPr>
      </w:pPr>
    </w:p>
    <w:p>
      <w:pPr>
        <w:ind w:firstLine="284"/>
        <w:spacing w:after="0" w:line="328" w:lineRule="auto"/>
        <w:rPr>
          <w:sz w:val="20"/>
          <w:szCs w:val="20"/>
          <w:color w:val="auto"/>
        </w:rPr>
      </w:pPr>
      <w:r>
        <w:rPr>
          <w:rFonts w:ascii="Arial" w:cs="Arial" w:eastAsia="Arial" w:hAnsi="Arial"/>
          <w:sz w:val="12"/>
          <w:szCs w:val="12"/>
          <w:b w:val="1"/>
          <w:bCs w:val="1"/>
          <w:i w:val="1"/>
          <w:iCs w:val="1"/>
          <w:color w:val="auto"/>
        </w:rPr>
        <w:t xml:space="preserve">Leverage our technology leadership to attract and retain key service providers. </w:t>
      </w:r>
      <w:r>
        <w:rPr>
          <w:rFonts w:ascii="Arial" w:cs="Arial" w:eastAsia="Arial" w:hAnsi="Arial"/>
          <w:sz w:val="12"/>
          <w:szCs w:val="12"/>
          <w:color w:val="auto"/>
        </w:rPr>
        <w:t>As one of the first companies to offer IMS-ready, carrier-class, packet voice infrastructure products, we were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selected by industry-leading service providers as they developed the architecture for new voice networks. We expect service providers to select vendors that deliver leading technology and can maintain that technology leadership. Our equipment is an integral part of the network architecture and we will expand our business as these networks are deployed. By working closely with our customers, we gain valuable knowledge about their requirements, which positions us to continue enhancing and extending products that address the evolving requirements of network operators globally.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60" w:firstLine="284"/>
        <w:spacing w:after="0" w:line="267" w:lineRule="auto"/>
        <w:rPr>
          <w:sz w:val="20"/>
          <w:szCs w:val="20"/>
          <w:color w:val="auto"/>
        </w:rPr>
      </w:pPr>
      <w:r>
        <w:rPr>
          <w:rFonts w:ascii="Arial" w:cs="Arial" w:eastAsia="Arial" w:hAnsi="Arial"/>
          <w:sz w:val="14"/>
          <w:szCs w:val="14"/>
          <w:b w:val="1"/>
          <w:bCs w:val="1"/>
          <w:i w:val="1"/>
          <w:iCs w:val="1"/>
          <w:color w:val="auto"/>
        </w:rPr>
        <w:t xml:space="preserve">Expand our solutions to address emerging IP-based markets, such as network border switching. </w:t>
      </w:r>
      <w:r>
        <w:rPr>
          <w:rFonts w:ascii="Arial" w:cs="Arial" w:eastAsia="Arial" w:hAnsi="Arial"/>
          <w:sz w:val="14"/>
          <w:szCs w:val="14"/>
          <w:color w:val="auto"/>
        </w:rPr>
        <w:t>The transformation of legacy TDM networks to all-IP networks has created requirements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security, peering and media manipulation as well as an opportunity for creating IP-to-IP services at the network edges. The requirements for security and peering go far beyond the legacy functionality of SBCs and include not only the operator's requirements for a border gateway to other IP networks but a wide variety of requirements associated with the need for enterprises to control their own IP networks. The multi-media nature of the emerging services also provides an opportunity to create innovative services at the edge of the network. Our Network Border Switch product family empowers operators to address all of the above requirements and enables them to create unique IP-IP services.</w:t>
      </w:r>
    </w:p>
    <w:p>
      <w:pPr>
        <w:spacing w:after="0" w:line="154" w:lineRule="exact"/>
        <w:rPr>
          <w:sz w:val="20"/>
          <w:szCs w:val="20"/>
          <w:color w:val="auto"/>
        </w:rPr>
      </w:pPr>
    </w:p>
    <w:p>
      <w:pPr>
        <w:jc w:val="both"/>
        <w:ind w:firstLine="284"/>
        <w:spacing w:after="0" w:line="307" w:lineRule="auto"/>
        <w:rPr>
          <w:sz w:val="20"/>
          <w:szCs w:val="20"/>
          <w:color w:val="auto"/>
        </w:rPr>
      </w:pPr>
      <w:r>
        <w:rPr>
          <w:rFonts w:ascii="Arial" w:cs="Arial" w:eastAsia="Arial" w:hAnsi="Arial"/>
          <w:sz w:val="12"/>
          <w:szCs w:val="12"/>
          <w:b w:val="1"/>
          <w:bCs w:val="1"/>
          <w:i w:val="1"/>
          <w:iCs w:val="1"/>
          <w:color w:val="auto"/>
        </w:rPr>
        <w:t xml:space="preserve">Embrace the principles outlined by 3GPP and LTE architectures. </w:t>
      </w:r>
      <w:r>
        <w:rPr>
          <w:rFonts w:ascii="Arial" w:cs="Arial" w:eastAsia="Arial" w:hAnsi="Arial"/>
          <w:sz w:val="12"/>
          <w:szCs w:val="12"/>
          <w:color w:val="auto"/>
        </w:rPr>
        <w:t>As service providers reach more of their end-subscribers directly over IP, there is imminent convergence between broadband,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wireline and wireless networks. IMS is a converged network architecture developed by accommodating the requirements of the wireless, wireline and cable industries and represents a well-accepted set of functional building blocks for an all IP-network. Our strategy is to ensure that our products fit well with the accepted industry standards and seamlessly interoperate with other vendors' equipment.</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As our customers contemplate building their large, all-IP networks, our approach is to promote an environment where our customers have the freedom to select the components that will best provide them with an open, accessible and scalable infrastructure.</w:t>
      </w:r>
    </w:p>
    <w:p>
      <w:pPr>
        <w:spacing w:after="0" w:line="142" w:lineRule="exact"/>
        <w:rPr>
          <w:sz w:val="20"/>
          <w:szCs w:val="20"/>
          <w:color w:val="auto"/>
        </w:rPr>
      </w:pPr>
    </w:p>
    <w:p>
      <w:pPr>
        <w:ind w:right="140" w:firstLine="284"/>
        <w:spacing w:after="0" w:line="267" w:lineRule="auto"/>
        <w:rPr>
          <w:sz w:val="20"/>
          <w:szCs w:val="20"/>
          <w:color w:val="auto"/>
        </w:rPr>
      </w:pPr>
      <w:r>
        <w:rPr>
          <w:rFonts w:ascii="Arial" w:cs="Arial" w:eastAsia="Arial" w:hAnsi="Arial"/>
          <w:sz w:val="14"/>
          <w:szCs w:val="14"/>
          <w:b w:val="1"/>
          <w:bCs w:val="1"/>
          <w:i w:val="1"/>
          <w:iCs w:val="1"/>
          <w:color w:val="auto"/>
        </w:rPr>
        <w:t xml:space="preserve">Expand our global sales, marketing, support and distribution capabilities. </w:t>
      </w:r>
      <w:r>
        <w:rPr>
          <w:rFonts w:ascii="Arial" w:cs="Arial" w:eastAsia="Arial" w:hAnsi="Arial"/>
          <w:sz w:val="14"/>
          <w:szCs w:val="14"/>
          <w:color w:val="auto"/>
        </w:rPr>
        <w:t>As a primary supplier of carrier packet voice infrastructure solutions to tier 1 service providers (a service provider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can reach every other network on the Internet without purchasing IP transit), we require a strong worldwide presence. We have established sales presence throughout the United States, Western Europe, the United Kingdom and Japan. We also have sales teams in Singapore, Hong Kong, China, Mexico, Malaysia and the United Arab Emirates. We augment our global direct sales effort by working with international distribution partners in key markets around the world. We will continue to invest in professional service expertise and customer support. We anticipate expanding our sales channels in 2011 as well as developing technology and marketing partnerships.</w:t>
      </w:r>
    </w:p>
    <w:p>
      <w:pPr>
        <w:spacing w:after="0" w:line="154" w:lineRule="exact"/>
        <w:rPr>
          <w:sz w:val="20"/>
          <w:szCs w:val="20"/>
          <w:color w:val="auto"/>
        </w:rPr>
      </w:pPr>
    </w:p>
    <w:p>
      <w:pPr>
        <w:ind w:right="20" w:firstLine="284"/>
        <w:spacing w:after="0" w:line="318" w:lineRule="auto"/>
        <w:rPr>
          <w:sz w:val="20"/>
          <w:szCs w:val="20"/>
          <w:color w:val="auto"/>
        </w:rPr>
      </w:pPr>
      <w:r>
        <w:rPr>
          <w:rFonts w:ascii="Arial" w:cs="Arial" w:eastAsia="Arial" w:hAnsi="Arial"/>
          <w:sz w:val="12"/>
          <w:szCs w:val="12"/>
          <w:b w:val="1"/>
          <w:bCs w:val="1"/>
          <w:i w:val="1"/>
          <w:iCs w:val="1"/>
          <w:color w:val="auto"/>
        </w:rPr>
        <w:t xml:space="preserve">Expand and broaden our customer base by targeting specific market segments, such as large enterprises and wireless operators. </w:t>
      </w:r>
      <w:r>
        <w:rPr>
          <w:rFonts w:ascii="Arial" w:cs="Arial" w:eastAsia="Arial" w:hAnsi="Arial"/>
          <w:sz w:val="12"/>
          <w:szCs w:val="12"/>
          <w:color w:val="auto"/>
        </w:rPr>
        <w:t>We plan to penetrate additional customer segments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believe that new and incumbent service providers will build out their VoIP infrastructures at different rates. The next-generation service providers, who are relatively unencumbered by legacy equipment, have been initial purchasers of our equipment and software. Other newer entrants, including wireless operators, cable operators and Internet service providers, or ISPs, have also been early adopters of certain products. Moreover, incumbents, including interexchange carriers, regional Bell operating companies and international operators, are adopting packet voice technologies. Large enterprises are often operating voice networks as complex as a small to mid-sized service provider, and believe that our products are a good match for their secure, reliable, and scalable communication needs. In many cases, our presence within the enterprises is through a trusted relationship with our service provider customer. We hope to expand and grow these segments on an opportunistic basis.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93" w:lineRule="exact"/>
        <w:rPr>
          <w:sz w:val="20"/>
          <w:szCs w:val="20"/>
          <w:color w:val="auto"/>
        </w:rPr>
      </w:pPr>
    </w:p>
    <w:p>
      <w:pPr>
        <w:ind w:right="360" w:firstLine="284"/>
        <w:spacing w:after="0" w:line="270" w:lineRule="auto"/>
        <w:rPr>
          <w:sz w:val="20"/>
          <w:szCs w:val="20"/>
          <w:color w:val="auto"/>
        </w:rPr>
      </w:pPr>
      <w:r>
        <w:rPr>
          <w:rFonts w:ascii="Arial" w:cs="Arial" w:eastAsia="Arial" w:hAnsi="Arial"/>
          <w:sz w:val="14"/>
          <w:szCs w:val="14"/>
          <w:color w:val="auto"/>
        </w:rPr>
        <w:t>Our target customer base includes all communications providers, such as long distance carriers, local exchange carriers, ISPs, wireless operators, cable operators, international telephone companies, wholesale operators and enterprise operators. We have been selected for network deployments by operators including AT&amp;T, Belgacom, BT Group, Cable and Wireless International, Carphone Warehouse, CITIC 1616, France Telecom, Global Crossing, KDDI, Level 3, NTT Communications, Qwest, Softbank Corporation, T-Systems Business Services (a division of Deutsche Telekom Group), Verizon and XO Communications.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One customer, AT&amp;T, accounted for approximately 21% of our consolidated revenue for the year ended December 31, 2010 and approximately 29% of our revenue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December 31, 2008. We had no customers that contributed 10% or more of our consolidated revenue in fiscal 2009, and no other customers that contributed 10% or more of our consolidated revenue in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either fiscal 2010 or fiscal 2008.</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93" w:lineRule="exact"/>
        <w:rPr>
          <w:sz w:val="20"/>
          <w:szCs w:val="20"/>
          <w:color w:val="auto"/>
        </w:rPr>
      </w:pPr>
    </w:p>
    <w:p>
      <w:pPr>
        <w:ind w:right="80" w:firstLine="282"/>
        <w:spacing w:after="0" w:line="267" w:lineRule="auto"/>
        <w:rPr>
          <w:sz w:val="20"/>
          <w:szCs w:val="20"/>
          <w:color w:val="auto"/>
        </w:rPr>
      </w:pPr>
      <w:r>
        <w:rPr>
          <w:rFonts w:ascii="Arial" w:cs="Arial" w:eastAsia="Arial" w:hAnsi="Arial"/>
          <w:sz w:val="14"/>
          <w:szCs w:val="14"/>
          <w:color w:val="auto"/>
        </w:rPr>
        <w:t>We sell our products principally through a direct sales force and, in some markets, through or with the assistance of distributors and resellers, such as IBIL (Malaysia), Nissho Electronics Corporation (Japan), Sumitomo Corporation (Japan) and ECI (Israel). For geographic information, including revenue and tangible long-lived assets, please see our consolidated financial statements included in this Annual Report on Form 10-K, including Notes 7 and 19 thereto. We have an original equipment manufacturer relationship with Motorola, Inc. We intend to establish additional relationships with selected original equipment manufacturers and other marketing partners in order to serve particular markets or geographies and provide our customers with opportunities to purchase our products in combination with related services and products.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At December 31, 2010, our sales and marketing organization consisted of 137 employees located in sales and support offices in the United States and around the world.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93" w:lineRule="exact"/>
        <w:rPr>
          <w:sz w:val="20"/>
          <w:szCs w:val="20"/>
          <w:color w:val="auto"/>
        </w:rPr>
      </w:pPr>
    </w:p>
    <w:p>
      <w:pPr>
        <w:ind w:right="40" w:firstLine="282"/>
        <w:spacing w:after="0" w:line="293" w:lineRule="auto"/>
        <w:rPr>
          <w:sz w:val="20"/>
          <w:szCs w:val="20"/>
          <w:color w:val="auto"/>
        </w:rPr>
      </w:pPr>
      <w:r>
        <w:rPr>
          <w:rFonts w:ascii="Arial" w:cs="Arial" w:eastAsia="Arial" w:hAnsi="Arial"/>
          <w:sz w:val="13"/>
          <w:szCs w:val="13"/>
          <w:color w:val="auto"/>
        </w:rPr>
        <w:t>We believe that strong product development capabilities are essential to our strategy of enhancing our core technology, developing additional applications, incorporating that technology into new products and maintaining comprehensive product and service offerings. Our research and development process leverages innovative technology in response to market data and customer feedback. In 2010, we developed and introduced differentiated products to address market and customer needs, including the launch in May 2010 of our NBS5200 Network Border Switch as the first product on our next-generation ConnexIP platform. In 2011, we plan to continue to build upon this next-generation platform, with a strong focus on customer needs and quality. Our research and development expenses were $62.8 million for the year ended December 31, 2010, $59.9 million for the year ended December 31, 2009 and $73.1 million for the year ended December 31, 2008.</w:t>
      </w:r>
    </w:p>
    <w:p>
      <w:pPr>
        <w:spacing w:after="0" w:line="137" w:lineRule="exact"/>
        <w:rPr>
          <w:sz w:val="20"/>
          <w:szCs w:val="20"/>
          <w:color w:val="auto"/>
        </w:rPr>
      </w:pPr>
    </w:p>
    <w:p>
      <w:pPr>
        <w:ind w:right="140" w:firstLine="282"/>
        <w:spacing w:after="0" w:line="293" w:lineRule="auto"/>
        <w:rPr>
          <w:sz w:val="20"/>
          <w:szCs w:val="20"/>
          <w:color w:val="auto"/>
        </w:rPr>
      </w:pPr>
      <w:r>
        <w:rPr>
          <w:rFonts w:ascii="Arial" w:cs="Arial" w:eastAsia="Arial" w:hAnsi="Arial"/>
          <w:sz w:val="13"/>
          <w:szCs w:val="13"/>
          <w:color w:val="auto"/>
        </w:rPr>
        <w:t>We have assembled a team of highly skilled engineers with significant telecommunications and networking industry experience. Our engineers have experience in and with leading wireline and wireless telecommunications equipment suppliers, computer data networking and multimedia companies. At December 31, 2010, we had 506 employees responsible for research and development, including 490 software and quality assurance engineers and 11 hardware engineers. Our engineering effort is focused on wireless product development, new applications and network access features, new network interfaces, improved scalability, interoperability, quality, reliability and next generation technologies. We maintain research and development offices in Massachusetts and New Jersey in the United States; Bangalore, India and Swindon, United Kingdom. We have made, and intend to continue to make, a substantial investment in research and development.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3" w:lineRule="exact"/>
        <w:rPr>
          <w:sz w:val="20"/>
          <w:szCs w:val="20"/>
          <w:color w:val="auto"/>
        </w:rPr>
      </w:pPr>
    </w:p>
    <w:p>
      <w:pPr>
        <w:ind w:firstLine="282"/>
        <w:spacing w:after="0" w:line="270" w:lineRule="auto"/>
        <w:rPr>
          <w:sz w:val="20"/>
          <w:szCs w:val="20"/>
          <w:color w:val="auto"/>
        </w:rPr>
      </w:pPr>
      <w:r>
        <w:rPr>
          <w:rFonts w:ascii="Arial" w:cs="Arial" w:eastAsia="Arial" w:hAnsi="Arial"/>
          <w:sz w:val="14"/>
          <w:szCs w:val="14"/>
          <w:color w:val="auto"/>
        </w:rPr>
        <w:t>The market for carrier packet voice infrastructure solutions is intensely competitive worldwide but there are historical regional differences in services, regulation and business practices among sub-markets that can benefit individual vendors. Regardless of the region, the overall market is subject to rapid technological change, affected by new product introductions, changing customer demands, industry consolidation and other market activities of industry participants. To compete effectively, we must deliver innovative products that provide extremely high reliability and voice quality, scale easily</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and efficiently, interoperate with existing network designs and other vendors' equipment, provide effective network management, are accompanied by comprehensive customer support and professional services, provide a cost-effective and space-efficient solution for service providers and meet price competition from low-cost equipment providers. We expect competition to persist and intensify in the future. Our primary sources of competition include vendors of networking and telecommunications equipment, such as Ericsson, Alcatel-Lucent, Nokia Siemens Networks, Huawei, NEC, Acme Packet, Genband, Metaswitch and Cisco Systems.</w:t>
      </w:r>
    </w:p>
    <w:p>
      <w:pPr>
        <w:spacing w:after="0" w:line="150" w:lineRule="exact"/>
        <w:rPr>
          <w:sz w:val="20"/>
          <w:szCs w:val="20"/>
          <w:color w:val="auto"/>
        </w:rPr>
      </w:pPr>
    </w:p>
    <w:p>
      <w:pPr>
        <w:jc w:val="both"/>
        <w:ind w:right="180" w:firstLine="276"/>
        <w:spacing w:after="0" w:line="270" w:lineRule="auto"/>
        <w:rPr>
          <w:sz w:val="20"/>
          <w:szCs w:val="20"/>
          <w:color w:val="auto"/>
        </w:rPr>
      </w:pPr>
      <w:r>
        <w:rPr>
          <w:rFonts w:ascii="Arial" w:cs="Arial" w:eastAsia="Arial" w:hAnsi="Arial"/>
          <w:sz w:val="14"/>
          <w:szCs w:val="14"/>
          <w:color w:val="auto"/>
        </w:rPr>
        <w:t>Although we believe we compete favorably because our solutions are widely deployed, highly scalable and cost-effective for our customers, some of our competitors have significantly greater financial resources and broader product portfolios than we have and are able to devote greater resources to the development, promotion, sale and support of their products. In addition, some of these competitors have more extensive customer bases and broader customer relationships than we have, including relationships with our potential customers and established relationships with distribution partners. Other smaller private and public companies are also focusing on similar market opportunities.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93" w:lineRule="exact"/>
        <w:rPr>
          <w:sz w:val="20"/>
          <w:szCs w:val="20"/>
          <w:color w:val="auto"/>
        </w:rPr>
      </w:pPr>
    </w:p>
    <w:p>
      <w:pPr>
        <w:ind w:firstLine="284"/>
        <w:spacing w:after="0" w:line="267" w:lineRule="auto"/>
        <w:rPr>
          <w:sz w:val="20"/>
          <w:szCs w:val="20"/>
          <w:color w:val="auto"/>
        </w:rPr>
      </w:pPr>
      <w:r>
        <w:rPr>
          <w:rFonts w:ascii="Arial" w:cs="Arial" w:eastAsia="Arial" w:hAnsi="Arial"/>
          <w:sz w:val="14"/>
          <w:szCs w:val="14"/>
          <w:color w:val="auto"/>
        </w:rPr>
        <w:t>Intellectual property is fundamental to our business and our success and ability to compete depend on our ability to develop, maintain and protect our technology. Therefore, we seek to safeguard our investments in technology and rely on a combination of United States and foreign patent, trademark, trade secret and copyright law and contractual restrictions to protect the proprietary aspects of our technology and to protect us against claims from others. Our general policy has been to seek to patent those patentable inventions that we expect to incorporate in our products or that we expect will be valuable otherwise. We have a program to file applications for and obtain patents, copyrights and trademarks in the United States and in selected foreign countries where we believe filing for such protection is appropriate.</w:t>
      </w:r>
    </w:p>
    <w:p>
      <w:pPr>
        <w:spacing w:after="0" w:line="154" w:lineRule="exact"/>
        <w:rPr>
          <w:sz w:val="20"/>
          <w:szCs w:val="20"/>
          <w:color w:val="auto"/>
        </w:rPr>
      </w:pPr>
    </w:p>
    <w:p>
      <w:pPr>
        <w:ind w:right="60" w:firstLine="276"/>
        <w:spacing w:after="0" w:line="270" w:lineRule="auto"/>
        <w:rPr>
          <w:sz w:val="20"/>
          <w:szCs w:val="20"/>
          <w:color w:val="auto"/>
        </w:rPr>
      </w:pPr>
      <w:r>
        <w:rPr>
          <w:rFonts w:ascii="Arial" w:cs="Arial" w:eastAsia="Arial" w:hAnsi="Arial"/>
          <w:sz w:val="14"/>
          <w:szCs w:val="14"/>
          <w:color w:val="auto"/>
        </w:rPr>
        <w:t>At December 31, 2010, we held 28 U.S. patents with expiration dates ranging from April 2016 through December 2028, and had 43 patent applications pending in the United States. In addition, at December 31, 2010, we held 38 foreign patents with expiration dates ranging from June 2019 through June 2026, and had 47 patent applications pending abroad. We also have a number of registered trademarks in the United States, including Sonus, NetScore, IMX, Mobiledge and Insignus, and have 5 pending trademark applications in the United States. In addition to the protections described above, we seek to safeguard our intellectual property by:</w:t>
      </w:r>
    </w:p>
    <w:p>
      <w:pPr>
        <w:spacing w:after="0" w:line="161" w:lineRule="exact"/>
        <w:rPr>
          <w:sz w:val="20"/>
          <w:szCs w:val="20"/>
          <w:color w:val="auto"/>
        </w:rPr>
      </w:pPr>
    </w:p>
    <w:p>
      <w:pPr>
        <w:ind w:left="880" w:hanging="43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protecting the source and object code for our software, documentation and other written materials under copyright laws and trade secret;</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licensing our software pursuant to signed license agreements, which impose restrictions on others' ability to use our software;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seeking to limit disclosure of our intellectual property by requiring employees and consultants with access to our proprietary information to execute confidentiality agreements.</w:t>
      </w:r>
    </w:p>
    <w:p>
      <w:pPr>
        <w:spacing w:after="0" w:line="200" w:lineRule="exact"/>
        <w:rPr>
          <w:sz w:val="20"/>
          <w:szCs w:val="20"/>
          <w:color w:val="auto"/>
        </w:rPr>
      </w:pPr>
    </w:p>
    <w:p>
      <w:pPr>
        <w:ind w:firstLine="282"/>
        <w:spacing w:after="0" w:line="267" w:lineRule="auto"/>
        <w:rPr>
          <w:sz w:val="20"/>
          <w:szCs w:val="20"/>
          <w:color w:val="auto"/>
        </w:rPr>
      </w:pPr>
      <w:r>
        <w:rPr>
          <w:rFonts w:ascii="Arial" w:cs="Arial" w:eastAsia="Arial" w:hAnsi="Arial"/>
          <w:sz w:val="14"/>
          <w:szCs w:val="14"/>
          <w:color w:val="auto"/>
        </w:rPr>
        <w:t>We have incorporated third-party licensed technology into certain of our current products. From time to time, we may be required to license additional technology from third parties to develop new products or to enhance existing products. Based on experience and standard industry practice, we believe that licenses to use third-party technology generally can be obtained on commercially reasonable terms. Nonetheless, there can be no assurance that necessary third-party licenses will be available or continue to be available to us on commercially reasonable terms. As a result, the inability to maintain, license or re-license any third-party licenses required in our current products, or to obtain any new third-party licenses to develop new products and enhance existing products could require us to obtain substitute technology of lower quality or performance standards or at greater cost. This could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delay or prevent us from making these products or enhancements, any of which could seriously harm our business, financial condition and operating results.</w:t>
      </w:r>
    </w:p>
    <w:p>
      <w:pPr>
        <w:spacing w:after="0" w:line="189" w:lineRule="exact"/>
        <w:rPr>
          <w:sz w:val="20"/>
          <w:szCs w:val="20"/>
          <w:color w:val="auto"/>
        </w:rPr>
      </w:pPr>
    </w:p>
    <w:p>
      <w:pPr>
        <w:ind w:right="40" w:firstLine="284"/>
        <w:spacing w:after="0" w:line="270" w:lineRule="auto"/>
        <w:rPr>
          <w:sz w:val="20"/>
          <w:szCs w:val="20"/>
          <w:color w:val="auto"/>
        </w:rPr>
      </w:pPr>
      <w:r>
        <w:rPr>
          <w:rFonts w:ascii="Arial" w:cs="Arial" w:eastAsia="Arial" w:hAnsi="Arial"/>
          <w:sz w:val="14"/>
          <w:szCs w:val="14"/>
          <w:color w:val="auto"/>
        </w:rPr>
        <w:t>Please see generally the risks that are more fully discussed in "Item 1A. Risk Factors," with particular attention to the following risk factors: "</w:t>
      </w:r>
      <w:r>
        <w:rPr>
          <w:rFonts w:ascii="Arial" w:cs="Arial" w:eastAsia="Arial" w:hAnsi="Arial"/>
          <w:sz w:val="14"/>
          <w:szCs w:val="14"/>
          <w:i w:val="1"/>
          <w:iCs w:val="1"/>
          <w:color w:val="auto"/>
        </w:rPr>
        <w:t>Because our products are sophisticated and designed</w:t>
      </w:r>
      <w:r>
        <w:rPr>
          <w:rFonts w:ascii="Arial" w:cs="Arial" w:eastAsia="Arial" w:hAnsi="Arial"/>
          <w:sz w:val="14"/>
          <w:szCs w:val="14"/>
          <w:color w:val="auto"/>
        </w:rPr>
        <w:t xml:space="preserve"> </w:t>
      </w:r>
      <w:r>
        <w:rPr>
          <w:rFonts w:ascii="Arial" w:cs="Arial" w:eastAsia="Arial" w:hAnsi="Arial"/>
          <w:sz w:val="14"/>
          <w:szCs w:val="14"/>
          <w:i w:val="1"/>
          <w:iCs w:val="1"/>
          <w:color w:val="auto"/>
        </w:rPr>
        <w:t>to be deployed in complex environments, they may have errors or defects that we find only after full deployment, which could seriously harm our business</w:t>
      </w:r>
      <w:r>
        <w:rPr>
          <w:rFonts w:ascii="Arial" w:cs="Arial" w:eastAsia="Arial" w:hAnsi="Arial"/>
          <w:sz w:val="14"/>
          <w:szCs w:val="14"/>
          <w:color w:val="auto"/>
        </w:rPr>
        <w:t>;"</w:t>
      </w:r>
      <w:r>
        <w:rPr>
          <w:rFonts w:ascii="Arial" w:cs="Arial" w:eastAsia="Arial" w:hAnsi="Arial"/>
          <w:sz w:val="14"/>
          <w:szCs w:val="14"/>
          <w:i w:val="1"/>
          <w:iCs w:val="1"/>
          <w:color w:val="auto"/>
        </w:rPr>
        <w:t xml:space="preserve"> "If we are not able to obtain necessary licenses of third-party technology at acceptable prices, or at all, our products could become obsolete;" </w:t>
      </w:r>
      <w:r>
        <w:rPr>
          <w:rFonts w:ascii="Arial" w:cs="Arial" w:eastAsia="Arial" w:hAnsi="Arial"/>
          <w:sz w:val="14"/>
          <w:szCs w:val="14"/>
          <w:color w:val="auto"/>
        </w:rPr>
        <w:t>and</w:t>
      </w:r>
      <w:r>
        <w:rPr>
          <w:rFonts w:ascii="Arial" w:cs="Arial" w:eastAsia="Arial" w:hAnsi="Arial"/>
          <w:sz w:val="14"/>
          <w:szCs w:val="14"/>
          <w:i w:val="1"/>
          <w:iCs w:val="1"/>
          <w:color w:val="auto"/>
        </w:rPr>
        <w:t xml:space="preserve"> "Man-made problems such as computer viruses or terrorism may disrupt our operations and harm our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93" w:lineRule="exact"/>
        <w:rPr>
          <w:sz w:val="20"/>
          <w:szCs w:val="20"/>
          <w:color w:val="auto"/>
        </w:rPr>
      </w:pPr>
    </w:p>
    <w:p>
      <w:pPr>
        <w:ind w:right="160" w:firstLine="284"/>
        <w:spacing w:after="0" w:line="305" w:lineRule="auto"/>
        <w:rPr>
          <w:sz w:val="20"/>
          <w:szCs w:val="20"/>
          <w:color w:val="auto"/>
        </w:rPr>
      </w:pPr>
      <w:r>
        <w:rPr>
          <w:rFonts w:ascii="Arial" w:cs="Arial" w:eastAsia="Arial" w:hAnsi="Arial"/>
          <w:sz w:val="13"/>
          <w:szCs w:val="13"/>
          <w:color w:val="auto"/>
        </w:rPr>
        <w:t>Currently, we outsource the manufacturing of our products. Our contract manufacturer provides comprehensive manufacturing services, including assembly and testing of our products and procurement of component materials on our behalf. We believe that outsourcing our manufacturing enables us to preserve working capital, allows for greater flexibility in meeting changes in demand and enables us to be more responsive in delivering products to our customers. At present, we purchase products from our outside contract manufacturer on a purchase order basis.</w:t>
      </w:r>
    </w:p>
    <w:p>
      <w:pPr>
        <w:spacing w:after="0" w:line="129" w:lineRule="exact"/>
        <w:rPr>
          <w:sz w:val="20"/>
          <w:szCs w:val="20"/>
          <w:color w:val="auto"/>
        </w:rPr>
      </w:pPr>
    </w:p>
    <w:p>
      <w:pPr>
        <w:ind w:right="200" w:firstLine="282"/>
        <w:spacing w:after="0" w:line="289" w:lineRule="auto"/>
        <w:rPr>
          <w:sz w:val="20"/>
          <w:szCs w:val="20"/>
          <w:color w:val="auto"/>
        </w:rPr>
      </w:pPr>
      <w:r>
        <w:rPr>
          <w:rFonts w:ascii="Arial" w:cs="Arial" w:eastAsia="Arial" w:hAnsi="Arial"/>
          <w:sz w:val="14"/>
          <w:szCs w:val="14"/>
          <w:color w:val="auto"/>
        </w:rPr>
        <w:t>We and our contract manufacturer currently purchase several key components of our products, including commercial digital signal processors, from single or limited sources. We purchase these components on a purchase order basis.</w:t>
      </w:r>
    </w:p>
    <w:p>
      <w:pPr>
        <w:spacing w:after="0" w:line="137" w:lineRule="exact"/>
        <w:rPr>
          <w:sz w:val="20"/>
          <w:szCs w:val="20"/>
          <w:color w:val="auto"/>
        </w:rPr>
      </w:pPr>
    </w:p>
    <w:p>
      <w:pPr>
        <w:ind w:right="20" w:firstLine="284"/>
        <w:spacing w:after="0" w:line="290" w:lineRule="auto"/>
        <w:rPr>
          <w:sz w:val="20"/>
          <w:szCs w:val="20"/>
          <w:color w:val="auto"/>
        </w:rPr>
      </w:pPr>
      <w:r>
        <w:rPr>
          <w:rFonts w:ascii="Arial" w:cs="Arial" w:eastAsia="Arial" w:hAnsi="Arial"/>
          <w:sz w:val="13"/>
          <w:szCs w:val="13"/>
          <w:color w:val="auto"/>
        </w:rPr>
        <w:t>Please see generally the risks that are more fully discussed in "Item 1A. Risk Factors," with particular attention to the following risk factors: "</w:t>
      </w:r>
      <w:r>
        <w:rPr>
          <w:rFonts w:ascii="Arial" w:cs="Arial" w:eastAsia="Arial" w:hAnsi="Arial"/>
          <w:sz w:val="13"/>
          <w:szCs w:val="13"/>
          <w:i w:val="1"/>
          <w:iCs w:val="1"/>
          <w:color w:val="auto"/>
        </w:rPr>
        <w:t>We depend on a single contract manufacturer and any</w:t>
      </w:r>
      <w:r>
        <w:rPr>
          <w:rFonts w:ascii="Arial" w:cs="Arial" w:eastAsia="Arial" w:hAnsi="Arial"/>
          <w:sz w:val="13"/>
          <w:szCs w:val="13"/>
          <w:color w:val="auto"/>
        </w:rPr>
        <w:t xml:space="preserve"> </w:t>
      </w:r>
      <w:r>
        <w:rPr>
          <w:rFonts w:ascii="Arial" w:cs="Arial" w:eastAsia="Arial" w:hAnsi="Arial"/>
          <w:sz w:val="13"/>
          <w:szCs w:val="13"/>
          <w:i w:val="1"/>
          <w:iCs w:val="1"/>
          <w:color w:val="auto"/>
        </w:rPr>
        <w:t>disruption in this relationship may cause us to fail to meet the demands of our customers and damage our customer relationships. Additionally, in the event we elect to change our manufacturer, qualifying a new contract manufacturer and commencing commercial scale production are expensive and time-consuming and could affect our business.</w:t>
      </w:r>
      <w:r>
        <w:rPr>
          <w:rFonts w:ascii="Arial" w:cs="Arial" w:eastAsia="Arial" w:hAnsi="Arial"/>
          <w:sz w:val="13"/>
          <w:szCs w:val="13"/>
          <w:color w:val="auto"/>
        </w:rPr>
        <w:t>;" "</w:t>
      </w:r>
      <w:r>
        <w:rPr>
          <w:rFonts w:ascii="Arial" w:cs="Arial" w:eastAsia="Arial" w:hAnsi="Arial"/>
          <w:sz w:val="13"/>
          <w:szCs w:val="13"/>
          <w:i w:val="1"/>
          <w:iCs w:val="1"/>
          <w:color w:val="auto"/>
        </w:rPr>
        <w:t>We and our contract manufacturer rely on a single or limited sources for supply of some components of our products and if we fail to adequately predict our manufacturing requirements or if our supply of any of these components is disrupted, we will be unable to ship our products.</w:t>
      </w:r>
      <w:r>
        <w:rPr>
          <w:rFonts w:ascii="Arial" w:cs="Arial" w:eastAsia="Arial" w:hAnsi="Arial"/>
          <w:sz w:val="13"/>
          <w:szCs w:val="13"/>
          <w:color w:val="auto"/>
        </w:rPr>
        <w:t>;" and</w:t>
      </w:r>
      <w:r>
        <w:rPr>
          <w:rFonts w:ascii="Arial" w:cs="Arial" w:eastAsia="Arial" w:hAnsi="Arial"/>
          <w:sz w:val="13"/>
          <w:szCs w:val="13"/>
          <w:i w:val="1"/>
          <w:iCs w:val="1"/>
          <w:color w:val="auto"/>
        </w:rPr>
        <w:t xml:space="preserve"> "The hardware products that we purchase from our third-party vendors all have life cycles, and some of those products have reached their end-of life cycles. If we are unable to correctly estimate future requirements for these products, it could harm our operating results or business."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At December 31, 2010, we had 26 employees responsible for supply chain management, worldwide procurement, order fulfillment, product quality and technical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93" w:lineRule="exact"/>
        <w:rPr>
          <w:sz w:val="20"/>
          <w:szCs w:val="20"/>
          <w:color w:val="auto"/>
        </w:rPr>
      </w:pPr>
    </w:p>
    <w:p>
      <w:pPr>
        <w:ind w:firstLine="284"/>
        <w:spacing w:after="0" w:line="265" w:lineRule="auto"/>
        <w:rPr>
          <w:sz w:val="20"/>
          <w:szCs w:val="20"/>
          <w:color w:val="auto"/>
        </w:rPr>
      </w:pPr>
      <w:r>
        <w:rPr>
          <w:rFonts w:ascii="Arial" w:cs="Arial" w:eastAsia="Arial" w:hAnsi="Arial"/>
          <w:sz w:val="14"/>
          <w:szCs w:val="14"/>
          <w:color w:val="auto"/>
        </w:rPr>
        <w:t>Generally we sell products and services pursuant to purchase orders issued under master agreements that govern the general commercial terms and conditions of the sale. These agreements typically do not obligate customers to purchase any minimum or guaranteed quantities, nor do they generally require up front cash deposits. At any given time, we have orders for products that have not yet been shipped and for services (including our customer support obligations) that have not yet been performed. We also have orders relating to products that have been delivered and services that have been performed but have not yet been accepted by the customer under the applicable purchase terms. We include both of these situations in our calculation of backlog. Our customers typically have the right to change or even cancel their orders with limited advance noticed, and without significant penalty. A backlogged order may not result in revenue in a particular period, and the actual revenue recognized in a quarter may not equal the amount of backlog we have ascribed to it. Because of these conditions, we do not believe that backlog should be viewed as a reliable indicator of our future performance.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93" w:lineRule="exact"/>
        <w:rPr>
          <w:sz w:val="20"/>
          <w:szCs w:val="20"/>
          <w:color w:val="auto"/>
        </w:rPr>
      </w:pPr>
    </w:p>
    <w:p>
      <w:pPr>
        <w:ind w:right="460" w:firstLine="276"/>
        <w:spacing w:after="0" w:line="275" w:lineRule="auto"/>
        <w:rPr>
          <w:sz w:val="20"/>
          <w:szCs w:val="20"/>
          <w:color w:val="auto"/>
        </w:rPr>
      </w:pPr>
      <w:r>
        <w:rPr>
          <w:rFonts w:ascii="Arial" w:cs="Arial" w:eastAsia="Arial" w:hAnsi="Arial"/>
          <w:sz w:val="14"/>
          <w:szCs w:val="14"/>
          <w:color w:val="auto"/>
        </w:rPr>
        <w:t>At December 31, 2010, we had a total of 968 employees, including 506 in research and development, 137 in sales and marketing, 194 in customer support and professional services, 26 in manufacturing, 49 in finance and 56 in information technology and administration. Our employees are not represented by any collective bargaining agreement. We believe our relations with our employees are good.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Information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Information regarding the geographic components of our revenue is provided in Note 19 of the Notes to Consolidated Financial Statements included in this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Information regarding the geographic components of our property and equipment is provided in Note 7 of the Notes to Consolidated Financial Statements included in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93" w:lineRule="exact"/>
        <w:rPr>
          <w:sz w:val="20"/>
          <w:szCs w:val="20"/>
          <w:color w:val="auto"/>
        </w:rPr>
      </w:pPr>
    </w:p>
    <w:p>
      <w:pPr>
        <w:ind w:right="380" w:firstLine="282"/>
        <w:spacing w:after="0" w:line="289" w:lineRule="auto"/>
        <w:rPr>
          <w:sz w:val="20"/>
          <w:szCs w:val="20"/>
          <w:color w:val="auto"/>
        </w:rPr>
      </w:pPr>
      <w:r>
        <w:rPr>
          <w:rFonts w:ascii="Arial" w:cs="Arial" w:eastAsia="Arial" w:hAnsi="Arial"/>
          <w:sz w:val="14"/>
          <w:szCs w:val="14"/>
          <w:color w:val="auto"/>
        </w:rPr>
        <w:t>We were incorporated in August 1997 as a Delaware corporation. Our principal executive offices are located at 4 Technology Park Drive, Westford, MA 01886. Our telephone number at our principal executive offices is 978-614-8100.</w:t>
      </w:r>
    </w:p>
    <w:p>
      <w:pPr>
        <w:spacing w:after="0" w:line="137" w:lineRule="exact"/>
        <w:rPr>
          <w:sz w:val="20"/>
          <w:szCs w:val="20"/>
          <w:color w:val="auto"/>
        </w:rPr>
      </w:pPr>
    </w:p>
    <w:p>
      <w:pPr>
        <w:ind w:firstLine="282"/>
        <w:spacing w:after="0" w:line="297" w:lineRule="auto"/>
        <w:rPr>
          <w:sz w:val="20"/>
          <w:szCs w:val="20"/>
          <w:color w:val="auto"/>
        </w:rPr>
      </w:pPr>
      <w:r>
        <w:rPr>
          <w:rFonts w:ascii="Arial" w:cs="Arial" w:eastAsia="Arial" w:hAnsi="Arial"/>
          <w:sz w:val="13"/>
          <w:szCs w:val="13"/>
          <w:color w:val="auto"/>
        </w:rPr>
        <w:t>This Annual Report on Form 10-K, as well as all other reports filed with or furnished to the United States Securities and Exchange Commission (the "SEC"), are available free of charge through our Internet site (</w:t>
      </w:r>
      <w:r>
        <w:rPr>
          <w:rFonts w:ascii="Arial" w:cs="Arial" w:eastAsia="Arial" w:hAnsi="Arial"/>
          <w:sz w:val="13"/>
          <w:szCs w:val="13"/>
          <w:i w:val="1"/>
          <w:iCs w:val="1"/>
          <w:color w:val="auto"/>
        </w:rPr>
        <w:t>http://www.sonusnet.com</w:t>
      </w:r>
      <w:r>
        <w:rPr>
          <w:rFonts w:ascii="Arial" w:cs="Arial" w:eastAsia="Arial" w:hAnsi="Arial"/>
          <w:sz w:val="13"/>
          <w:szCs w:val="13"/>
          <w:color w:val="auto"/>
        </w:rPr>
        <w:t>) once we electronically file such material with, or furnish it to,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w:t>
      </w:r>
      <w:r>
        <w:rPr>
          <w:rFonts w:ascii="Arial" w:cs="Arial" w:eastAsia="Arial" w:hAnsi="Arial"/>
          <w:sz w:val="13"/>
          <w:szCs w:val="13"/>
          <w:i w:val="1"/>
          <w:iCs w:val="1"/>
          <w:color w:val="auto"/>
        </w:rPr>
        <w:t>http://www.sec.gov</w:t>
      </w:r>
      <w:r>
        <w:rPr>
          <w:rFonts w:ascii="Arial" w:cs="Arial" w:eastAsia="Arial" w:hAnsi="Arial"/>
          <w:sz w:val="13"/>
          <w:szCs w:val="13"/>
          <w:color w:val="auto"/>
        </w:rPr>
        <w:t>) that contains reports, proxy and information statements, and other information regarding issuers that file electronically with the SEC.</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93" w:lineRule="exact"/>
        <w:rPr>
          <w:sz w:val="20"/>
          <w:szCs w:val="20"/>
          <w:color w:val="auto"/>
        </w:rPr>
      </w:pPr>
    </w:p>
    <w:p>
      <w:pPr>
        <w:ind w:right="60" w:firstLine="284"/>
        <w:spacing w:after="0" w:line="286" w:lineRule="auto"/>
        <w:rPr>
          <w:sz w:val="20"/>
          <w:szCs w:val="20"/>
          <w:color w:val="auto"/>
        </w:rPr>
      </w:pPr>
      <w:r>
        <w:rPr>
          <w:rFonts w:ascii="Arial" w:cs="Arial" w:eastAsia="Arial" w:hAnsi="Arial"/>
          <w:sz w:val="13"/>
          <w:szCs w:val="13"/>
          <w:i w:val="1"/>
          <w:iCs w:val="1"/>
          <w:color w:val="auto"/>
        </w:rPr>
        <w:t>The following discussion should be read in conjunction with our consolidated financial statements and notes to those statements and other financial information appearing elsewhere in this Annual Report on Form 10-K. The following discussion contains forward- looking information within the meaning of Section 27A of the Securities Act of 1933, as amended, and Section 21E of the Securities and Exchange Act of 1934, as amended, or the Exchange Act, and are subject to the "safe harbor" created by those sections. In particular, statements contained in this Annual Report on Form 10-K that are not historical facts, including but not limited to statements concerning revenues, revenue recognition, cost of revenues, operating expenses, research and development expenses, sales and marketing expenses, general and administrative expenses, employee-related costs, our ability to attract and retain qualified personnel, valuations of investments, valuation of stock-based awards, and liquidity, constitute forward-looking statements and are made under these safe harbor provisions. Some of the forward-looking statements can be identified by the use of forward-looking terms such as "believes," "expects," "may," "will," "should," "could," "seek," "intends," "plans," "estimates," "anticipates," or other comparable terms. Forward-looking statements involve inherent risks and uncertainties that could cause actual results to differ materially from those in the forward-looking statements. We urge you to consider the risks and uncertainties discussed in greater detail under the heading "Risk Factors" in evaluating our forward-looking statements. These forward-looking statements are based on our current expectations, assumptions, estimates and projections about our industry and ourselves, and we do not undertake an obligation to update our forward-looking statements to reflect future events or circumstances.</w:t>
      </w:r>
    </w:p>
    <w:p>
      <w:pPr>
        <w:spacing w:after="0" w:line="142"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before buying our common stock. If any of the following risks actually occurs, our business,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condition and results of operations could be materially adversely affected, the trading price of our common stock could decline materially and you could lose all or part of your investment.</w:t>
      </w:r>
    </w:p>
    <w:p>
      <w:pPr>
        <w:spacing w:after="0" w:line="200" w:lineRule="exact"/>
        <w:rPr>
          <w:sz w:val="20"/>
          <w:szCs w:val="20"/>
          <w:color w:val="auto"/>
        </w:rPr>
      </w:pPr>
    </w:p>
    <w:p>
      <w:pPr>
        <w:ind w:right="220"/>
        <w:spacing w:after="0" w:line="289" w:lineRule="auto"/>
        <w:rPr>
          <w:sz w:val="20"/>
          <w:szCs w:val="20"/>
          <w:color w:val="auto"/>
        </w:rPr>
      </w:pPr>
      <w:r>
        <w:rPr>
          <w:rFonts w:ascii="Arial" w:cs="Arial" w:eastAsia="Arial" w:hAnsi="Arial"/>
          <w:sz w:val="14"/>
          <w:szCs w:val="14"/>
          <w:b w:val="1"/>
          <w:bCs w:val="1"/>
          <w:i w:val="1"/>
          <w:iCs w:val="1"/>
          <w:color w:val="auto"/>
        </w:rPr>
        <w:t>Our quarterly revenue and operating results are unpredictable and may fluctuate significantly from quarter to quarter, which could adversely affect our business, financial condition, results of operations and the trading price of our common stock.</w:t>
      </w:r>
    </w:p>
    <w:p>
      <w:pPr>
        <w:spacing w:after="0" w:line="137"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service providers build out their networks. The primary factors that may affect our revenues and operating results include the following:</w:t>
      </w:r>
    </w:p>
    <w:p>
      <w:pPr>
        <w:spacing w:after="0" w:line="157" w:lineRule="exact"/>
        <w:rPr>
          <w:sz w:val="20"/>
          <w:szCs w:val="20"/>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consolidation within the telecommunications industry, including acquisitions of or by our customers;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general economic conditions, as well as those specific to the telecommunications, networking and related industries;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general economic downturn that impacts the purchasing decisions of our significant customers or the timing and size of their orders, including work stoppages;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fluctuation in demand for our voice infrastructure products and the timing and size of customer orders;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fluctuations in foreign exchange rates;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cancellation or deferral of existing customer orders or the renegotiation of existing contractual commitments;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mix of product configurations sold;</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length and variability of the sales cycle for our products;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application of complex revenue recognition accounting rules to our customer arrangements;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timing of revenue recognition;</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changes in our pricing policies, the pricing policies of our competitors and the prices of the components of our products;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new product introductions and enhancements by our competitors or by us, including new sales distribution channels;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develop, introduce and ship and successfully deliver new products and product enhancements that meet customer requirements in a timely manner;</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reliance on contract manufacturers for the production and shipment of our hardware products;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obtain sufficient supplies of sole or limited source components;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attain and maintain production volumes and quality levels for our products;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related to acquisitions;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corporate restructurings.</w:t>
      </w:r>
    </w:p>
    <w:p>
      <w:pPr>
        <w:spacing w:after="0" w:line="189" w:lineRule="exact"/>
        <w:rPr>
          <w:sz w:val="20"/>
          <w:szCs w:val="20"/>
          <w:color w:val="auto"/>
        </w:rPr>
      </w:pPr>
    </w:p>
    <w:p>
      <w:pPr>
        <w:ind w:right="320" w:firstLine="276"/>
        <w:spacing w:after="0" w:line="289" w:lineRule="auto"/>
        <w:rPr>
          <w:sz w:val="20"/>
          <w:szCs w:val="20"/>
          <w:color w:val="auto"/>
        </w:rPr>
      </w:pPr>
      <w:r>
        <w:rPr>
          <w:rFonts w:ascii="Arial" w:cs="Arial" w:eastAsia="Arial" w:hAnsi="Arial"/>
          <w:sz w:val="14"/>
          <w:szCs w:val="14"/>
          <w:color w:val="auto"/>
        </w:rPr>
        <w:t>As with other telecommunications product suppliers, we may recognize a portion of our revenue in a given quarter from sales booked and shipped in the last weeks of that quarter. As a result, delays in customer orders may result in delays in shipments and recognition of revenue beyond the end of a given quarter.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firstLine="276"/>
        <w:spacing w:after="0" w:line="289" w:lineRule="auto"/>
        <w:rPr>
          <w:sz w:val="20"/>
          <w:szCs w:val="20"/>
          <w:color w:val="auto"/>
        </w:rPr>
      </w:pPr>
      <w:r>
        <w:rPr>
          <w:rFonts w:ascii="Arial" w:cs="Arial" w:eastAsia="Arial" w:hAnsi="Arial"/>
          <w:sz w:val="14"/>
          <w:szCs w:val="14"/>
          <w:color w:val="auto"/>
        </w:rPr>
        <w:t>A significant portion of our operating expenses is fixed in the short-term. If revenues for a particular quarter are below expectations, we may not be able to reduce costs and expenses proportionally for that quarter. Any such revenue shortfall would, therefore, have a significant effect on our operating results for that quarter.</w:t>
      </w:r>
    </w:p>
    <w:p>
      <w:pPr>
        <w:spacing w:after="0" w:line="137" w:lineRule="exact"/>
        <w:rPr>
          <w:sz w:val="20"/>
          <w:szCs w:val="20"/>
          <w:color w:val="auto"/>
        </w:rPr>
      </w:pPr>
    </w:p>
    <w:p>
      <w:pPr>
        <w:ind w:right="240" w:firstLine="282"/>
        <w:spacing w:after="0" w:line="289" w:lineRule="auto"/>
        <w:rPr>
          <w:sz w:val="20"/>
          <w:szCs w:val="20"/>
          <w:color w:val="auto"/>
        </w:rPr>
      </w:pPr>
      <w:r>
        <w:rPr>
          <w:rFonts w:ascii="Arial" w:cs="Arial" w:eastAsia="Arial" w:hAnsi="Arial"/>
          <w:sz w:val="14"/>
          <w:szCs w:val="14"/>
          <w:color w:val="auto"/>
        </w:rPr>
        <w:t>We believe that quarter-to-quarter comparisons of our operating results are not a good indication of our future performance. It is likely that in some future quarters, our operating results may be below the expectations of public market analysts and investors, which may adversely affect our stock price.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has been and may continue to be volatile.</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market for technology stocks has been, and will likely continue to be, volatile. The following factors could cause the market price of our common stock to fluctuate significantly:</w:t>
      </w:r>
    </w:p>
    <w:p>
      <w:pPr>
        <w:spacing w:after="0" w:line="200" w:lineRule="exact"/>
        <w:rPr>
          <w:sz w:val="20"/>
          <w:szCs w:val="20"/>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continued activism by any single large stockholder or combination of stockholders;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addition or loss of any major customer;</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consolidation and competition in the telecommunications industry;</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the financial condition or anticipated capital expenditure purchases of any existing or potential major customer;</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economic conditions for the telecommunications, networking and related industries;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quarterly variations in our bookings, revenues and operating results;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financial estimates by securities analysts;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speculation in the press or investment community;</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sales of common stock or other securities by us or by our stockholders in the future;</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securities and other litigation;</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announcement of a stock split, reverse stock split, stock dividend or similar event; and/or</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emergence or adoption of new technologies or industry standards.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net losses and may incur additional net losses.</w:t>
      </w:r>
    </w:p>
    <w:p>
      <w:pPr>
        <w:spacing w:after="0" w:line="189" w:lineRule="exact"/>
        <w:rPr>
          <w:sz w:val="20"/>
          <w:szCs w:val="20"/>
          <w:color w:val="auto"/>
        </w:rPr>
      </w:pPr>
    </w:p>
    <w:p>
      <w:pPr>
        <w:ind w:right="280" w:firstLine="282"/>
        <w:spacing w:after="0" w:line="289" w:lineRule="auto"/>
        <w:rPr>
          <w:sz w:val="20"/>
          <w:szCs w:val="20"/>
          <w:color w:val="auto"/>
        </w:rPr>
      </w:pPr>
      <w:r>
        <w:rPr>
          <w:rFonts w:ascii="Arial" w:cs="Arial" w:eastAsia="Arial" w:hAnsi="Arial"/>
          <w:sz w:val="14"/>
          <w:szCs w:val="14"/>
          <w:color w:val="auto"/>
        </w:rPr>
        <w:t>We have incurred net losses in fiscal 2010, fiscal 2009 and fiscal 2008. We may incur additional net losses in future quarters and years. Our revenues may not grow and we may never generate sufficient revenues to sustain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World-wide efforts to cut capital spending, general economic uncertainty and a weakened global economy could have a material adverse effect on us.</w:t>
      </w:r>
    </w:p>
    <w:p>
      <w:pPr>
        <w:spacing w:after="0" w:line="189" w:lineRule="exact"/>
        <w:rPr>
          <w:sz w:val="20"/>
          <w:szCs w:val="20"/>
          <w:color w:val="auto"/>
        </w:rPr>
      </w:pPr>
    </w:p>
    <w:p>
      <w:pPr>
        <w:ind w:right="60" w:firstLine="282"/>
        <w:spacing w:after="0" w:line="275" w:lineRule="auto"/>
        <w:rPr>
          <w:sz w:val="20"/>
          <w:szCs w:val="20"/>
          <w:color w:val="auto"/>
        </w:rPr>
      </w:pPr>
      <w:r>
        <w:rPr>
          <w:rFonts w:ascii="Arial" w:cs="Arial" w:eastAsia="Arial" w:hAnsi="Arial"/>
          <w:sz w:val="14"/>
          <w:szCs w:val="14"/>
          <w:color w:val="auto"/>
        </w:rPr>
        <w:t>We are unable to predict the duration and severity of the current economic conditions and disruption in financial markets or their effects on our business and results of operations, but the consequences may be materially adverse and more severe than other recent economic slowdowns. Continuing market upheaval may have an adverse affect on us because we are dependent on customer behavior. Economic conditions worldwide and the recent financial downturn may continue to contribute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to slowdowns in the communications and networking industries, as well as to specific segments and markets in which we operate, resulting in:</w:t>
      </w:r>
    </w:p>
    <w:p>
      <w:pPr>
        <w:spacing w:after="0" w:line="200" w:lineRule="exact"/>
        <w:rPr>
          <w:sz w:val="20"/>
          <w:szCs w:val="20"/>
          <w:color w:val="auto"/>
        </w:rPr>
      </w:pPr>
    </w:p>
    <w:p>
      <w:pPr>
        <w:ind w:left="880" w:hanging="435"/>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demand for our products as a result of our customers choosing to refrain from building capital intensive networks;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increased price competition for our products, not only from our competitors, but also as a consequence of customers disposing of unutilized products;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risk of excess and obsolete inventories;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excess facilities and manufacturing capacity; and/or</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higher overhead costs as a percentage of revenue and higher interest expense.</w:t>
      </w:r>
    </w:p>
    <w:p>
      <w:pPr>
        <w:spacing w:after="0" w:line="189"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Continuing turmoil in the geopolitical environment in many parts of the world, including terrorist activities and military actions, particularly the continuing tension in Southeast Asia, the Middle East and Africa may continue to put pressure on global economic conditions. Our operating results and our ability to expand into other international markets may also be affected by changing economic conditions particularly germane to that segment or to particular customer markets within that segment.</w:t>
      </w:r>
    </w:p>
    <w:p>
      <w:pPr>
        <w:spacing w:after="0" w:line="146" w:lineRule="exact"/>
        <w:rPr>
          <w:sz w:val="20"/>
          <w:szCs w:val="20"/>
          <w:color w:val="auto"/>
        </w:rPr>
      </w:pPr>
    </w:p>
    <w:p>
      <w:pPr>
        <w:jc w:val="both"/>
        <w:ind w:right="100" w:firstLine="284"/>
        <w:spacing w:after="0" w:line="305" w:lineRule="auto"/>
        <w:rPr>
          <w:sz w:val="20"/>
          <w:szCs w:val="20"/>
          <w:color w:val="auto"/>
        </w:rPr>
      </w:pPr>
      <w:r>
        <w:rPr>
          <w:rFonts w:ascii="Arial" w:cs="Arial" w:eastAsia="Arial" w:hAnsi="Arial"/>
          <w:sz w:val="13"/>
          <w:szCs w:val="13"/>
          <w:color w:val="auto"/>
        </w:rPr>
        <w:t>Some of our current or prospective customers may cancel or delay spending on the development or roll-out of capital and technology projects with us due to the continuing economic uncertainty and, consequently, our results of operations may be adversely affected. In addition, the current negative worldwide economic conditions and market instability make it increasingly difficult for us, our customers and our suppliers to accurately forecast future product demand, which could result in an inability to satisfy demand for our products and a loss of market share.</w:t>
      </w:r>
    </w:p>
    <w:p>
      <w:pPr>
        <w:spacing w:after="0" w:line="129" w:lineRule="exact"/>
        <w:rPr>
          <w:sz w:val="20"/>
          <w:szCs w:val="20"/>
          <w:color w:val="auto"/>
        </w:rPr>
      </w:pPr>
    </w:p>
    <w:p>
      <w:pPr>
        <w:ind w:right="140" w:firstLine="284"/>
        <w:spacing w:after="0" w:line="267" w:lineRule="auto"/>
        <w:rPr>
          <w:sz w:val="20"/>
          <w:szCs w:val="20"/>
          <w:color w:val="auto"/>
        </w:rPr>
      </w:pPr>
      <w:r>
        <w:rPr>
          <w:rFonts w:ascii="Arial" w:cs="Arial" w:eastAsia="Arial" w:hAnsi="Arial"/>
          <w:sz w:val="14"/>
          <w:szCs w:val="14"/>
          <w:color w:val="auto"/>
        </w:rPr>
        <w:t>Our revenues are likely to decline in such circumstances and our profit margins could erode. In addition, in the event of extreme prolonged events, such as the global credit crisis, we could incur significant losses. Factors such as consumer spending, business investment, volatility and strength of the capital markets and information all affect the business and economic environment, and, ultimately, the amount and profitability of our business. In an economic downturn characterized by higher unemployment, lower family income, lower corporate earnings, lower business investment and lower consumer spending, the demand for our products could be adversely affected. If global economic and market conditions, or economic conditions in the United States or other key markets, continue to deteriorate, we may experience material impacts on our business, operating results and financial condition.</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b w:val="1"/>
          <w:bCs w:val="1"/>
          <w:i w:val="1"/>
          <w:iCs w:val="1"/>
          <w:color w:val="auto"/>
        </w:rPr>
        <w:t>We are enhancing our sales strategy, which will include more significant engagements with distribution partners to sell our products. Disruptions to, or our failure to effectively develop and manage, our distribution channel and the processes and procedures that support it could adversely affect our ability to generate revenues from the sale of our products. If we do not have adequate personnel, experience and resources to manage the relationships with our distribution partners and to fulfill our responsibilities under such arrangements, such shortcomings could lead to the decrease of the sales of our products and our operating results could suffer.</w:t>
      </w:r>
    </w:p>
    <w:p>
      <w:pPr>
        <w:spacing w:after="0" w:line="150" w:lineRule="exact"/>
        <w:rPr>
          <w:sz w:val="20"/>
          <w:szCs w:val="20"/>
          <w:color w:val="auto"/>
        </w:rPr>
      </w:pPr>
    </w:p>
    <w:p>
      <w:pPr>
        <w:ind w:right="40" w:firstLine="282"/>
        <w:spacing w:after="0" w:line="297" w:lineRule="auto"/>
        <w:rPr>
          <w:sz w:val="20"/>
          <w:szCs w:val="20"/>
          <w:color w:val="auto"/>
        </w:rPr>
      </w:pPr>
      <w:r>
        <w:rPr>
          <w:rFonts w:ascii="Arial" w:cs="Arial" w:eastAsia="Arial" w:hAnsi="Arial"/>
          <w:sz w:val="13"/>
          <w:szCs w:val="13"/>
          <w:color w:val="auto"/>
        </w:rPr>
        <w:t>We are enhancing our sales strategy, which will include more significant engagement with distribution partners to sell our products. Our future success is highly dependent upon establishing and maintaining successful relationships with a variety of value-added reseller and distribution partners. A portion of our revenue is derived through distribution partners, many of which sell competitive products. The loss of or reduction in sales by these distribution partners could materially reduce our revenues. If we fail to maintain relationships with these distribution partners, fail to develop new relationships with distribution partners in new markets, fail to manage, train, or provide incentives to existing distribution partners effectively or if these partners are not successful in their sales efforts,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sales of our products may decrease and our operating results could suffer. Moreover, if we do not have adequate personnel, experience and resources to manage the relationship with our distribution partners and to fulfill our responsibilities under such arrangements, any shortcomings could have a material adverse impact on our business, operating results and financial condition.</w:t>
      </w:r>
    </w:p>
    <w:p>
      <w:pPr>
        <w:spacing w:after="0" w:line="113"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color w:val="auto"/>
        </w:rPr>
        <w:t>In addition, we recognize a portion of our revenue based on a sell-through model using information provided by our distribution partners. If those distribution partners provide us with inaccurate or untimely information, the amount or timing of our revenues could be adversely affected. We may also experience financial failure of distribution partners, which would result in our inability to collect accounts receivable in full. The current global economic downturn raises the potential of our customers incurring financial difficulties (including bankruptcy), which would adversely impact our results of operations and financial position as a result of lower customer sales and write-offs of uncollectible accounts receivable.</w:t>
      </w:r>
    </w:p>
    <w:p>
      <w:pPr>
        <w:spacing w:after="0" w:line="150" w:lineRule="exact"/>
        <w:rPr>
          <w:sz w:val="20"/>
          <w:szCs w:val="20"/>
          <w:color w:val="auto"/>
        </w:rPr>
      </w:pPr>
    </w:p>
    <w:p>
      <w:pPr>
        <w:ind w:right="260"/>
        <w:spacing w:after="0" w:line="378" w:lineRule="auto"/>
        <w:rPr>
          <w:sz w:val="20"/>
          <w:szCs w:val="20"/>
          <w:color w:val="auto"/>
        </w:rPr>
      </w:pPr>
      <w:r>
        <w:rPr>
          <w:rFonts w:ascii="Arial" w:cs="Arial" w:eastAsia="Arial" w:hAnsi="Arial"/>
          <w:sz w:val="12"/>
          <w:szCs w:val="12"/>
          <w:b w:val="1"/>
          <w:bCs w:val="1"/>
          <w:i w:val="1"/>
          <w:iCs w:val="1"/>
          <w:color w:val="auto"/>
        </w:rPr>
        <w:t>As the telecommunications industry and the requirements of our current and potential customers evolve, we are redirecting certain of our resources to more readily respond to the changing environment. If our strategic plan is not aligned with the direction our customers take as they invest in the evolution of their networks, customers may not buy our products or use our services.</w:t>
      </w:r>
    </w:p>
    <w:p>
      <w:pPr>
        <w:spacing w:after="0" w:line="90" w:lineRule="exact"/>
        <w:rPr>
          <w:sz w:val="20"/>
          <w:szCs w:val="20"/>
          <w:color w:val="auto"/>
        </w:rPr>
      </w:pPr>
    </w:p>
    <w:p>
      <w:pPr>
        <w:jc w:val="both"/>
        <w:ind w:right="100" w:firstLine="284"/>
        <w:spacing w:after="0" w:line="275" w:lineRule="auto"/>
        <w:rPr>
          <w:sz w:val="20"/>
          <w:szCs w:val="20"/>
          <w:color w:val="auto"/>
        </w:rPr>
      </w:pPr>
      <w:r>
        <w:rPr>
          <w:rFonts w:ascii="Arial" w:cs="Arial" w:eastAsia="Arial" w:hAnsi="Arial"/>
          <w:sz w:val="14"/>
          <w:szCs w:val="14"/>
          <w:color w:val="auto"/>
        </w:rPr>
        <w:t>Our strategic plan is designed to address the changing telecommunications industry's needs. This plan includes accelerating the shift in our investments from mature technologies that previously generated significant revenue for us toward certain next-generation technologies as well as working with more distribution partners to sell our products. Our choices of specific technologies to pursue, including all-IP-based solutions, and those to de-emphasize may prove to be inconsistent with our customers' investment spending.</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upon our voice infrastructure products, and our future revenues depend upon their commercial success.</w:t>
      </w:r>
    </w:p>
    <w:p>
      <w:pPr>
        <w:spacing w:after="0" w:line="189" w:lineRule="exact"/>
        <w:rPr>
          <w:sz w:val="20"/>
          <w:szCs w:val="20"/>
          <w:color w:val="auto"/>
        </w:rPr>
      </w:pPr>
    </w:p>
    <w:p>
      <w:pPr>
        <w:ind w:right="100" w:firstLine="284"/>
        <w:spacing w:after="0" w:line="270" w:lineRule="auto"/>
        <w:rPr>
          <w:sz w:val="20"/>
          <w:szCs w:val="20"/>
          <w:color w:val="auto"/>
        </w:rPr>
      </w:pPr>
      <w:r>
        <w:rPr>
          <w:rFonts w:ascii="Arial" w:cs="Arial" w:eastAsia="Arial" w:hAnsi="Arial"/>
          <w:sz w:val="14"/>
          <w:szCs w:val="14"/>
          <w:color w:val="auto"/>
        </w:rPr>
        <w:t>Our future growth depends upon the commercial success of our voice infrastructure products and our solutions that are all-IP. We intend to develop and introduce new products and enhancements to existing products in the future; however, we may not successfully complete the development or introduction of these products. Further, the systems and software required to manage all-IP-based voice calls will need to evolve to support all types of media session types, not just voice. If our target customers do not adopt, purchase and successfully deploy our current or planned products, our revenues will not grow.</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respond rapidly to technological changes or to changes in industry standards, our products could become obsolete.</w:t>
      </w:r>
    </w:p>
    <w:p>
      <w:pPr>
        <w:spacing w:after="0" w:line="189" w:lineRule="exact"/>
        <w:rPr>
          <w:sz w:val="20"/>
          <w:szCs w:val="20"/>
          <w:color w:val="auto"/>
        </w:rPr>
      </w:pPr>
    </w:p>
    <w:p>
      <w:pPr>
        <w:ind w:right="20" w:firstLine="282"/>
        <w:spacing w:after="0" w:line="293" w:lineRule="auto"/>
        <w:rPr>
          <w:sz w:val="20"/>
          <w:szCs w:val="20"/>
          <w:color w:val="auto"/>
        </w:rPr>
      </w:pPr>
      <w:r>
        <w:rPr>
          <w:rFonts w:ascii="Arial" w:cs="Arial" w:eastAsia="Arial" w:hAnsi="Arial"/>
          <w:sz w:val="13"/>
          <w:szCs w:val="13"/>
          <w:color w:val="auto"/>
        </w:rPr>
        <w:t>The market for packet voice infrastructure products is likely to be characterized by rapid technological change and frequent new product introductions. We may be unable to respond quickly or effectively to these developments. We may experience difficulties with software development, hardware design, manufacturing or marketing that could delay or prevent our development, introduction or marketing of new products and enhancements. The introduction of new products by our competitors, the market acceptance of products based on new or alternative technologies or the emergence of new industry standards could render our existing or future products obsolete. If the standards adopted are different from those that we have chosen to support, market acceptance of our products may be significantly reduced or delayed. If our products become technologically obsolete, we may be unable to sell our products in the marketplace and generate revenues.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compete successfully against telecommunications equipment and networking companies, our ability to increase our revenues and sustain profitability will be impaired.</w:t>
      </w:r>
    </w:p>
    <w:p>
      <w:pPr>
        <w:spacing w:after="0" w:line="200" w:lineRule="exact"/>
        <w:rPr>
          <w:sz w:val="20"/>
          <w:szCs w:val="20"/>
          <w:color w:val="auto"/>
        </w:rPr>
      </w:pPr>
    </w:p>
    <w:p>
      <w:pPr>
        <w:ind w:right="80" w:firstLine="284"/>
        <w:spacing w:after="0" w:line="270" w:lineRule="auto"/>
        <w:rPr>
          <w:sz w:val="20"/>
          <w:szCs w:val="20"/>
          <w:color w:val="auto"/>
        </w:rPr>
      </w:pPr>
      <w:r>
        <w:rPr>
          <w:rFonts w:ascii="Arial" w:cs="Arial" w:eastAsia="Arial" w:hAnsi="Arial"/>
          <w:sz w:val="14"/>
          <w:szCs w:val="14"/>
          <w:color w:val="auto"/>
        </w:rPr>
        <w:t>Competition in the telecommunications market is intense. This market has historically been dominated by large incumbent telecommunications equipment companies, such as Alcatel-Lucent, NEC, Nokia Siemens, Huawei and Ericsson, all of which are our direct competitors. We also face competition from other telecommunications and networking companies, including Cisco Systems and Acme Packet, that design competing products. Other competitors may also merge, intensifying competition. Additional competitors with significant financial resources may enter our markets and further intensify competition.</w:t>
      </w:r>
    </w:p>
    <w:p>
      <w:pPr>
        <w:spacing w:after="0" w:line="150" w:lineRule="exact"/>
        <w:rPr>
          <w:sz w:val="20"/>
          <w:szCs w:val="20"/>
          <w:color w:val="auto"/>
        </w:rPr>
      </w:pPr>
    </w:p>
    <w:p>
      <w:pPr>
        <w:ind w:right="300" w:firstLine="284"/>
        <w:spacing w:after="0" w:line="305" w:lineRule="auto"/>
        <w:rPr>
          <w:sz w:val="20"/>
          <w:szCs w:val="20"/>
          <w:color w:val="auto"/>
        </w:rPr>
      </w:pPr>
      <w:r>
        <w:rPr>
          <w:rFonts w:ascii="Arial" w:cs="Arial" w:eastAsia="Arial" w:hAnsi="Arial"/>
          <w:sz w:val="13"/>
          <w:szCs w:val="13"/>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 compete effectively, we must deliver innovative products that:</w:t>
      </w:r>
    </w:p>
    <w:p>
      <w:pPr>
        <w:spacing w:after="0" w:line="200" w:lineRule="exact"/>
        <w:rPr>
          <w:sz w:val="20"/>
          <w:szCs w:val="20"/>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provide extremely high reliability and voice quality;</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deploy and scale easily and efficiently;</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interoperate with existing network designs and other vendors' equipment;</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provide effective network management;</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are accompanied by comprehensive customer support and professional services;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provide a cost-effective and space efficient solution for service providers;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meet price competition from low cost equipment providers.</w:t>
      </w:r>
    </w:p>
    <w:p>
      <w:pPr>
        <w:spacing w:after="0" w:line="189" w:lineRule="exact"/>
        <w:rPr>
          <w:sz w:val="20"/>
          <w:szCs w:val="20"/>
          <w:color w:val="auto"/>
        </w:rPr>
      </w:pPr>
    </w:p>
    <w:p>
      <w:pPr>
        <w:ind w:right="160" w:firstLine="284"/>
        <w:spacing w:after="0" w:line="289" w:lineRule="auto"/>
        <w:rPr>
          <w:sz w:val="20"/>
          <w:szCs w:val="20"/>
          <w:color w:val="auto"/>
        </w:rPr>
      </w:pPr>
      <w:r>
        <w:rPr>
          <w:rFonts w:ascii="Arial" w:cs="Arial" w:eastAsia="Arial" w:hAnsi="Arial"/>
          <w:sz w:val="14"/>
          <w:szCs w:val="14"/>
          <w:color w:val="auto"/>
        </w:rPr>
        <w:t>If we are unable to compete successfully against our current and future competitors, we could experience price reductions, order cancellations, loss of customers and revenues, and our operating results could be adversely affected.</w:t>
      </w:r>
    </w:p>
    <w:p>
      <w:pPr>
        <w:spacing w:after="0" w:line="137"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37" w:lineRule="exact"/>
        <w:rPr>
          <w:sz w:val="20"/>
          <w:szCs w:val="20"/>
          <w:color w:val="auto"/>
        </w:rPr>
      </w:pPr>
    </w:p>
    <w:p>
      <w:pPr>
        <w:ind w:firstLine="282"/>
        <w:spacing w:after="0" w:line="266" w:lineRule="auto"/>
        <w:rPr>
          <w:sz w:val="20"/>
          <w:szCs w:val="20"/>
          <w:color w:val="auto"/>
        </w:rPr>
      </w:pPr>
      <w:r>
        <w:rPr>
          <w:rFonts w:ascii="Arial" w:cs="Arial" w:eastAsia="Arial" w:hAnsi="Arial"/>
          <w:sz w:val="14"/>
          <w:szCs w:val="14"/>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if we develop products and offer services that are not widely adopted by the telecommunications industry, or if we fail to effectively manage the transition from older products, our ability to create or increase demand for our products would be seriously harmed and we may lose current and prospective customers.</w:t>
      </w:r>
    </w:p>
    <w:p>
      <w:pPr>
        <w:spacing w:after="0" w:line="153" w:lineRule="exact"/>
        <w:rPr>
          <w:sz w:val="20"/>
          <w:szCs w:val="20"/>
          <w:color w:val="auto"/>
        </w:rPr>
      </w:pPr>
    </w:p>
    <w:p>
      <w:pPr>
        <w:ind w:right="60" w:firstLine="284"/>
        <w:spacing w:after="0" w:line="275" w:lineRule="auto"/>
        <w:rPr>
          <w:sz w:val="20"/>
          <w:szCs w:val="20"/>
          <w:color w:val="auto"/>
        </w:rPr>
      </w:pPr>
      <w:r>
        <w:rPr>
          <w:rFonts w:ascii="Arial" w:cs="Arial" w:eastAsia="Arial" w:hAnsi="Arial"/>
          <w:sz w:val="14"/>
          <w:szCs w:val="14"/>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networks, installations could be delayed or orders for our products could be cancelled, which would seriously harm our gross margins and result in loss of revenues or customers. Additionally, our customers may decide to devote a significant portion of their budgets to evolving technology as they consider national or worldwide build-outs. Therefore, if the demand for our products is not strong and if our target customers do not adopt, purchase and successfully deploy our current or planned products, our revenues will not grow.</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that a majority of our revenue will be generated from a limited number of customers and we will not be successful if we do not grow our customer base.</w:t>
      </w:r>
    </w:p>
    <w:p>
      <w:pPr>
        <w:spacing w:after="0" w:line="189" w:lineRule="exact"/>
        <w:rPr>
          <w:sz w:val="20"/>
          <w:szCs w:val="20"/>
          <w:color w:val="auto"/>
        </w:rPr>
      </w:pPr>
    </w:p>
    <w:p>
      <w:pPr>
        <w:jc w:val="both"/>
        <w:ind w:right="260" w:firstLine="282"/>
        <w:spacing w:after="0" w:line="275" w:lineRule="auto"/>
        <w:rPr>
          <w:sz w:val="20"/>
          <w:szCs w:val="20"/>
          <w:color w:val="auto"/>
        </w:rPr>
      </w:pPr>
      <w:r>
        <w:rPr>
          <w:rFonts w:ascii="Arial" w:cs="Arial" w:eastAsia="Arial" w:hAnsi="Arial"/>
          <w:sz w:val="14"/>
          <w:szCs w:val="14"/>
          <w:color w:val="auto"/>
        </w:rPr>
        <w:t>To date, we have shipped our products to a limited number of customers. In fiscal 2010, one customer, AT&amp;T, contributed approximately 21% of our revenue. The same customer contributed approximately 29% of our revenue in fiscal 2008. We did not have any single customer that contributed 10% or more of our revenue in fiscal 2009. Factors that may affect our ability to grow our customer base include the following:</w:t>
      </w:r>
    </w:p>
    <w:p>
      <w:pPr>
        <w:spacing w:after="0" w:line="157" w:lineRule="exact"/>
        <w:rPr>
          <w:sz w:val="20"/>
          <w:szCs w:val="20"/>
          <w:color w:val="auto"/>
        </w:rPr>
      </w:pPr>
    </w:p>
    <w:p>
      <w:pPr>
        <w:ind w:left="880" w:hanging="435"/>
        <w:spacing w:after="0"/>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economic conditions that discourage potential new customers from making the capital investments required to adopt new technologies;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deterioration in the general financial condition of service providers or their ability to raise capital or access lending sources; and/or</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new product introductions by our competitors.</w:t>
      </w:r>
    </w:p>
    <w:p>
      <w:pPr>
        <w:spacing w:after="0" w:line="189" w:lineRule="exact"/>
        <w:rPr>
          <w:sz w:val="20"/>
          <w:szCs w:val="20"/>
          <w:color w:val="auto"/>
        </w:rPr>
      </w:pPr>
    </w:p>
    <w:p>
      <w:pPr>
        <w:ind w:right="80" w:firstLine="284"/>
        <w:spacing w:after="0" w:line="289" w:lineRule="auto"/>
        <w:rPr>
          <w:sz w:val="20"/>
          <w:szCs w:val="20"/>
          <w:color w:val="auto"/>
        </w:rPr>
      </w:pPr>
      <w:r>
        <w:rPr>
          <w:rFonts w:ascii="Arial" w:cs="Arial" w:eastAsia="Arial" w:hAnsi="Arial"/>
          <w:sz w:val="14"/>
          <w:szCs w:val="14"/>
          <w:color w:val="auto"/>
        </w:rPr>
        <w:t>If we are unable to expand our customer base, we will be forced to rely on generating recurring revenue from existing customers which may not be successful. Our future success will depend on our ability to attract additional customers beyond our current limited number.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generate recurring business from our limited number of existing customers, our financial position and results of operations could be materially and adversely affected.</w:t>
      </w:r>
    </w:p>
    <w:p>
      <w:pPr>
        <w:spacing w:after="0" w:line="212" w:lineRule="exact"/>
        <w:rPr>
          <w:sz w:val="20"/>
          <w:szCs w:val="20"/>
          <w:color w:val="auto"/>
        </w:rPr>
      </w:pPr>
    </w:p>
    <w:p>
      <w:pPr>
        <w:ind w:right="20" w:firstLine="282"/>
        <w:spacing w:after="0" w:line="289" w:lineRule="auto"/>
        <w:rPr>
          <w:sz w:val="20"/>
          <w:szCs w:val="20"/>
          <w:color w:val="auto"/>
        </w:rPr>
      </w:pPr>
      <w:r>
        <w:rPr>
          <w:rFonts w:ascii="Arial" w:cs="Arial" w:eastAsia="Arial" w:hAnsi="Arial"/>
          <w:sz w:val="14"/>
          <w:szCs w:val="14"/>
          <w:color w:val="auto"/>
        </w:rPr>
        <w:t>We expect that in the foreseeable future, the majority of our revenue will continue to depend on sales of our products to a limited number of existing customers. Factors that may affect our ability to generate recurring revenues from our existing customers include the following:</w:t>
      </w:r>
    </w:p>
    <w:p>
      <w:pPr>
        <w:spacing w:after="0" w:line="148" w:lineRule="exact"/>
        <w:rPr>
          <w:sz w:val="20"/>
          <w:szCs w:val="20"/>
          <w:color w:val="auto"/>
        </w:rPr>
      </w:pPr>
    </w:p>
    <w:p>
      <w:pPr>
        <w:ind w:left="880" w:hanging="435"/>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customer willingness to implement our new voice infrastructure products;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acquisitions of or by our customers;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delays or difficulties that we may incur in completing the development and introduction of our planned products or product enhancements;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failure of our products to perform as expected; and/or</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difficulties we may incur in meeting customers' delivery requirements.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loss of any significant customer or any substantial reduction in purchase orders from these customers could materially and adversely affect our financial position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large customers have substantial negotiating leverage, and they may require that we agree to terms and conditions that may have an adverse effect on our business.</w:t>
      </w:r>
    </w:p>
    <w:p>
      <w:pPr>
        <w:spacing w:after="0" w:line="189"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color w:val="auto"/>
        </w:rPr>
        <w:t>Large telecommunications providers have substantial purchasing power and leverage in negotiating contractual arrangements with us. These customers may, among other things, require us to develop additional features, require penalties for failure to deliver such features, require us to partner with a certain reseller before purchasing our products and/or seek discounted product or service pricing. As we sell more products to this class of customer, we may be required to agree to such terms and conditions, which may affect the timing of revenue recognition, amount of deferred revenues or product and service margins and may adversely affect our financial position in certain reporting periods.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60"/>
          </w:cols>
          <w:pgMar w:left="220" w:top="132" w:right="31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to our reliance on significant customer contracts, we have financial exposure to the continued financial stability of our customers.</w:t>
      </w:r>
    </w:p>
    <w:p>
      <w:pPr>
        <w:spacing w:after="0" w:line="189" w:lineRule="exact"/>
        <w:rPr>
          <w:sz w:val="20"/>
          <w:szCs w:val="20"/>
          <w:color w:val="auto"/>
        </w:rPr>
      </w:pPr>
    </w:p>
    <w:p>
      <w:pPr>
        <w:ind w:right="120" w:firstLine="284"/>
        <w:spacing w:after="0" w:line="275" w:lineRule="auto"/>
        <w:rPr>
          <w:sz w:val="20"/>
          <w:szCs w:val="20"/>
          <w:color w:val="auto"/>
        </w:rPr>
      </w:pPr>
      <w:r>
        <w:rPr>
          <w:rFonts w:ascii="Arial" w:cs="Arial" w:eastAsia="Arial" w:hAnsi="Arial"/>
          <w:sz w:val="14"/>
          <w:szCs w:val="14"/>
          <w:color w:val="auto"/>
        </w:rPr>
        <w:t>Due to our reliance on significant customer contracts, we are dependent on the continued financial strength of our customers. The current economic crisis could have already had or could have in the future a material adverse affect on these customers. If one or more of our significant customers experience financial difficulties, it could result in uncollectible accounts receivable and our loss of significant customers and anticipated service revenue.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the credit risk of some of our customers and to credit exposures in weakened markets, which could result in material losses.</w:t>
      </w:r>
    </w:p>
    <w:p>
      <w:pPr>
        <w:spacing w:after="0" w:line="189" w:lineRule="exact"/>
        <w:rPr>
          <w:sz w:val="20"/>
          <w:szCs w:val="20"/>
          <w:color w:val="auto"/>
        </w:rPr>
      </w:pPr>
    </w:p>
    <w:p>
      <w:pPr>
        <w:ind w:right="20" w:firstLine="284"/>
        <w:spacing w:after="0" w:line="266" w:lineRule="auto"/>
        <w:rPr>
          <w:sz w:val="20"/>
          <w:szCs w:val="20"/>
          <w:color w:val="auto"/>
        </w:rPr>
      </w:pPr>
      <w:r>
        <w:rPr>
          <w:rFonts w:ascii="Arial" w:cs="Arial" w:eastAsia="Arial" w:hAnsi="Arial"/>
          <w:sz w:val="14"/>
          <w:szCs w:val="14"/>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operating results and financial condition. Additionally, in the event that the ongoing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53" w:lineRule="exact"/>
        <w:rPr>
          <w:sz w:val="20"/>
          <w:szCs w:val="20"/>
          <w:color w:val="auto"/>
        </w:rPr>
      </w:pPr>
    </w:p>
    <w:p>
      <w:pPr>
        <w:ind w:right="420" w:firstLine="276"/>
        <w:spacing w:after="0" w:line="289" w:lineRule="auto"/>
        <w:rPr>
          <w:sz w:val="20"/>
          <w:szCs w:val="20"/>
          <w:color w:val="auto"/>
        </w:rPr>
      </w:pPr>
      <w:r>
        <w:rPr>
          <w:rFonts w:ascii="Arial" w:cs="Arial" w:eastAsia="Arial" w:hAnsi="Arial"/>
          <w:sz w:val="14"/>
          <w:szCs w:val="14"/>
          <w:color w:val="auto"/>
        </w:rPr>
        <w:t>A portion of our sales are derived through our distributors. As distributors tend to have more limited financial resources than other resellers and end-user customers, they generally represent sources of increased credit risk.</w:t>
      </w:r>
    </w:p>
    <w:p>
      <w:pPr>
        <w:spacing w:after="0" w:line="137" w:lineRule="exact"/>
        <w:rPr>
          <w:sz w:val="20"/>
          <w:szCs w:val="20"/>
          <w:color w:val="auto"/>
        </w:rPr>
      </w:pPr>
    </w:p>
    <w:p>
      <w:pPr>
        <w:ind w:right="300" w:firstLine="282"/>
        <w:spacing w:after="0" w:line="289" w:lineRule="auto"/>
        <w:rPr>
          <w:sz w:val="20"/>
          <w:szCs w:val="20"/>
          <w:color w:val="auto"/>
        </w:rPr>
      </w:pPr>
      <w:r>
        <w:rPr>
          <w:rFonts w:ascii="Arial" w:cs="Arial" w:eastAsia="Arial" w:hAnsi="Arial"/>
          <w:sz w:val="14"/>
          <w:szCs w:val="14"/>
          <w:color w:val="auto"/>
        </w:rPr>
        <w:t>The current global economic downturn raises the potential of our customers incurring financial difficulties (including bankruptcy), which would adversely impact our results of operations and financial position as a result of lower customer sales and write-offs of uncollectible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risks associated with our international expansion that could impair our ability to grow our international revenues.</w:t>
      </w:r>
    </w:p>
    <w:p>
      <w:pPr>
        <w:spacing w:after="0" w:line="189" w:lineRule="exact"/>
        <w:rPr>
          <w:sz w:val="20"/>
          <w:szCs w:val="20"/>
          <w:color w:val="auto"/>
        </w:rPr>
      </w:pPr>
    </w:p>
    <w:p>
      <w:pPr>
        <w:ind w:firstLine="284"/>
        <w:spacing w:after="0" w:line="293" w:lineRule="auto"/>
        <w:rPr>
          <w:sz w:val="20"/>
          <w:szCs w:val="20"/>
          <w:color w:val="auto"/>
        </w:rPr>
      </w:pPr>
      <w:r>
        <w:rPr>
          <w:rFonts w:ascii="Arial" w:cs="Arial" w:eastAsia="Arial" w:hAnsi="Arial"/>
          <w:sz w:val="13"/>
          <w:szCs w:val="13"/>
          <w:color w:val="auto"/>
        </w:rPr>
        <w:t>International revenue approximated $80 million, or approximately 32% of revenue, in fiscal 2010, $69 million, or approximately 30% of revenue, in fiscal 2009 and $94 million, or approximately 30% of revenue, in fiscal 2008. We intend to continue to expand our sales in international markets. This expansion has and will continue to require significant management attention and financial resources to successfully develop direct and indirect international sales and support channels. In addition, we may not be able to develop international market demand for our products, which could impair our ability to grow our revenues. We have limited experience marketing, distributing and supporting our products internationally and, to do so, we expect that we will need to develop versions of our products that comply with local standards. Furthermore, international operations are subject to other inherent risks, including:</w:t>
      </w:r>
    </w:p>
    <w:p>
      <w:pPr>
        <w:spacing w:after="0" w:line="148" w:lineRule="exact"/>
        <w:rPr>
          <w:sz w:val="20"/>
          <w:szCs w:val="20"/>
          <w:color w:val="auto"/>
        </w:rPr>
      </w:pPr>
    </w:p>
    <w:p>
      <w:pPr>
        <w:ind w:left="880" w:hanging="435"/>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reliance on distributors and resellers;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greater difficulty collecting accounts receivable and longer collection cycles;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difficulties and costs of staffing and managing international operations;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differing technical standards outside the United States;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the current global economic downturn and related market uncertainty;</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changes in regulatory requirements and currency exchange rates;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with international trade, customs and export control regulations;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certification requirements and/or approval by a government authority;</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reduced protection for intellectual property rights in some countries;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potentially adverse tax consequences;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considerations that affect government and service provider spending patterns;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health or similar issues, such as pandemic or epidemic;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political, social and economic instability.</w:t>
      </w:r>
    </w:p>
    <w:p>
      <w:pPr>
        <w:spacing w:after="0" w:line="189" w:lineRule="exact"/>
        <w:rPr>
          <w:sz w:val="20"/>
          <w:szCs w:val="20"/>
          <w:color w:val="auto"/>
        </w:rPr>
      </w:pPr>
    </w:p>
    <w:p>
      <w:pPr>
        <w:ind w:right="260"/>
        <w:spacing w:after="0" w:line="289" w:lineRule="auto"/>
        <w:rPr>
          <w:sz w:val="20"/>
          <w:szCs w:val="20"/>
          <w:color w:val="auto"/>
        </w:rPr>
      </w:pPr>
      <w:r>
        <w:rPr>
          <w:rFonts w:ascii="Arial" w:cs="Arial" w:eastAsia="Arial" w:hAnsi="Arial"/>
          <w:sz w:val="14"/>
          <w:szCs w:val="14"/>
          <w:b w:val="1"/>
          <w:bCs w:val="1"/>
          <w:i w:val="1"/>
          <w:iCs w:val="1"/>
          <w:color w:val="auto"/>
        </w:rPr>
        <w:t>If we fail to manage the operational and financial risks associated with our international operations, it could have a material adverse effect on our business, results of operations and financial condition.</w:t>
      </w:r>
    </w:p>
    <w:p>
      <w:pPr>
        <w:spacing w:after="0" w:line="137" w:lineRule="exact"/>
        <w:rPr>
          <w:sz w:val="20"/>
          <w:szCs w:val="20"/>
          <w:color w:val="auto"/>
        </w:rPr>
      </w:pPr>
    </w:p>
    <w:p>
      <w:pPr>
        <w:ind w:firstLine="282"/>
        <w:spacing w:after="0" w:line="290" w:lineRule="auto"/>
        <w:rPr>
          <w:sz w:val="20"/>
          <w:szCs w:val="20"/>
          <w:color w:val="auto"/>
        </w:rPr>
      </w:pPr>
      <w:r>
        <w:rPr>
          <w:rFonts w:ascii="Arial" w:cs="Arial" w:eastAsia="Arial" w:hAnsi="Arial"/>
          <w:sz w:val="13"/>
          <w:szCs w:val="13"/>
          <w:color w:val="auto"/>
        </w:rPr>
        <w:t>We operate in international and emerging markets. In many international markets, long-standing relationships between potential customers and their local suppliers and protective regulations, including local content requirements and approvals, create barriers to entry. In addition, pursuing international opportunities may require significant investments for an extended period before returns on those investments, if any, are realized, which may result in expenses growing at a faster rate than revenues. Furthermore, those opportunities could be adversely affected by, among other factors: reversals or delays in the opening of foreign markets to new competitors or the introduction of new technologies into those markets; government regulations delaying and/or prohibiting potential sales or increasing the cost of doing business in such markets; a challenging pricing environment in highly competitive new markets; exchange controls; restrictions on repatriation of cash; nationalization or regulation of local industry; economic, social and political risks; taxation; challenges in staffing and managing international opportunities; and acts of war or terrorism.</w:t>
      </w:r>
    </w:p>
    <w:p>
      <w:pPr>
        <w:spacing w:after="0" w:line="140" w:lineRule="exact"/>
        <w:rPr>
          <w:sz w:val="20"/>
          <w:szCs w:val="20"/>
          <w:color w:val="auto"/>
        </w:rPr>
      </w:pPr>
    </w:p>
    <w:p>
      <w:pPr>
        <w:ind w:right="260" w:firstLine="284"/>
        <w:spacing w:after="0" w:line="275" w:lineRule="auto"/>
        <w:rPr>
          <w:sz w:val="20"/>
          <w:szCs w:val="20"/>
          <w:color w:val="auto"/>
        </w:rPr>
      </w:pPr>
      <w:r>
        <w:rPr>
          <w:rFonts w:ascii="Arial" w:cs="Arial" w:eastAsia="Arial" w:hAnsi="Arial"/>
          <w:sz w:val="14"/>
          <w:szCs w:val="14"/>
          <w:color w:val="auto"/>
        </w:rPr>
        <w:t>Difficulties in foreign financial markets and economies and of foreign financial institutions, particularly in emerging markets, could adversely affect demand from customers in the affected countries. An inability to maintain our business in international and emerging markets while balancing the higher operational and financial risks associated with these markets could have a material adverse effect on our business,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and reliance upon development resources in India may expose us to unanticipated costs and/or liabilities.</w:t>
      </w:r>
    </w:p>
    <w:p>
      <w:pPr>
        <w:spacing w:after="0" w:line="189" w:lineRule="exact"/>
        <w:rPr>
          <w:sz w:val="20"/>
          <w:szCs w:val="20"/>
          <w:color w:val="auto"/>
        </w:rPr>
      </w:pPr>
    </w:p>
    <w:p>
      <w:pPr>
        <w:ind w:right="40" w:firstLine="282"/>
        <w:spacing w:after="0" w:line="275" w:lineRule="auto"/>
        <w:rPr>
          <w:sz w:val="20"/>
          <w:szCs w:val="20"/>
          <w:color w:val="auto"/>
        </w:rPr>
      </w:pPr>
      <w:r>
        <w:rPr>
          <w:rFonts w:ascii="Arial" w:cs="Arial" w:eastAsia="Arial" w:hAnsi="Arial"/>
          <w:sz w:val="14"/>
          <w:szCs w:val="14"/>
          <w:color w:val="auto"/>
        </w:rPr>
        <w:t>We have a significant development center in Bangalore, India and, in recent years, have increased headcount and development activity at this facility. The employees at this facility consist principally of research and development personnel. There is no assurance that our reliance upon development resources in India will enable us to achieve meaningful cost reductions or greater resource efficiency. Further, our development efforts and other operations in India involve significant risks, including:</w:t>
      </w:r>
    </w:p>
    <w:p>
      <w:pPr>
        <w:spacing w:after="0" w:line="168" w:lineRule="exact"/>
        <w:rPr>
          <w:sz w:val="20"/>
          <w:szCs w:val="20"/>
          <w:color w:val="auto"/>
        </w:rPr>
      </w:pPr>
    </w:p>
    <w:p>
      <w:pPr>
        <w:ind w:left="880" w:hanging="435"/>
        <w:spacing w:after="0"/>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difficulty hiring and retaining appropriate engineering and management resources due to intense competition for such resources and resulting wage inflation;</w:t>
      </w:r>
    </w:p>
    <w:p>
      <w:pPr>
        <w:spacing w:after="0" w:line="199" w:lineRule="exact"/>
        <w:rPr>
          <w:rFonts w:ascii="Arial" w:cs="Arial" w:eastAsia="Arial" w:hAnsi="Arial"/>
          <w:sz w:val="14"/>
          <w:szCs w:val="14"/>
          <w:color w:val="auto"/>
        </w:rPr>
      </w:pPr>
    </w:p>
    <w:p>
      <w:pPr>
        <w:ind w:left="880" w:right="20" w:hanging="435"/>
        <w:spacing w:after="0" w:line="289" w:lineRule="auto"/>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knowledge transfer related to our technology and resulting exposure to misappropriation of intellectual property or information that is proprietary to us, our customers and other third parties;</w:t>
      </w:r>
    </w:p>
    <w:p>
      <w:pPr>
        <w:spacing w:after="0" w:line="147" w:lineRule="exact"/>
        <w:rPr>
          <w:rFonts w:ascii="Arial" w:cs="Arial" w:eastAsia="Arial" w:hAnsi="Arial"/>
          <w:sz w:val="14"/>
          <w:szCs w:val="14"/>
          <w:color w:val="auto"/>
        </w:rPr>
      </w:pPr>
    </w:p>
    <w:p>
      <w:pPr>
        <w:ind w:left="880" w:hanging="435"/>
        <w:spacing w:after="0"/>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heightened exposure to changes in economic, security and political conditions in India; and</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fluctuations in currency exchange rates and tax compliance in India.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240" w:firstLine="284"/>
        <w:spacing w:after="0" w:line="289" w:lineRule="auto"/>
        <w:rPr>
          <w:sz w:val="20"/>
          <w:szCs w:val="20"/>
          <w:color w:val="auto"/>
        </w:rPr>
      </w:pPr>
      <w:r>
        <w:rPr>
          <w:rFonts w:ascii="Arial" w:cs="Arial" w:eastAsia="Arial" w:hAnsi="Arial"/>
          <w:sz w:val="14"/>
          <w:szCs w:val="14"/>
          <w:color w:val="auto"/>
        </w:rPr>
        <w:t>Difficulties resulting from the factors noted above and other risks related to our operations in India could expose us to increased expense, impair our development efforts, harm our competitive position and damage our reputation.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governmental export and import controls that could subject us to liability or impair our ability to compete in international markets.</w:t>
      </w:r>
    </w:p>
    <w:p>
      <w:pPr>
        <w:spacing w:after="0" w:line="189" w:lineRule="exact"/>
        <w:rPr>
          <w:sz w:val="20"/>
          <w:szCs w:val="20"/>
          <w:color w:val="auto"/>
        </w:rPr>
      </w:pPr>
    </w:p>
    <w:p>
      <w:pPr>
        <w:ind w:firstLine="284"/>
        <w:spacing w:after="0" w:line="264" w:lineRule="auto"/>
        <w:rPr>
          <w:sz w:val="20"/>
          <w:szCs w:val="20"/>
          <w:color w:val="auto"/>
        </w:rPr>
      </w:pPr>
      <w:r>
        <w:rPr>
          <w:rFonts w:ascii="Arial" w:cs="Arial" w:eastAsia="Arial" w:hAnsi="Arial"/>
          <w:sz w:val="14"/>
          <w:szCs w:val="14"/>
          <w:color w:val="auto"/>
        </w:rPr>
        <w:t>Our products are subject to U.S. export controls and may be exported outside the United States only with the required level of export license or through an export license exception because we incorporate encryption technology into our products. In addition, various countries regulate the import of certain encryption technology and have enacted laws that could limit our ability to distribute our products or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throughout their global systems or, in some cases, prevent the export or import of our products to certain countries altogether. Any change in export or import regulations or related legislation, shift in approach to the enforcement or scope of existing regulations or change in the countries,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have an adverse effect on our business, operating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risks related to litigation that could result in significant legal expenses and settlement or damage awards.</w:t>
      </w:r>
    </w:p>
    <w:p>
      <w:pPr>
        <w:spacing w:after="0" w:line="189" w:lineRule="exact"/>
        <w:rPr>
          <w:sz w:val="20"/>
          <w:szCs w:val="20"/>
          <w:color w:val="auto"/>
        </w:rPr>
      </w:pPr>
    </w:p>
    <w:p>
      <w:pPr>
        <w:ind w:right="120" w:firstLine="284"/>
        <w:spacing w:after="0" w:line="267" w:lineRule="auto"/>
        <w:rPr>
          <w:sz w:val="20"/>
          <w:szCs w:val="20"/>
          <w:color w:val="auto"/>
        </w:rPr>
      </w:pPr>
      <w:r>
        <w:rPr>
          <w:rFonts w:ascii="Arial" w:cs="Arial" w:eastAsia="Arial" w:hAnsi="Arial"/>
          <w:sz w:val="14"/>
          <w:szCs w:val="14"/>
          <w:color w:val="auto"/>
        </w:rPr>
        <w:t>In the past, we have been named as a defendant in securities class action and derivative lawsuits. We are generally obliged, to the extent permitted by law, to indemnify our current and former directors and officers who are named as defendants in these lawsuits. While we currently expect that the matters pending in our current securities litigation have been or are close to being resolved, defending against existing and potential litigation may require significant attention and resources of management. Regardless of the outcome, such litigation will result in significant legal expenses. If our defenses in any of our pending litigation are ultimately unsuccessful, or if we are unable to achieve a favorable settlement, we could be liable for large damage awards that could have a material adverse effect on our business, results of operations and financial position.</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For additional information on our pending litigation, please see Part I, Item 3 "Legal Proceedings" in this Annual Report on Form 10-K.</w:t>
      </w:r>
    </w:p>
    <w:p>
      <w:pPr>
        <w:spacing w:after="0" w:line="189"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w:t>
      </w:r>
    </w:p>
    <w:p>
      <w:pPr>
        <w:spacing w:after="0" w:line="137" w:lineRule="exact"/>
        <w:rPr>
          <w:sz w:val="20"/>
          <w:szCs w:val="20"/>
          <w:color w:val="auto"/>
        </w:rPr>
      </w:pPr>
    </w:p>
    <w:p>
      <w:pPr>
        <w:jc w:val="both"/>
        <w:ind w:right="20" w:firstLine="282"/>
        <w:spacing w:after="0" w:line="328" w:lineRule="auto"/>
        <w:rPr>
          <w:sz w:val="20"/>
          <w:szCs w:val="20"/>
          <w:color w:val="auto"/>
        </w:rPr>
      </w:pPr>
      <w:r>
        <w:rPr>
          <w:rFonts w:ascii="Arial" w:cs="Arial" w:eastAsia="Arial" w:hAnsi="Arial"/>
          <w:sz w:val="12"/>
          <w:szCs w:val="12"/>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us to attempt to enforce our intellectual property rights in these jurisdictions. If competitors are able to use our technology, our ability to compete effectively could be harmed.</w:t>
      </w:r>
    </w:p>
    <w:p>
      <w:pPr>
        <w:spacing w:after="0" w:line="189" w:lineRule="exact"/>
        <w:rPr>
          <w:sz w:val="20"/>
          <w:szCs w:val="20"/>
          <w:color w:val="auto"/>
        </w:rPr>
      </w:pPr>
    </w:p>
    <w:p>
      <w:pPr>
        <w:ind w:firstLine="284"/>
        <w:spacing w:after="0" w:line="297" w:lineRule="auto"/>
        <w:rPr>
          <w:sz w:val="20"/>
          <w:szCs w:val="20"/>
          <w:color w:val="auto"/>
        </w:rPr>
      </w:pPr>
      <w:r>
        <w:rPr>
          <w:rFonts w:ascii="Arial" w:cs="Arial" w:eastAsia="Arial" w:hAnsi="Arial"/>
          <w:sz w:val="13"/>
          <w:szCs w:val="13"/>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45" w:lineRule="exact"/>
        <w:rPr>
          <w:sz w:val="20"/>
          <w:szCs w:val="20"/>
          <w:color w:val="auto"/>
        </w:rPr>
      </w:pPr>
    </w:p>
    <w:p>
      <w:pPr>
        <w:ind w:left="880" w:hanging="435"/>
        <w:spacing w:after="0"/>
        <w:tabs>
          <w:tab w:leader="none" w:pos="8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stop selling, incorporating or using our products that use the challenged intellectual property;</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obtain from the owner of the infringed intellectual property right a license to sell or use the relevant technology, which license may not be available on reasonable terms, or at all; or</w:t>
      </w:r>
    </w:p>
    <w:p>
      <w:pPr>
        <w:spacing w:after="0" w:line="211" w:lineRule="exact"/>
        <w:rPr>
          <w:rFonts w:ascii="Arial" w:cs="Arial" w:eastAsia="Arial" w:hAnsi="Arial"/>
          <w:sz w:val="13"/>
          <w:szCs w:val="13"/>
          <w:color w:val="auto"/>
        </w:rPr>
      </w:pPr>
    </w:p>
    <w:p>
      <w:pPr>
        <w:ind w:left="880" w:hanging="435"/>
        <w:spacing w:after="0"/>
        <w:tabs>
          <w:tab w:leader="none" w:pos="8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redesign those products that use any allegedly infringing technology.</w:t>
      </w:r>
    </w:p>
    <w:p>
      <w:pPr>
        <w:spacing w:after="0" w:line="189" w:lineRule="exact"/>
        <w:rPr>
          <w:sz w:val="20"/>
          <w:szCs w:val="20"/>
          <w:color w:val="auto"/>
        </w:rPr>
      </w:pPr>
    </w:p>
    <w:p>
      <w:pPr>
        <w:ind w:right="20" w:firstLine="276"/>
        <w:spacing w:after="0" w:line="275" w:lineRule="auto"/>
        <w:rPr>
          <w:sz w:val="20"/>
          <w:szCs w:val="20"/>
          <w:color w:val="auto"/>
        </w:rPr>
      </w:pPr>
      <w:r>
        <w:rPr>
          <w:rFonts w:ascii="Arial" w:cs="Arial" w:eastAsia="Arial" w:hAnsi="Arial"/>
          <w:sz w:val="14"/>
          <w:szCs w:val="14"/>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the fiscal 2008 and may be significant in future periods.</w:t>
      </w:r>
    </w:p>
    <w:p>
      <w:pPr>
        <w:spacing w:after="0" w:line="146"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b w:val="1"/>
          <w:bCs w:val="1"/>
          <w:i w:val="1"/>
          <w:iCs w:val="1"/>
          <w:color w:val="auto"/>
        </w:rPr>
        <w:t>Because our products are sophisticated and designed to be deployed in complex environments, they may have errors or defects that we find only after full deployment, which could seriously harm our business.</w:t>
      </w:r>
    </w:p>
    <w:p>
      <w:pPr>
        <w:spacing w:after="0" w:line="137" w:lineRule="exact"/>
        <w:rPr>
          <w:sz w:val="20"/>
          <w:szCs w:val="20"/>
          <w:color w:val="auto"/>
        </w:rPr>
      </w:pPr>
    </w:p>
    <w:p>
      <w:pPr>
        <w:ind w:right="40" w:firstLine="284"/>
        <w:spacing w:after="0" w:line="297" w:lineRule="auto"/>
        <w:rPr>
          <w:sz w:val="20"/>
          <w:szCs w:val="20"/>
          <w:color w:val="auto"/>
        </w:rPr>
      </w:pPr>
      <w:r>
        <w:rPr>
          <w:rFonts w:ascii="Arial" w:cs="Arial" w:eastAsia="Arial" w:hAnsi="Arial"/>
          <w:sz w:val="13"/>
          <w:szCs w:val="13"/>
          <w:color w:val="auto"/>
        </w:rPr>
        <w:t>Our products are sophisticated and are designed to be deployed in large and complex networks. Because of the nature of our products, they can only be fully tested when substantially deployed in very large networks with high volumes of traffic. Some of our customers have only recently begun to commercially deploy our products and they may discover errors or defects in the software or hardware, or the products may not operate as expected.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45" w:lineRule="exact"/>
        <w:rPr>
          <w:sz w:val="20"/>
          <w:szCs w:val="20"/>
          <w:color w:val="auto"/>
        </w:rPr>
      </w:pPr>
    </w:p>
    <w:p>
      <w:pPr>
        <w:ind w:left="880" w:hanging="435"/>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loss of, or delay in, revenues or increased expense;</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loss of customers and market share;</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to attract new customers or achieve market acceptance for our products;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service, support and warranty costs and a diversion of development resources; and/or</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costly and time-consuming legal actions by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not able to obtain necessary licenses of third-party technology at acceptable prices, or at all, our products could become obsolete.</w:t>
      </w:r>
    </w:p>
    <w:p>
      <w:pPr>
        <w:spacing w:after="0" w:line="189" w:lineRule="exact"/>
        <w:rPr>
          <w:sz w:val="20"/>
          <w:szCs w:val="20"/>
          <w:color w:val="auto"/>
        </w:rPr>
      </w:pPr>
    </w:p>
    <w:p>
      <w:pPr>
        <w:ind w:firstLine="282"/>
        <w:spacing w:after="0" w:line="270" w:lineRule="auto"/>
        <w:rPr>
          <w:sz w:val="20"/>
          <w:szCs w:val="20"/>
          <w:color w:val="auto"/>
        </w:rPr>
      </w:pPr>
      <w:r>
        <w:rPr>
          <w:rFonts w:ascii="Arial" w:cs="Arial" w:eastAsia="Arial" w:hAnsi="Arial"/>
          <w:sz w:val="14"/>
          <w:szCs w:val="14"/>
          <w:color w:val="auto"/>
        </w:rPr>
        <w:t>We have incorporated third-party licensed technology into our current products. From time to time, we may be required to license additional technology from third parties to develop new products or product enhancements. Third-party licenses may not be available or continue to be available to us on commercially reasonable terms or may be available to us but only at significantly escalated pricing. Additionally, we may not be able to replace the functionality provided by third-party software currently offered with our products if that software becomes obsolete, defective or incompatible with future versions of our products or is not adequately maintained or updated. The inability to maintain or</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80"/>
          </w:cols>
          <w:pgMar w:left="220" w:top="132"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328" w:lineRule="auto"/>
        <w:rPr>
          <w:sz w:val="20"/>
          <w:szCs w:val="20"/>
          <w:color w:val="auto"/>
        </w:rPr>
      </w:pPr>
      <w:r>
        <w:rPr>
          <w:rFonts w:ascii="Arial" w:cs="Arial" w:eastAsia="Arial" w:hAnsi="Arial"/>
          <w:sz w:val="12"/>
          <w:szCs w:val="12"/>
          <w:color w:val="auto"/>
        </w:rPr>
        <w:t>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 enhancements, any of which could seriously harm the competitiveness of our products. Any significant interruption in the availability of these third-party software products or defects in these products could harm our sales unless and until we can secure an alternative source. Although we believe there are adequate alternate sources for the technology licensed to us, such alternate sources may not provide us with the same functionality as that currently provided to us.</w:t>
      </w:r>
    </w:p>
    <w:p>
      <w:pPr>
        <w:spacing w:after="0" w:line="120"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37" w:lineRule="exact"/>
        <w:rPr>
          <w:sz w:val="20"/>
          <w:szCs w:val="20"/>
          <w:color w:val="auto"/>
        </w:rPr>
      </w:pPr>
    </w:p>
    <w:p>
      <w:pPr>
        <w:ind w:right="40" w:firstLine="284"/>
        <w:spacing w:after="0" w:line="275" w:lineRule="auto"/>
        <w:rPr>
          <w:sz w:val="20"/>
          <w:szCs w:val="20"/>
          <w:color w:val="auto"/>
        </w:rPr>
      </w:pPr>
      <w:r>
        <w:rPr>
          <w:rFonts w:ascii="Arial" w:cs="Arial" w:eastAsia="Arial" w:hAnsi="Arial"/>
          <w:sz w:val="14"/>
          <w:szCs w:val="14"/>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 the world. If we are unable to provide the expected level of support and service to our customers, we could experience:</w:t>
      </w:r>
    </w:p>
    <w:p>
      <w:pPr>
        <w:spacing w:after="0" w:line="157" w:lineRule="exact"/>
        <w:rPr>
          <w:sz w:val="20"/>
          <w:szCs w:val="20"/>
          <w:color w:val="auto"/>
        </w:rPr>
      </w:pPr>
    </w:p>
    <w:p>
      <w:pPr>
        <w:ind w:left="880" w:hanging="435"/>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loss of customers and market share;</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failure to attract new customers in new geographies;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increased service, support and warranty costs and a diversion of development resources; and/or</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network performance penalties.</w:t>
      </w:r>
    </w:p>
    <w:p>
      <w:pPr>
        <w:spacing w:after="0" w:line="189"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b w:val="1"/>
          <w:bCs w:val="1"/>
          <w:i w:val="1"/>
          <w:iCs w:val="1"/>
          <w:color w:val="auto"/>
        </w:rPr>
        <w:t>The hardware products that we purchase from our third-party vendors have life cycles, and some of those products have reached the end of their life cycles. If we are unable to correctly estimate future requirements for these products, it could harm our operating results or business.</w:t>
      </w:r>
    </w:p>
    <w:p>
      <w:pPr>
        <w:spacing w:after="0" w:line="137" w:lineRule="exact"/>
        <w:rPr>
          <w:sz w:val="20"/>
          <w:szCs w:val="20"/>
          <w:color w:val="auto"/>
        </w:rPr>
      </w:pPr>
    </w:p>
    <w:p>
      <w:pPr>
        <w:ind w:right="80" w:firstLine="284"/>
        <w:spacing w:after="0" w:line="293" w:lineRule="auto"/>
        <w:rPr>
          <w:sz w:val="20"/>
          <w:szCs w:val="20"/>
          <w:color w:val="auto"/>
        </w:rPr>
      </w:pPr>
      <w:r>
        <w:rPr>
          <w:rFonts w:ascii="Arial" w:cs="Arial" w:eastAsia="Arial" w:hAnsi="Arial"/>
          <w:sz w:val="13"/>
          <w:szCs w:val="13"/>
          <w:color w:val="auto"/>
        </w:rPr>
        <w:t>Some of the hardware products that we purchase from our third-party vendors have reached the end of their life cycles. It may be difficult for us to maintain appropriate levels of the discontinued hardware to adequately ensure that we do not have a shortage or surplus of inventory of these products. If we do not correctly forecast the demand for such hardware, we could have excess inventory and may need to write off the costs related to such purchases. The write-off of surplus inventory could materially and adversely affect our operating results. However, if we underestimate our forecast and our customers place orders to purchase more products than are available, we may not have sufficient inventory to support their needs. If we are unable to provide our customers with enough of these products, it could make it difficult to retain certain customers, which could have a material and adverse affect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Man-made problems such as computer viruses or terrorism may disrupt our operations and harm our operating results.</w:t>
      </w:r>
    </w:p>
    <w:p>
      <w:pPr>
        <w:spacing w:after="0" w:line="189" w:lineRule="exact"/>
        <w:rPr>
          <w:sz w:val="20"/>
          <w:szCs w:val="20"/>
          <w:color w:val="auto"/>
        </w:rPr>
      </w:pPr>
    </w:p>
    <w:p>
      <w:pPr>
        <w:ind w:right="40" w:firstLine="284"/>
        <w:spacing w:after="0" w:line="293" w:lineRule="auto"/>
        <w:rPr>
          <w:sz w:val="20"/>
          <w:szCs w:val="20"/>
          <w:color w:val="auto"/>
        </w:rPr>
      </w:pPr>
      <w:r>
        <w:rPr>
          <w:rFonts w:ascii="Arial" w:cs="Arial" w:eastAsia="Arial" w:hAnsi="Arial"/>
          <w:sz w:val="13"/>
          <w:szCs w:val="13"/>
          <w:color w:val="auto"/>
        </w:rPr>
        <w:t>Despite our implementation of network security measures, our servers are vulnerable to computer viruses, break-ins and similar disruptions from unauthorized tampering with our computer systems. Any such event could have a material adverse effect on our business, operating results and financial condition. Efforts to limit the ability of malicious third parties to disrupt the operations of the Internet or undermine our own security efforts may be met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operating results and financial condition. Likewise, events such as work stoppages or widespread blackouts could have similar negative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520"/>
        <w:spacing w:after="0" w:line="289" w:lineRule="auto"/>
        <w:rPr>
          <w:sz w:val="20"/>
          <w:szCs w:val="20"/>
          <w:color w:val="auto"/>
        </w:rPr>
      </w:pPr>
      <w:r>
        <w:rPr>
          <w:rFonts w:ascii="Arial" w:cs="Arial" w:eastAsia="Arial" w:hAnsi="Arial"/>
          <w:sz w:val="14"/>
          <w:szCs w:val="14"/>
          <w:color w:val="auto"/>
        </w:rPr>
        <w:t>impacts.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Provisions of our stockholder rights plan, charter documents and Delaware law have anti-takeover effects that could prevent a change of control.</w:t>
      </w:r>
    </w:p>
    <w:p>
      <w:pPr>
        <w:spacing w:after="0" w:line="189" w:lineRule="exact"/>
        <w:rPr>
          <w:sz w:val="20"/>
          <w:szCs w:val="20"/>
          <w:color w:val="auto"/>
        </w:rPr>
      </w:pPr>
    </w:p>
    <w:p>
      <w:pPr>
        <w:ind w:right="20" w:firstLine="282"/>
        <w:spacing w:after="0" w:line="286" w:lineRule="auto"/>
        <w:rPr>
          <w:sz w:val="20"/>
          <w:szCs w:val="20"/>
          <w:color w:val="auto"/>
        </w:rPr>
      </w:pPr>
      <w:r>
        <w:rPr>
          <w:rFonts w:ascii="Arial" w:cs="Arial" w:eastAsia="Arial" w:hAnsi="Arial"/>
          <w:sz w:val="13"/>
          <w:szCs w:val="13"/>
          <w:color w:val="auto"/>
        </w:rPr>
        <w:t>We adopted a three-year limited duration stockholder rights plan, commonly referred to as a "poison pill," on June 26, 2008. The stockholder rights plan, which will expire on June 26, 2011, is designed to protect stockholders, to the extent possible, from a creeping acquisition and other tactics to gain control of us without offering all stockholders an adequate price and control premium. Under the stockholder rights plan, the acquisition of 15% or more of our outstanding common stock by any person or group (which includes for this purpose common stock referenced in derivative transactions or securities), unless approved by our Board of Directors, will trigger the right of our stockholders (other than the acquirer of 15% or more of our common stock) to acquire additional shares of our common stock (and in certain cases, the shares of the potential acquirer), having a market value of twice the exercise price of each right. A person or group who beneficially owned 15% or more of the outstanding shares of our common stock prior to the adoption of the stockholder rights plan did not cause the rights to become exercisable upon adoption of the stockholder rights plan. However, such person or group would cause the rights to become exercisable (subject to certain limited exceptions) if it becomes the beneficial owner of additional shares of our common stock or if its beneficial ownership decreases below 15% and subsequently increases to 15% or more. Because the rights may substantially dilute the stock ownership of a person or group attempting to take us over without the approval of our Board of Directors, our stockholder rights plan could make it more difficult for a third party to acquire us (or a significant percentage of our outstanding capital stock) without first negotiating with our Board of Directors regarding that acquisition.</w:t>
      </w:r>
    </w:p>
    <w:p>
      <w:pPr>
        <w:spacing w:after="0" w:line="142" w:lineRule="exact"/>
        <w:rPr>
          <w:sz w:val="20"/>
          <w:szCs w:val="20"/>
          <w:color w:val="auto"/>
        </w:rPr>
      </w:pPr>
    </w:p>
    <w:p>
      <w:pPr>
        <w:ind w:right="260" w:firstLine="284"/>
        <w:spacing w:after="0" w:line="289" w:lineRule="auto"/>
        <w:rPr>
          <w:sz w:val="20"/>
          <w:szCs w:val="20"/>
          <w:color w:val="auto"/>
        </w:rPr>
      </w:pPr>
      <w:r>
        <w:rPr>
          <w:rFonts w:ascii="Arial" w:cs="Arial" w:eastAsia="Arial" w:hAnsi="Arial"/>
          <w:sz w:val="14"/>
          <w:szCs w:val="14"/>
          <w:color w:val="auto"/>
        </w:rPr>
        <w:t>In addition, provisions of our amended and restated certificate of incorporation, our amended and restated by-laws and Delaware law could make it more difficult for a third party to acquire us, even if doing so would be beneficial to our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Actions that may be taken by significant stockholders may divert the time and attention of our board of directors and management from our business operations.</w:t>
      </w:r>
    </w:p>
    <w:p>
      <w:pPr>
        <w:spacing w:after="0" w:line="189" w:lineRule="exact"/>
        <w:rPr>
          <w:sz w:val="20"/>
          <w:szCs w:val="20"/>
          <w:color w:val="auto"/>
        </w:rPr>
      </w:pPr>
    </w:p>
    <w:p>
      <w:pPr>
        <w:ind w:firstLine="284"/>
        <w:spacing w:after="0" w:line="267" w:lineRule="auto"/>
        <w:rPr>
          <w:sz w:val="20"/>
          <w:szCs w:val="20"/>
          <w:color w:val="auto"/>
        </w:rPr>
      </w:pPr>
      <w:r>
        <w:rPr>
          <w:rFonts w:ascii="Arial" w:cs="Arial" w:eastAsia="Arial" w:hAnsi="Arial"/>
          <w:sz w:val="14"/>
          <w:szCs w:val="14"/>
          <w:color w:val="auto"/>
        </w:rPr>
        <w:t>Campaigns by significant investors to effect changes at publicly traded companies have increased in recent years. In 2009, we entered into a letter agreement with our then-largest stockholder, pursuant to which we agreed to take certain actions related to our corporate governance. While we believe we have satisfied in full our obligations under such letter agreement, there can be no assurance that such stockholder and/or any other stockholder will not pursue actions to effect changes in our management and strategic direction, including through the solicitation of proxies from our stockholders. If a proxy contest were to be pursued by any stockholder, it could result in substantial expense to us, consume significant attention of our management and Board of Directors, and disrupt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or circumvention of our controls and procedures could impair our ability to report accurate financial results and could seriously harm our business.</w:t>
      </w:r>
    </w:p>
    <w:p>
      <w:pPr>
        <w:spacing w:after="0" w:line="189" w:lineRule="exact"/>
        <w:rPr>
          <w:sz w:val="20"/>
          <w:szCs w:val="20"/>
          <w:color w:val="auto"/>
        </w:rPr>
      </w:pPr>
    </w:p>
    <w:p>
      <w:pPr>
        <w:jc w:val="both"/>
        <w:ind w:firstLine="276"/>
        <w:spacing w:after="0" w:line="275" w:lineRule="auto"/>
        <w:rPr>
          <w:sz w:val="20"/>
          <w:szCs w:val="20"/>
          <w:color w:val="auto"/>
        </w:rPr>
      </w:pPr>
      <w:r>
        <w:rPr>
          <w:rFonts w:ascii="Arial" w:cs="Arial" w:eastAsia="Arial" w:hAnsi="Arial"/>
          <w:sz w:val="14"/>
          <w:szCs w:val="14"/>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results of operations and financial position.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business strategy related to product and maintenance offerings and pricing could affect revenue recognition.</w:t>
      </w:r>
    </w:p>
    <w:p>
      <w:pPr>
        <w:spacing w:after="0" w:line="189"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Our business strategy and competition within the industry could exert pricing pressure on our maintenance offerings. Changes in our product or maintenance offerings/packages and related pricing could affect the amount of revenue recognized in a reporting period.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212" w:lineRule="exact"/>
        <w:rPr>
          <w:sz w:val="20"/>
          <w:szCs w:val="20"/>
          <w:color w:val="auto"/>
        </w:rPr>
      </w:pPr>
    </w:p>
    <w:p>
      <w:pPr>
        <w:ind w:right="20" w:firstLine="276"/>
        <w:spacing w:after="0" w:line="290" w:lineRule="auto"/>
        <w:rPr>
          <w:sz w:val="20"/>
          <w:szCs w:val="20"/>
          <w:color w:val="auto"/>
        </w:rPr>
      </w:pPr>
      <w:r>
        <w:rPr>
          <w:rFonts w:ascii="Arial" w:cs="Arial" w:eastAsia="Arial" w:hAnsi="Arial"/>
          <w:sz w:val="13"/>
          <w:szCs w:val="13"/>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 For example, Accounting Standards Update 2009-13 will become effective for us in fiscal 2011. Although we do not expect the adoption of this standard to have a material impact on our financial statements, actual results may differ. In addition, the International Accounting Standards Board and Financial Accounting Standards Board joint project on a new revenue recognition standard is expected to be finalized in 2011 and could be effective for companies as early as 2014. We have not yet assessed the impact of adopting this potential new standard.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goodwill or intangible assets become impaired, we may be required to record a significant charge to earnings.</w:t>
      </w:r>
    </w:p>
    <w:p>
      <w:pPr>
        <w:spacing w:after="0" w:line="189" w:lineRule="exact"/>
        <w:rPr>
          <w:sz w:val="20"/>
          <w:szCs w:val="20"/>
          <w:color w:val="auto"/>
        </w:rPr>
      </w:pPr>
    </w:p>
    <w:p>
      <w:pPr>
        <w:ind w:right="20" w:firstLine="284"/>
        <w:spacing w:after="0" w:line="282" w:lineRule="auto"/>
        <w:rPr>
          <w:sz w:val="20"/>
          <w:szCs w:val="20"/>
          <w:color w:val="auto"/>
        </w:rPr>
      </w:pPr>
      <w:r>
        <w:rPr>
          <w:rFonts w:ascii="Arial" w:cs="Arial" w:eastAsia="Arial" w:hAnsi="Arial"/>
          <w:sz w:val="13"/>
          <w:szCs w:val="13"/>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 In connection with the preparation of our financial statements for the second and fourth quarters of fiscal 2008, we identified several impairment indicators related to the intangible assets and goodwill allocated to</w:t>
      </w:r>
    </w:p>
    <w:p>
      <w:pPr>
        <w:spacing w:after="0" w:line="2"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Zynetix Ltd. and the intangible assets allocated to Atreus Systems, Inc. and performed assessments of the carrying value of these assets. As a result of these assessments, we recorded impairment charges aggregating $6.3 million for the year ended December 31, 2008, of which $3.6 million was included as a component of Loss from discontinued operations in our consolidated statement of operations. We may be required to record a significant charge to earnings in our financial statements in future periods if any additional impairment of our intangible assets or goodwill is determined, negatively impacting our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hire and retain needed personnel, the implementation of our business plan could slow or our future growth could halt.</w:t>
      </w:r>
    </w:p>
    <w:p>
      <w:pPr>
        <w:spacing w:after="0" w:line="189" w:lineRule="exact"/>
        <w:rPr>
          <w:sz w:val="20"/>
          <w:szCs w:val="20"/>
          <w:color w:val="auto"/>
        </w:rPr>
      </w:pPr>
    </w:p>
    <w:p>
      <w:pPr>
        <w:ind w:right="60" w:firstLine="284"/>
        <w:spacing w:after="0" w:line="275" w:lineRule="auto"/>
        <w:rPr>
          <w:sz w:val="20"/>
          <w:szCs w:val="20"/>
          <w:color w:val="auto"/>
        </w:rPr>
      </w:pPr>
      <w:r>
        <w:rPr>
          <w:rFonts w:ascii="Arial" w:cs="Arial" w:eastAsia="Arial" w:hAnsi="Arial"/>
          <w:sz w:val="14"/>
          <w:szCs w:val="14"/>
          <w:color w:val="auto"/>
        </w:rPr>
        <w:t>Our business depends upon highly skilled technical, managerial, engineering, sales, marketing and customer support personnel. Competition for these personnel is intense, especially as the economy continues to recover.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jc w:val="both"/>
        <w:ind w:right="40" w:firstLine="284"/>
        <w:spacing w:after="0" w:line="305" w:lineRule="auto"/>
        <w:rPr>
          <w:sz w:val="20"/>
          <w:szCs w:val="20"/>
          <w:color w:val="auto"/>
        </w:rPr>
      </w:pPr>
      <w:r>
        <w:rPr>
          <w:rFonts w:ascii="Arial" w:cs="Arial" w:eastAsia="Arial" w:hAnsi="Arial"/>
          <w:sz w:val="13"/>
          <w:szCs w:val="13"/>
          <w:color w:val="auto"/>
        </w:rPr>
        <w:t>Our future success depends upon the continued services of our executive officers who have critical industry experience and relationships that we rely on to implement our business plan. With the exception of our key employees based in the European Union,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29" w:lineRule="exact"/>
        <w:rPr>
          <w:sz w:val="20"/>
          <w:szCs w:val="20"/>
          <w:color w:val="auto"/>
        </w:rPr>
      </w:pPr>
    </w:p>
    <w:p>
      <w:pPr>
        <w:ind w:right="320" w:firstLine="282"/>
        <w:spacing w:after="0" w:line="297" w:lineRule="auto"/>
        <w:rPr>
          <w:sz w:val="20"/>
          <w:szCs w:val="20"/>
          <w:color w:val="auto"/>
        </w:rPr>
      </w:pPr>
      <w:r>
        <w:rPr>
          <w:rFonts w:ascii="Arial" w:cs="Arial" w:eastAsia="Arial" w:hAnsi="Arial"/>
          <w:sz w:val="13"/>
          <w:szCs w:val="13"/>
          <w:color w:val="auto"/>
        </w:rPr>
        <w:t>We had four executive departures in fiscal 2010, including the departure of our Chief Operating Officer on December 30, 2010, our then-current President and Chief Executive Officer on October 12, 2010, our Vice President of Sales on September 30, 2010 and our then-current Chief Financial Officer on February 8, 2010. While we have since recruited executive officers to fill the positions of President and Chief Executive Officer, Chief Financial Officer and Chief Technology Officer, there is always a risk of uncertainty and instability relating to our ability to find highly qualified successors for certain executive positions and to transition the duties and responsibilities of any departing key executive in an orderly manner.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limited number of shares available to issue to our employees, which could impact our ability to attract, retain and motivate key personnel.</w:t>
      </w:r>
    </w:p>
    <w:p>
      <w:pPr>
        <w:spacing w:after="0" w:line="189" w:lineRule="exact"/>
        <w:rPr>
          <w:sz w:val="20"/>
          <w:szCs w:val="20"/>
          <w:color w:val="auto"/>
        </w:rPr>
      </w:pPr>
    </w:p>
    <w:p>
      <w:pPr>
        <w:ind w:firstLine="282"/>
        <w:spacing w:after="0" w:line="270" w:lineRule="auto"/>
        <w:rPr>
          <w:sz w:val="20"/>
          <w:szCs w:val="20"/>
          <w:color w:val="auto"/>
        </w:rPr>
      </w:pPr>
      <w:r>
        <w:rPr>
          <w:rFonts w:ascii="Arial" w:cs="Arial" w:eastAsia="Arial" w:hAnsi="Arial"/>
          <w:sz w:val="14"/>
          <w:szCs w:val="14"/>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stock incentive plan, which includes a limited amount of shares to be granted under such plan. It is not certain that our stockholders will approve an increase in the number of shares that we are authorized to issue under the stock incentive plan. The limited number of shares available for use as equity incentives to employees may make it more difficult for us to attract, retain and motivate key personnel.</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activities could adversely affect our ability to execute our business strategy.</w:t>
      </w:r>
    </w:p>
    <w:p>
      <w:pPr>
        <w:spacing w:after="0" w:line="189" w:lineRule="exact"/>
        <w:rPr>
          <w:sz w:val="20"/>
          <w:szCs w:val="20"/>
          <w:color w:val="auto"/>
        </w:rPr>
      </w:pPr>
    </w:p>
    <w:p>
      <w:pPr>
        <w:ind w:right="100" w:firstLine="284"/>
        <w:spacing w:after="0" w:line="275" w:lineRule="auto"/>
        <w:rPr>
          <w:sz w:val="20"/>
          <w:szCs w:val="20"/>
          <w:color w:val="auto"/>
        </w:rPr>
      </w:pPr>
      <w:r>
        <w:rPr>
          <w:rFonts w:ascii="Arial" w:cs="Arial" w:eastAsia="Arial" w:hAnsi="Arial"/>
          <w:sz w:val="14"/>
          <w:szCs w:val="14"/>
          <w:color w:val="auto"/>
        </w:rPr>
        <w:t>During fiscal 2008, 2009 and 2010 we had a number of restructuring activities. These restructurings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w:t>
      </w:r>
    </w:p>
    <w:p>
      <w:pPr>
        <w:spacing w:after="0" w:line="157" w:lineRule="exact"/>
        <w:rPr>
          <w:sz w:val="20"/>
          <w:szCs w:val="20"/>
          <w:color w:val="auto"/>
        </w:rPr>
      </w:pPr>
    </w:p>
    <w:p>
      <w:pPr>
        <w:ind w:left="880" w:hanging="435"/>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 of key employees;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diversion of management's attention from normal daily operations of the business;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diminished ability to respond to customer requirements related to both products and services;</w:t>
      </w:r>
    </w:p>
    <w:p>
      <w:pPr>
        <w:spacing w:after="0" w:line="199" w:lineRule="exact"/>
        <w:rPr>
          <w:rFonts w:ascii="Arial" w:cs="Arial" w:eastAsia="Arial" w:hAnsi="Arial"/>
          <w:sz w:val="14"/>
          <w:szCs w:val="14"/>
          <w:color w:val="auto"/>
        </w:rPr>
      </w:pPr>
    </w:p>
    <w:p>
      <w:pPr>
        <w:ind w:left="880" w:right="340" w:hanging="435"/>
        <w:spacing w:after="0" w:line="289" w:lineRule="auto"/>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disruption of our engineering and manufacturing processes, which could adversely affect our ability to introduce new products and to deliver products both on a timely basis and in accordance with the highest quality standards; and/or</w:t>
      </w:r>
    </w:p>
    <w:p>
      <w:pPr>
        <w:spacing w:after="0" w:line="158" w:lineRule="exact"/>
        <w:rPr>
          <w:rFonts w:ascii="Arial" w:cs="Arial" w:eastAsia="Arial" w:hAnsi="Arial"/>
          <w:sz w:val="14"/>
          <w:szCs w:val="14"/>
          <w:color w:val="auto"/>
        </w:rPr>
      </w:pPr>
    </w:p>
    <w:p>
      <w:pPr>
        <w:ind w:left="880" w:hanging="435"/>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reduced ability to execute effectively internal administrative processes, including the implementation of key information technology programs.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subject to employment claims, we could incur substantial costs in defending ourselves.</w:t>
      </w:r>
    </w:p>
    <w:p>
      <w:pPr>
        <w:spacing w:after="0" w:line="189" w:lineRule="exact"/>
        <w:rPr>
          <w:sz w:val="20"/>
          <w:szCs w:val="20"/>
          <w:color w:val="auto"/>
        </w:rPr>
      </w:pPr>
    </w:p>
    <w:p>
      <w:pPr>
        <w:jc w:val="both"/>
        <w:ind w:right="220" w:firstLine="282"/>
        <w:spacing w:after="0" w:line="275" w:lineRule="auto"/>
        <w:rPr>
          <w:sz w:val="20"/>
          <w:szCs w:val="20"/>
          <w:color w:val="auto"/>
        </w:rPr>
      </w:pPr>
      <w:r>
        <w:rPr>
          <w:rFonts w:ascii="Arial" w:cs="Arial" w:eastAsia="Arial" w:hAnsi="Arial"/>
          <w:sz w:val="14"/>
          <w:szCs w:val="14"/>
          <w:color w:val="auto"/>
        </w:rPr>
        <w:t>We may be subject to employment claims in connection with employee terminations. In addition, companies in our industry whose employees accept positions with competitors may claim that their competitors have engaged in unfair hiring practices. These claims may result in material litigation. We could incur substantial costs defending ourselves or our employees against those claims, regardless of</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their merits. In addition, defending ourselves from those types of claims could divert our management's attention from our operations. The cost of employment claims may also increase as a result of our increasing international expansion. If we are found liable in connection with any employment claim, we may incur significant costs that could adversely impact our financial position and results of operations.</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4"/>
          <w:szCs w:val="14"/>
          <w:b w:val="1"/>
          <w:bCs w:val="1"/>
          <w:i w:val="1"/>
          <w:iCs w:val="1"/>
          <w:color w:val="auto"/>
        </w:rPr>
        <w:t>We depend upon a single contract manufacturer and any disruption in this relationship may cause us to fail to meet the demands of our customers and damage our customer relationships. Additionally, in the event we elect to change our manufacturer, qualifying a new contract manufacturer and commencing commercial scale production are expensive and time-consuming activities and could affect our business.</w:t>
      </w:r>
    </w:p>
    <w:p>
      <w:pPr>
        <w:spacing w:after="0" w:line="146" w:lineRule="exact"/>
        <w:rPr>
          <w:sz w:val="20"/>
          <w:szCs w:val="20"/>
          <w:color w:val="auto"/>
        </w:rPr>
      </w:pPr>
    </w:p>
    <w:p>
      <w:pPr>
        <w:ind w:firstLine="282"/>
        <w:spacing w:after="0" w:line="264" w:lineRule="auto"/>
        <w:rPr>
          <w:sz w:val="20"/>
          <w:szCs w:val="20"/>
          <w:color w:val="auto"/>
        </w:rPr>
      </w:pPr>
      <w:r>
        <w:rPr>
          <w:rFonts w:ascii="Arial" w:cs="Arial" w:eastAsia="Arial" w:hAnsi="Arial"/>
          <w:sz w:val="14"/>
          <w:szCs w:val="14"/>
          <w:color w:val="auto"/>
        </w:rPr>
        <w:t>We rely on a contract manufacturer to manufacture our products according to our specifications and to fulfill orders on a timely basis. Reliance on a third-party manufacturer involves a number of risks, including a lack of control over the manufacturing process and the potential absence or unavailability of adequate capacity. Our contract manufacturer provides comprehensive manufacturing services, including assembly and certain tests of our products and procurement of materials. Our contract manufacturer also builds products for other companies and may not always have sufficient quantities of inventory available to fulfill our orders or may not allocate their internal resources to fulfill these orders on a timely basis. We neither have a long-term supply contract with our manufacturer nor internal manufacturing capabilities to meet our customers' demands. Moreover, our manufacturer is not required to manufacture products for any specified period. In the event we elect to change our manufacturer, qualifying a new contract manufacturer and commencing commercial scale production are expensive and time-consuming activities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57"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7" w:lineRule="exact"/>
        <w:rPr>
          <w:sz w:val="20"/>
          <w:szCs w:val="20"/>
          <w:color w:val="auto"/>
        </w:rPr>
      </w:pPr>
    </w:p>
    <w:p>
      <w:pPr>
        <w:ind w:firstLine="282"/>
        <w:spacing w:after="0" w:line="285" w:lineRule="auto"/>
        <w:rPr>
          <w:sz w:val="20"/>
          <w:szCs w:val="20"/>
          <w:color w:val="auto"/>
        </w:rPr>
      </w:pPr>
      <w:r>
        <w:rPr>
          <w:rFonts w:ascii="Arial" w:cs="Arial" w:eastAsia="Arial" w:hAnsi="Arial"/>
          <w:sz w:val="13"/>
          <w:szCs w:val="13"/>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 Moreover, we cannot be certain or provide any assurance that our contract manufacturer will accept any or all of the purchase orders and agree to supply any or all of the quantities requested. Additionally, if our contract manufacturer underestimates our requirements, they may not have an adequate supply, which could interrupt manufacturing of our products and result in delays in shipments. If any of our sole or limited source suppliers experience capacity constraints, work stoppages or other reductions or disruptions in output, they may not be able to meet, or may choose not to meet, our delivery schedules. In light of the continuing downturn in the global economic conditions, there is also a risk that our distributors could experience interruptions in production or operations or alter our current arrangements. If our supply of any key components is disrupted, we may be unable to deliver our products to our customers on a timely basis, which could result in lost or delayed revenue, injury to our reputation, increased manufacturing costs and exposure to claims by our customers. Even if alternate suppliers are available, we may have difficulty identifying them in a timely manner, incur significant additional expense in changing suppliers, and experience difficulties or delays in the manufacturing of our products. Any failure to meet our customers' delivery requirements could harm our reputation and may have a material adverse effect on our consolidated financial position, results of operations, or cash flows.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firstLine="282"/>
        <w:spacing w:after="0" w:line="265" w:lineRule="auto"/>
        <w:rPr>
          <w:sz w:val="20"/>
          <w:szCs w:val="20"/>
          <w:color w:val="auto"/>
        </w:rPr>
      </w:pPr>
      <w:r>
        <w:rPr>
          <w:rFonts w:ascii="Arial" w:cs="Arial" w:eastAsia="Arial" w:hAnsi="Arial"/>
          <w:sz w:val="14"/>
          <w:szCs w:val="14"/>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legal action by our customers, loss of customers or harm our ability to attract new customers. Additionally, any unforeseen price increases could reduce our profitability or force us to increase our prices, which could result in a loss of customers or harm our ability to attract new customers.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by our strategic partners or by us in integrating products provided by our strategic partners could seriously harm our business.</w:t>
      </w:r>
    </w:p>
    <w:p>
      <w:pPr>
        <w:spacing w:after="0" w:line="189" w:lineRule="exact"/>
        <w:rPr>
          <w:sz w:val="20"/>
          <w:szCs w:val="20"/>
          <w:color w:val="auto"/>
        </w:rPr>
      </w:pPr>
    </w:p>
    <w:p>
      <w:pPr>
        <w:jc w:val="both"/>
        <w:ind w:right="200" w:firstLine="284"/>
        <w:spacing w:after="0" w:line="341" w:lineRule="auto"/>
        <w:rPr>
          <w:sz w:val="20"/>
          <w:szCs w:val="20"/>
          <w:color w:val="auto"/>
        </w:rPr>
      </w:pPr>
      <w:r>
        <w:rPr>
          <w:rFonts w:ascii="Arial" w:cs="Arial" w:eastAsia="Arial" w:hAnsi="Arial"/>
          <w:sz w:val="12"/>
          <w:szCs w:val="12"/>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if the services provided by these partners are not completed in a timely manner, or if we do not effectively integrate and support products supplied by these strategic partners, then we may have difficulty with the deployment of our solutions that may result in:</w:t>
      </w:r>
    </w:p>
    <w:p>
      <w:pPr>
        <w:spacing w:after="0" w:line="122" w:lineRule="exact"/>
        <w:rPr>
          <w:sz w:val="20"/>
          <w:szCs w:val="20"/>
          <w:color w:val="auto"/>
        </w:rPr>
      </w:pPr>
    </w:p>
    <w:p>
      <w:pPr>
        <w:ind w:left="880" w:hanging="435"/>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loss of, or delay in, revenues;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increased service, support and warranty costs and a diversion of development resources;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network performance penalties.</w:t>
      </w:r>
    </w:p>
    <w:p>
      <w:pPr>
        <w:spacing w:after="0" w:line="189" w:lineRule="exact"/>
        <w:rPr>
          <w:sz w:val="20"/>
          <w:szCs w:val="20"/>
          <w:color w:val="auto"/>
        </w:rPr>
      </w:pPr>
    </w:p>
    <w:p>
      <w:pPr>
        <w:ind w:right="360" w:firstLine="284"/>
        <w:spacing w:after="0" w:line="289" w:lineRule="auto"/>
        <w:rPr>
          <w:sz w:val="20"/>
          <w:szCs w:val="20"/>
          <w:color w:val="auto"/>
        </w:rPr>
      </w:pPr>
      <w:r>
        <w:rPr>
          <w:rFonts w:ascii="Arial" w:cs="Arial" w:eastAsia="Arial" w:hAnsi="Arial"/>
          <w:sz w:val="14"/>
          <w:szCs w:val="14"/>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48" w:lineRule="exact"/>
        <w:rPr>
          <w:sz w:val="20"/>
          <w:szCs w:val="20"/>
          <w:color w:val="auto"/>
        </w:rPr>
      </w:pPr>
    </w:p>
    <w:p>
      <w:pPr>
        <w:ind w:left="880" w:hanging="435"/>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loss of customers and market share; and</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failure to attract new customers or achieve market acceptance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or acquisitions we make could disrupt our business and seriously harm our financial condition.</w:t>
      </w:r>
    </w:p>
    <w:p>
      <w:pPr>
        <w:spacing w:after="0" w:line="189" w:lineRule="exact"/>
        <w:rPr>
          <w:sz w:val="20"/>
          <w:szCs w:val="20"/>
          <w:color w:val="auto"/>
        </w:rPr>
      </w:pPr>
    </w:p>
    <w:p>
      <w:pPr>
        <w:ind w:right="500" w:firstLine="284"/>
        <w:spacing w:after="0" w:line="289" w:lineRule="auto"/>
        <w:rPr>
          <w:sz w:val="20"/>
          <w:szCs w:val="20"/>
          <w:color w:val="auto"/>
        </w:rPr>
      </w:pPr>
      <w:r>
        <w:rPr>
          <w:rFonts w:ascii="Arial" w:cs="Arial" w:eastAsia="Arial" w:hAnsi="Arial"/>
          <w:sz w:val="14"/>
          <w:szCs w:val="14"/>
          <w:color w:val="auto"/>
        </w:rPr>
        <w:t>In addition to investing in organic growth, we will consider other compelling opportunities to deliver greater shareholder value, if and when such opportunities arise. In the event of future investments or acquisitions, we could:</w:t>
      </w:r>
    </w:p>
    <w:p>
      <w:pPr>
        <w:spacing w:after="0" w:line="148" w:lineRule="exact"/>
        <w:rPr>
          <w:sz w:val="20"/>
          <w:szCs w:val="20"/>
          <w:color w:val="auto"/>
        </w:rPr>
      </w:pPr>
    </w:p>
    <w:p>
      <w:pPr>
        <w:ind w:left="880" w:hanging="435"/>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issue stock that would dilute our current stockholders' percentage ownership;</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reduce significantly our cash and investments;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debt or assume liabilities;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significant impairment charges related to the write-off of goodwill and intangible assets;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significant amortization expenses related to intangible assets; and/or</w:t>
      </w:r>
    </w:p>
    <w:p>
      <w:pPr>
        <w:spacing w:after="0" w:line="210" w:lineRule="exact"/>
        <w:rPr>
          <w:rFonts w:ascii="Arial" w:cs="Arial" w:eastAsia="Arial" w:hAnsi="Arial"/>
          <w:sz w:val="14"/>
          <w:szCs w:val="14"/>
          <w:color w:val="auto"/>
        </w:rPr>
      </w:pPr>
    </w:p>
    <w:p>
      <w:pPr>
        <w:ind w:left="5660" w:right="4300" w:hanging="5215"/>
        <w:spacing w:after="0" w:line="550" w:lineRule="auto"/>
        <w:tabs>
          <w:tab w:leader="none" w:pos="879"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large and immediate write-offs for in-process research and development and stock-based compensation.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27837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00"/>
          </w:cols>
          <w:pgMar w:left="220" w:top="132"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integration of any acquired products, technologies or businesses could also involve numerous risks, including:</w:t>
      </w:r>
    </w:p>
    <w:p>
      <w:pPr>
        <w:spacing w:after="0" w:line="200" w:lineRule="exact"/>
        <w:rPr>
          <w:sz w:val="20"/>
          <w:szCs w:val="20"/>
          <w:color w:val="auto"/>
        </w:rPr>
      </w:pPr>
    </w:p>
    <w:p>
      <w:pPr>
        <w:ind w:left="880" w:hanging="435"/>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problems and unanticipated costs associated with combining the purchased products, technologies or businesses;</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diversion of management's attention from our core business;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adverse effects on existing business relationships with suppliers and customers;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risks associated with entering markets in which we have limited or no prior experience;</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potential loss of key employees, particularly those of the acquired organizations;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integration of internal controls and financial systems.</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may be unable to successfully integrate any products, technologies, businesses or personnel that we might acquire in the future without significant costs or disruption to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fluctuations in currency exchange rates that could negatively impact our financial results and cash flows.</w:t>
      </w:r>
    </w:p>
    <w:p>
      <w:pPr>
        <w:spacing w:after="0" w:line="189"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in the telecommunications industry could harm our business.</w:t>
      </w:r>
    </w:p>
    <w:p>
      <w:pPr>
        <w:spacing w:after="0" w:line="189" w:lineRule="exact"/>
        <w:rPr>
          <w:sz w:val="20"/>
          <w:szCs w:val="20"/>
          <w:color w:val="auto"/>
        </w:rPr>
      </w:pPr>
    </w:p>
    <w:p>
      <w:pPr>
        <w:ind w:right="140" w:firstLine="282"/>
        <w:spacing w:after="0" w:line="275" w:lineRule="auto"/>
        <w:rPr>
          <w:sz w:val="20"/>
          <w:szCs w:val="20"/>
          <w:color w:val="auto"/>
        </w:rPr>
      </w:pPr>
      <w:r>
        <w:rPr>
          <w:rFonts w:ascii="Arial" w:cs="Arial" w:eastAsia="Arial" w:hAnsi="Arial"/>
          <w:sz w:val="14"/>
          <w:szCs w:val="14"/>
          <w:color w:val="auto"/>
        </w:rPr>
        <w:t>The telecommunications industry has experienced consolidation and we expect this trend to continue. Consolidation among our customers may cause delays or reductions in capital expenditure plans and/or increased competitive pricing pressures as the number of available customers declines and their relative purchasing power increases in relation to suppliers. Any of these factors could adversely affect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 of the telecommunications industry could harm our operating results and future prospects.</w:t>
      </w:r>
    </w:p>
    <w:p>
      <w:pPr>
        <w:spacing w:after="0" w:line="189" w:lineRule="exact"/>
        <w:rPr>
          <w:sz w:val="20"/>
          <w:szCs w:val="20"/>
          <w:color w:val="auto"/>
        </w:rPr>
      </w:pPr>
    </w:p>
    <w:p>
      <w:pPr>
        <w:ind w:right="120" w:firstLine="282"/>
        <w:spacing w:after="0" w:line="267" w:lineRule="auto"/>
        <w:rPr>
          <w:sz w:val="20"/>
          <w:szCs w:val="20"/>
          <w:color w:val="auto"/>
        </w:rPr>
      </w:pPr>
      <w:r>
        <w:rPr>
          <w:rFonts w:ascii="Arial" w:cs="Arial" w:eastAsia="Arial" w:hAnsi="Arial"/>
          <w:sz w:val="14"/>
          <w:szCs w:val="14"/>
          <w:color w:val="auto"/>
        </w:rPr>
        <w:t>The telecommunications industry is highly regulated and our business and financial condition could be adversely affected by the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operating results and financial position.</w:t>
      </w:r>
    </w:p>
    <w:p>
      <w:pPr>
        <w:spacing w:after="0" w:line="150"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None.</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80"/>
          </w:cols>
          <w:pgMar w:left="220" w:top="132" w:right="29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93" w:lineRule="exact"/>
        <w:rPr>
          <w:sz w:val="20"/>
          <w:szCs w:val="20"/>
          <w:color w:val="auto"/>
        </w:rPr>
      </w:pPr>
    </w:p>
    <w:p>
      <w:pPr>
        <w:ind w:right="480" w:firstLine="284"/>
        <w:spacing w:after="0" w:line="289" w:lineRule="auto"/>
        <w:rPr>
          <w:sz w:val="20"/>
          <w:szCs w:val="20"/>
          <w:color w:val="auto"/>
        </w:rPr>
      </w:pPr>
      <w:r>
        <w:rPr>
          <w:rFonts w:ascii="Arial" w:cs="Arial" w:eastAsia="Arial" w:hAnsi="Arial"/>
          <w:sz w:val="14"/>
          <w:szCs w:val="14"/>
          <w:color w:val="auto"/>
        </w:rPr>
        <w:t>Our corporate headquarters is located in a leased facility in Westford, Massachusetts, consisting of 97,500 square feet under a lease that expires in August 2018. In addition to our corporate headquarters, we maintained, as of December 31, 2010, the following active facilities: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0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880" w:type="dxa"/>
            <w:vAlign w:val="bottom"/>
          </w:tcPr>
          <w:p>
            <w:pPr>
              <w:spacing w:after="0"/>
              <w:rPr>
                <w:sz w:val="11"/>
                <w:szCs w:val="11"/>
                <w:color w:val="auto"/>
              </w:rPr>
            </w:pPr>
          </w:p>
        </w:tc>
        <w:tc>
          <w:tcPr>
            <w:tcW w:w="3660" w:type="dxa"/>
            <w:vAlign w:val="bottom"/>
          </w:tcPr>
          <w:p>
            <w:pPr>
              <w:ind w:left="1540"/>
              <w:spacing w:after="0"/>
              <w:rPr>
                <w:sz w:val="20"/>
                <w:szCs w:val="20"/>
                <w:color w:val="auto"/>
              </w:rPr>
            </w:pPr>
            <w:r>
              <w:rPr>
                <w:rFonts w:ascii="Arial" w:cs="Arial" w:eastAsia="Arial" w:hAnsi="Arial"/>
                <w:sz w:val="11"/>
                <w:szCs w:val="11"/>
                <w:b w:val="1"/>
                <w:bCs w:val="1"/>
                <w:color w:val="auto"/>
              </w:rPr>
              <w:t>Principal use</w:t>
            </w:r>
          </w:p>
        </w:tc>
        <w:tc>
          <w:tcPr>
            <w:tcW w:w="220" w:type="dxa"/>
            <w:vAlign w:val="bottom"/>
          </w:tcPr>
          <w:p>
            <w:pPr>
              <w:spacing w:after="0"/>
              <w:rPr>
                <w:sz w:val="11"/>
                <w:szCs w:val="11"/>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Square footage (approximate)</w:t>
            </w:r>
          </w:p>
        </w:tc>
        <w:tc>
          <w:tcPr>
            <w:tcW w:w="60" w:type="dxa"/>
            <w:vAlign w:val="bottom"/>
          </w:tcPr>
          <w:p>
            <w:pPr>
              <w:spacing w:after="0"/>
              <w:rPr>
                <w:sz w:val="11"/>
                <w:szCs w:val="11"/>
                <w:color w:val="auto"/>
              </w:rPr>
            </w:pPr>
          </w:p>
        </w:tc>
        <w:tc>
          <w:tcPr>
            <w:tcW w:w="1700" w:type="dxa"/>
            <w:vAlign w:val="bottom"/>
          </w:tcPr>
          <w:p>
            <w:pPr>
              <w:ind w:left="460"/>
              <w:spacing w:after="0"/>
              <w:rPr>
                <w:sz w:val="20"/>
                <w:szCs w:val="20"/>
                <w:color w:val="auto"/>
              </w:rPr>
            </w:pPr>
            <w:r>
              <w:rPr>
                <w:rFonts w:ascii="Arial" w:cs="Arial" w:eastAsia="Arial" w:hAnsi="Arial"/>
                <w:sz w:val="11"/>
                <w:szCs w:val="11"/>
                <w:b w:val="1"/>
                <w:bCs w:val="1"/>
                <w:color w:val="auto"/>
              </w:rPr>
              <w:t>Lease 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Bangalore, India</w:t>
            </w:r>
          </w:p>
        </w:tc>
        <w:tc>
          <w:tcPr>
            <w:tcW w:w="45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Engineering/development</w:t>
            </w:r>
          </w:p>
        </w:tc>
        <w:tc>
          <w:tcPr>
            <w:tcW w:w="21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164,000*</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April 2012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Freehold, New Jersey</w:t>
            </w:r>
          </w:p>
        </w:tc>
        <w:tc>
          <w:tcPr>
            <w:tcW w:w="4540" w:type="dxa"/>
            <w:vAlign w:val="bottom"/>
            <w:gridSpan w:val="2"/>
          </w:tcPr>
          <w:p>
            <w:pPr>
              <w:ind w:left="880"/>
              <w:spacing w:after="0"/>
              <w:rPr>
                <w:sz w:val="20"/>
                <w:szCs w:val="20"/>
                <w:color w:val="auto"/>
              </w:rPr>
            </w:pPr>
            <w:r>
              <w:rPr>
                <w:rFonts w:ascii="Arial" w:cs="Arial" w:eastAsia="Arial" w:hAnsi="Arial"/>
                <w:sz w:val="14"/>
                <w:szCs w:val="14"/>
                <w:color w:val="auto"/>
              </w:rPr>
              <w:t>Engineering/development</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28,500</w:t>
            </w:r>
          </w:p>
        </w:tc>
        <w:tc>
          <w:tcPr>
            <w:tcW w:w="160" w:type="dxa"/>
            <w:vAlign w:val="bottom"/>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February 2016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Richardson, Texas</w:t>
            </w:r>
          </w:p>
        </w:tc>
        <w:tc>
          <w:tcPr>
            <w:tcW w:w="45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Customer support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18,700</w:t>
            </w:r>
          </w:p>
        </w:tc>
        <w:tc>
          <w:tcPr>
            <w:tcW w:w="1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January 2015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Swindon, United Kingdom</w:t>
            </w:r>
          </w:p>
        </w:tc>
        <w:tc>
          <w:tcPr>
            <w:tcW w:w="4540" w:type="dxa"/>
            <w:vAlign w:val="bottom"/>
            <w:gridSpan w:val="2"/>
          </w:tcPr>
          <w:p>
            <w:pPr>
              <w:ind w:left="880"/>
              <w:spacing w:after="0"/>
              <w:rPr>
                <w:sz w:val="20"/>
                <w:szCs w:val="20"/>
                <w:color w:val="auto"/>
              </w:rPr>
            </w:pPr>
            <w:r>
              <w:rPr>
                <w:rFonts w:ascii="Arial" w:cs="Arial" w:eastAsia="Arial" w:hAnsi="Arial"/>
                <w:sz w:val="14"/>
                <w:szCs w:val="14"/>
                <w:color w:val="auto"/>
              </w:rPr>
              <w:t>Engineering/development</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10,100</w:t>
            </w:r>
          </w:p>
        </w:tc>
        <w:tc>
          <w:tcPr>
            <w:tcW w:w="160" w:type="dxa"/>
            <w:vAlign w:val="bottom"/>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June 2011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Tokyo, Japan</w:t>
            </w:r>
          </w:p>
        </w:tc>
        <w:tc>
          <w:tcPr>
            <w:tcW w:w="45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Sales and customer support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7,200</w:t>
            </w:r>
          </w:p>
        </w:tc>
        <w:tc>
          <w:tcPr>
            <w:tcW w:w="1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September 2011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Staines, United Kingdom</w:t>
            </w:r>
          </w:p>
        </w:tc>
        <w:tc>
          <w:tcPr>
            <w:tcW w:w="4540" w:type="dxa"/>
            <w:vAlign w:val="bottom"/>
            <w:gridSpan w:val="2"/>
          </w:tcPr>
          <w:p>
            <w:pPr>
              <w:ind w:left="880"/>
              <w:spacing w:after="0"/>
              <w:rPr>
                <w:sz w:val="20"/>
                <w:szCs w:val="20"/>
                <w:color w:val="auto"/>
              </w:rPr>
            </w:pPr>
            <w:r>
              <w:rPr>
                <w:rFonts w:ascii="Arial" w:cs="Arial" w:eastAsia="Arial" w:hAnsi="Arial"/>
                <w:sz w:val="14"/>
                <w:szCs w:val="14"/>
                <w:color w:val="auto"/>
              </w:rPr>
              <w:t>Sales and customer support</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4,300</w:t>
            </w:r>
          </w:p>
        </w:tc>
        <w:tc>
          <w:tcPr>
            <w:tcW w:w="160" w:type="dxa"/>
            <w:vAlign w:val="bottom"/>
          </w:tcPr>
          <w:p>
            <w:pPr>
              <w:spacing w:after="0"/>
              <w:rPr>
                <w:sz w:val="15"/>
                <w:szCs w:val="15"/>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November 2012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Darmstadt, Germany</w:t>
            </w:r>
          </w:p>
        </w:tc>
        <w:tc>
          <w:tcPr>
            <w:tcW w:w="45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Sales and customer support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October 2012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40" w:hanging="433"/>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facilities are being consolidated into a single location. As a result, the Company will occupy approximately 70,000 square feet in India in fiscal 2011.</w:t>
      </w:r>
    </w:p>
    <w:p>
      <w:pPr>
        <w:spacing w:after="0" w:line="189" w:lineRule="exact"/>
        <w:rPr>
          <w:sz w:val="20"/>
          <w:szCs w:val="20"/>
          <w:color w:val="auto"/>
        </w:rPr>
      </w:pPr>
    </w:p>
    <w:p>
      <w:pPr>
        <w:ind w:firstLine="276"/>
        <w:spacing w:after="0" w:line="289" w:lineRule="auto"/>
        <w:rPr>
          <w:sz w:val="20"/>
          <w:szCs w:val="20"/>
          <w:color w:val="auto"/>
        </w:rPr>
      </w:pPr>
      <w:r>
        <w:rPr>
          <w:rFonts w:ascii="Arial" w:cs="Arial" w:eastAsia="Arial" w:hAnsi="Arial"/>
          <w:sz w:val="14"/>
          <w:szCs w:val="14"/>
          <w:color w:val="auto"/>
        </w:rPr>
        <w:t>As of December 31, 2010, we also leased short-term office space in Colorado, China, Czech Republic, France, Mexico and the United Arab Emirates. We believe our existing facilities are adequate for our current needs and that suitable additional space will be available as needed.</w:t>
      </w:r>
    </w:p>
    <w:p>
      <w:pPr>
        <w:spacing w:after="0" w:line="13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2001 IPO Litigation</w:t>
      </w:r>
    </w:p>
    <w:p>
      <w:pPr>
        <w:spacing w:after="0" w:line="193" w:lineRule="exact"/>
        <w:rPr>
          <w:sz w:val="20"/>
          <w:szCs w:val="20"/>
          <w:color w:val="auto"/>
        </w:rPr>
      </w:pPr>
    </w:p>
    <w:p>
      <w:pPr>
        <w:ind w:firstLine="284"/>
        <w:spacing w:after="0" w:line="264" w:lineRule="auto"/>
        <w:rPr>
          <w:sz w:val="20"/>
          <w:szCs w:val="20"/>
          <w:color w:val="auto"/>
        </w:rPr>
      </w:pPr>
      <w:r>
        <w:rPr>
          <w:rFonts w:ascii="Arial" w:cs="Arial" w:eastAsia="Arial" w:hAnsi="Arial"/>
          <w:sz w:val="14"/>
          <w:szCs w:val="14"/>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The amended complaint, filed in April 2002,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55" w:lineRule="exact"/>
        <w:rPr>
          <w:sz w:val="20"/>
          <w:szCs w:val="20"/>
          <w:color w:val="auto"/>
        </w:rPr>
      </w:pPr>
    </w:p>
    <w:p>
      <w:pPr>
        <w:ind w:right="40" w:firstLine="284"/>
        <w:spacing w:after="0" w:line="270" w:lineRule="auto"/>
        <w:rPr>
          <w:sz w:val="20"/>
          <w:szCs w:val="20"/>
          <w:color w:val="auto"/>
        </w:rPr>
      </w:pPr>
      <w:r>
        <w:rPr>
          <w:rFonts w:ascii="Arial" w:cs="Arial" w:eastAsia="Arial" w:hAnsi="Arial"/>
          <w:sz w:val="14"/>
          <w:szCs w:val="14"/>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October 2004, the District Court certified the class in a case against certain defendants. On August 31, 2005, the District Court approved the terms of the proposed settlement.</w:t>
      </w:r>
    </w:p>
    <w:p>
      <w:pPr>
        <w:spacing w:after="0" w:line="189" w:lineRule="exact"/>
        <w:rPr>
          <w:sz w:val="20"/>
          <w:szCs w:val="20"/>
          <w:color w:val="auto"/>
        </w:rPr>
      </w:pPr>
    </w:p>
    <w:p>
      <w:pPr>
        <w:ind w:right="40" w:firstLine="284"/>
        <w:spacing w:after="0" w:line="275" w:lineRule="auto"/>
        <w:rPr>
          <w:sz w:val="20"/>
          <w:szCs w:val="20"/>
          <w:color w:val="auto"/>
        </w:rPr>
      </w:pPr>
      <w:r>
        <w:rPr>
          <w:rFonts w:ascii="Arial" w:cs="Arial" w:eastAsia="Arial" w:hAnsi="Arial"/>
          <w:sz w:val="14"/>
          <w:szCs w:val="14"/>
          <w:color w:val="auto"/>
        </w:rPr>
        <w:t>On December 5, 2006, the United States Court of Appeals for the Second Circuit (the "Second Circuit") reversed the District Court's October 2004 order certifying a class. On October 5, 2009, the District Court issued an opinion granting the plaintiffs' motion for final approval of a new settlement, approval of the plan of distribution of the settlement fund and certification of the settlement classes. An Order and Final Judgment was entered on January 14, 2010.</w:t>
      </w:r>
    </w:p>
    <w:p>
      <w:pPr>
        <w:spacing w:after="0" w:line="146" w:lineRule="exact"/>
        <w:rPr>
          <w:sz w:val="20"/>
          <w:szCs w:val="20"/>
          <w:color w:val="auto"/>
        </w:rPr>
      </w:pPr>
    </w:p>
    <w:p>
      <w:pPr>
        <w:ind w:firstLine="284"/>
        <w:spacing w:after="0" w:line="267" w:lineRule="auto"/>
        <w:rPr>
          <w:sz w:val="20"/>
          <w:szCs w:val="20"/>
          <w:color w:val="auto"/>
        </w:rPr>
      </w:pPr>
      <w:r>
        <w:rPr>
          <w:rFonts w:ascii="Arial" w:cs="Arial" w:eastAsia="Arial" w:hAnsi="Arial"/>
          <w:sz w:val="14"/>
          <w:szCs w:val="14"/>
          <w:color w:val="auto"/>
        </w:rPr>
        <w:t>On October 7, 2010, all but two parties who had filed a notice of appeal filed a stipulation with the Second Circuit withdrawing their appeals with prejudice, and one of the remaining objectors filed a brief in support of his appeal. On December 8, 2010, plaintiffs moved to dismiss with prejudice the appeal filed by one of the two appellants based on alleged violations of the Second Circuit's rules, including failure to serve, falsifying proofs of service, and failure to include citations to the record. The motion was fully briefed as of December 30, 2010, but the Second Circuit has not yet ruled on the motion. The filing of plaintiffs' motion tolled the deadline for appellees to file answering briefs on both appeals. If the District Court's order is upheld on appeal, the Company would have no material liability in connection with this litigation, and this litigation would be resolved.</w:t>
      </w:r>
    </w:p>
    <w:p>
      <w:pPr>
        <w:spacing w:after="0" w:line="154" w:lineRule="exact"/>
        <w:rPr>
          <w:sz w:val="20"/>
          <w:szCs w:val="20"/>
          <w:color w:val="auto"/>
        </w:rPr>
      </w:pPr>
    </w:p>
    <w:p>
      <w:pPr>
        <w:ind w:right="120" w:firstLine="284"/>
        <w:spacing w:after="0" w:line="265" w:lineRule="auto"/>
        <w:rPr>
          <w:sz w:val="20"/>
          <w:szCs w:val="20"/>
          <w:color w:val="auto"/>
        </w:rPr>
      </w:pPr>
      <w:r>
        <w:rPr>
          <w:rFonts w:ascii="Arial" w:cs="Arial" w:eastAsia="Arial" w:hAnsi="Arial"/>
          <w:sz w:val="14"/>
          <w:szCs w:val="14"/>
          <w:color w:val="auto"/>
        </w:rPr>
        <w:t>On October 5, 2007, Vanessa Simmonds, a purported shareholder, filed a complaint in the United States District Court for the Western District of Washington (the "Western District Court") for recovery of short-swing profits under Section 16(b) of the Exchange Act against the underwriters of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On March 12, 2009, the Western District Court entered its judgment in the case and granted the moving issuers' motion to dismiss, finding plaintiff's demand letters were insufficient to put the issuers on notice of the claims asserted against them. The Western District Court also granted the underwriters' motion to dismiss as to the claims arising from the non-moving issuers' IPOs, finding plaintiff's claims were time-barred under the applicable statute of limitations.</w:t>
      </w:r>
    </w:p>
    <w:p>
      <w:pPr>
        <w:spacing w:after="0" w:line="155" w:lineRule="exact"/>
        <w:rPr>
          <w:sz w:val="20"/>
          <w:szCs w:val="20"/>
          <w:color w:val="auto"/>
        </w:rPr>
      </w:pPr>
    </w:p>
    <w:p>
      <w:pPr>
        <w:ind w:right="40" w:firstLine="284"/>
        <w:spacing w:after="0" w:line="293" w:lineRule="auto"/>
        <w:rPr>
          <w:sz w:val="20"/>
          <w:szCs w:val="20"/>
          <w:color w:val="auto"/>
        </w:rPr>
      </w:pPr>
      <w:r>
        <w:rPr>
          <w:rFonts w:ascii="Arial" w:cs="Arial" w:eastAsia="Arial" w:hAnsi="Arial"/>
          <w:sz w:val="13"/>
          <w:szCs w:val="13"/>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37" w:lineRule="exact"/>
        <w:rPr>
          <w:sz w:val="20"/>
          <w:szCs w:val="20"/>
          <w:color w:val="auto"/>
        </w:rPr>
      </w:pPr>
    </w:p>
    <w:p>
      <w:pPr>
        <w:ind w:right="200" w:firstLine="284"/>
        <w:spacing w:after="0" w:line="267" w:lineRule="auto"/>
        <w:rPr>
          <w:sz w:val="20"/>
          <w:szCs w:val="20"/>
          <w:color w:val="auto"/>
        </w:rPr>
      </w:pPr>
      <w:r>
        <w:rPr>
          <w:rFonts w:ascii="Arial" w:cs="Arial" w:eastAsia="Arial" w:hAnsi="Arial"/>
          <w:sz w:val="14"/>
          <w:szCs w:val="14"/>
          <w:color w:val="auto"/>
        </w:rPr>
        <w:t>On January 18, 2011, the Ninth Circuit denied all petitions for rehearing and petitions for rehearing en banc. On January 25, 2011, the Ninth Circuit granted the underwriters' motion to stay the issuance of the mandate and ordered that the mandate in the cases involving the non-moving issuers is stayed for ninety days pending the filing of a petition for writ of certiorari in the United States Supreme Court. On January 26, 2011, the Ninth Circuit granted the appellant's motion to stay the issuance of the mandate and ruled that the mandate in all cases (including the Company's and other moving issuers) is stayed for ninety days pending the appellant's filing of a petition for writ of certiorari in the United States Supreme Court. The Company currently believes that the outcome of this litigation will not have a material adverse impact on its financial position or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II</w:t>
      </w:r>
    </w:p>
    <w:p>
      <w:pPr>
        <w:spacing w:after="0" w:line="18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93" w:lineRule="exact"/>
        <w:rPr>
          <w:sz w:val="20"/>
          <w:szCs w:val="20"/>
          <w:color w:val="auto"/>
        </w:rPr>
      </w:pPr>
    </w:p>
    <w:p>
      <w:pPr>
        <w:ind w:right="80" w:firstLine="284"/>
        <w:spacing w:after="0" w:line="289" w:lineRule="auto"/>
        <w:rPr>
          <w:sz w:val="20"/>
          <w:szCs w:val="20"/>
          <w:color w:val="auto"/>
        </w:rPr>
      </w:pPr>
      <w:r>
        <w:rPr>
          <w:rFonts w:ascii="Arial" w:cs="Arial" w:eastAsia="Arial" w:hAnsi="Arial"/>
          <w:sz w:val="14"/>
          <w:szCs w:val="14"/>
          <w:color w:val="auto"/>
        </w:rPr>
        <w:t>Our common stock is quoted on the NASDAQ Global Select Market under the symbol "SONS." All companies listed on the NASDAQ Global Select Market are required to comply with certain continued listing standards.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sets forth, for the time periods indicated, the high and low sale prices of our common stock as reported on the NASDAQ Global Select Market.</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ind w:right="31"/>
              <w:spacing w:after="0"/>
              <w:rPr>
                <w:sz w:val="20"/>
                <w:szCs w:val="20"/>
                <w:color w:val="auto"/>
              </w:rPr>
            </w:pPr>
            <w:r>
              <w:rPr>
                <w:rFonts w:ascii="Arial" w:cs="Arial" w:eastAsia="Arial" w:hAnsi="Arial"/>
                <w:sz w:val="11"/>
                <w:szCs w:val="11"/>
                <w:b w:val="1"/>
                <w:bCs w:val="1"/>
                <w:color w:val="auto"/>
                <w:w w:val="89"/>
              </w:rPr>
              <w:t>High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Low</w:t>
            </w:r>
          </w:p>
        </w:tc>
      </w:tr>
      <w:tr>
        <w:trPr>
          <w:trHeight w:val="166"/>
        </w:trPr>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Fiscal 2010</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5"/>
        </w:trPr>
        <w:tc>
          <w:tcPr>
            <w:tcW w:w="5760" w:type="dxa"/>
            <w:vAlign w:val="bottom"/>
          </w:tcPr>
          <w:p>
            <w:pPr>
              <w:ind w:left="120"/>
              <w:spacing w:after="0"/>
              <w:rPr>
                <w:sz w:val="20"/>
                <w:szCs w:val="20"/>
                <w:color w:val="auto"/>
              </w:rPr>
            </w:pPr>
            <w:r>
              <w:rPr>
                <w:rFonts w:ascii="Arial" w:cs="Arial" w:eastAsia="Arial" w:hAnsi="Arial"/>
                <w:sz w:val="14"/>
                <w:szCs w:val="14"/>
                <w:color w:val="auto"/>
              </w:rPr>
              <w:t>First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2.83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5"/>
                <w:szCs w:val="15"/>
                <w:color w:val="auto"/>
              </w:rPr>
            </w:pPr>
          </w:p>
        </w:tc>
      </w:tr>
      <w:tr>
        <w:trPr>
          <w:trHeight w:val="175"/>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5"/>
                <w:szCs w:val="15"/>
                <w:color w:val="auto"/>
              </w:rPr>
            </w:pPr>
          </w:p>
        </w:tc>
      </w:tr>
      <w:tr>
        <w:trPr>
          <w:trHeight w:val="175"/>
        </w:trPr>
        <w:tc>
          <w:tcPr>
            <w:tcW w:w="5760" w:type="dxa"/>
            <w:vAlign w:val="bottom"/>
          </w:tcPr>
          <w:p>
            <w:pPr>
              <w:ind w:left="120"/>
              <w:spacing w:after="0"/>
              <w:rPr>
                <w:sz w:val="20"/>
                <w:szCs w:val="20"/>
                <w:color w:val="auto"/>
              </w:rPr>
            </w:pPr>
            <w:r>
              <w:rPr>
                <w:rFonts w:ascii="Arial" w:cs="Arial" w:eastAsia="Arial" w:hAnsi="Arial"/>
                <w:sz w:val="14"/>
                <w:szCs w:val="14"/>
                <w:color w:val="auto"/>
              </w:rPr>
              <w:t>Third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3.70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5"/>
                <w:szCs w:val="15"/>
                <w:color w:val="auto"/>
              </w:rPr>
            </w:pPr>
          </w:p>
        </w:tc>
      </w:tr>
      <w:tr>
        <w:trPr>
          <w:trHeight w:val="175"/>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Fourth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5"/>
                <w:szCs w:val="15"/>
                <w:color w:val="auto"/>
              </w:rPr>
            </w:pPr>
          </w:p>
        </w:tc>
      </w:tr>
      <w:tr>
        <w:trPr>
          <w:trHeight w:val="349"/>
        </w:trPr>
        <w:tc>
          <w:tcPr>
            <w:tcW w:w="5760" w:type="dxa"/>
            <w:vAlign w:val="bottom"/>
          </w:tcPr>
          <w:p>
            <w:pPr>
              <w:spacing w:after="0"/>
              <w:rPr>
                <w:sz w:val="20"/>
                <w:szCs w:val="20"/>
                <w:color w:val="auto"/>
              </w:rPr>
            </w:pPr>
            <w:r>
              <w:rPr>
                <w:rFonts w:ascii="Arial" w:cs="Arial" w:eastAsia="Arial" w:hAnsi="Arial"/>
                <w:sz w:val="14"/>
                <w:szCs w:val="14"/>
                <w:b w:val="1"/>
                <w:bCs w:val="1"/>
                <w:color w:val="auto"/>
              </w:rPr>
              <w:t>Fiscal 2009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6"/>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5"/>
                <w:szCs w:val="15"/>
                <w:color w:val="auto"/>
              </w:rPr>
            </w:pPr>
          </w:p>
        </w:tc>
      </w:tr>
      <w:tr>
        <w:trPr>
          <w:trHeight w:val="175"/>
        </w:trPr>
        <w:tc>
          <w:tcPr>
            <w:tcW w:w="5760" w:type="dxa"/>
            <w:vAlign w:val="bottom"/>
          </w:tcPr>
          <w:p>
            <w:pPr>
              <w:ind w:left="120"/>
              <w:spacing w:after="0"/>
              <w:rPr>
                <w:sz w:val="20"/>
                <w:szCs w:val="20"/>
                <w:color w:val="auto"/>
              </w:rPr>
            </w:pPr>
            <w:r>
              <w:rPr>
                <w:rFonts w:ascii="Arial" w:cs="Arial" w:eastAsia="Arial" w:hAnsi="Arial"/>
                <w:sz w:val="14"/>
                <w:szCs w:val="14"/>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2.45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5"/>
                <w:szCs w:val="15"/>
                <w:color w:val="auto"/>
              </w:rPr>
            </w:pPr>
          </w:p>
        </w:tc>
      </w:tr>
      <w:tr>
        <w:trPr>
          <w:trHeight w:val="175"/>
        </w:trPr>
        <w:tc>
          <w:tcPr>
            <w:tcW w:w="5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5"/>
                <w:szCs w:val="15"/>
                <w:color w:val="auto"/>
              </w:rPr>
            </w:pPr>
          </w:p>
        </w:tc>
      </w:tr>
      <w:tr>
        <w:trPr>
          <w:trHeight w:val="181"/>
        </w:trPr>
        <w:tc>
          <w:tcPr>
            <w:tcW w:w="5760" w:type="dxa"/>
            <w:vAlign w:val="bottom"/>
          </w:tcPr>
          <w:p>
            <w:pPr>
              <w:ind w:left="120"/>
              <w:spacing w:after="0"/>
              <w:rPr>
                <w:sz w:val="20"/>
                <w:szCs w:val="20"/>
                <w:color w:val="auto"/>
              </w:rPr>
            </w:pPr>
            <w:r>
              <w:rPr>
                <w:rFonts w:ascii="Arial" w:cs="Arial" w:eastAsia="Arial" w:hAnsi="Arial"/>
                <w:sz w:val="14"/>
                <w:szCs w:val="14"/>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2.29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5"/>
                <w:szCs w:val="15"/>
                <w:color w:val="auto"/>
              </w:rPr>
            </w:pPr>
          </w:p>
        </w:tc>
      </w:tr>
    </w:tbl>
    <w:p>
      <w:pPr>
        <w:spacing w:after="0" w:line="162" w:lineRule="exact"/>
        <w:rPr>
          <w:sz w:val="20"/>
          <w:szCs w:val="20"/>
          <w:color w:val="auto"/>
        </w:rPr>
      </w:pPr>
    </w:p>
    <w:p>
      <w:pPr>
        <w:ind w:firstLine="282"/>
        <w:spacing w:after="0" w:line="341" w:lineRule="auto"/>
        <w:rPr>
          <w:sz w:val="20"/>
          <w:szCs w:val="20"/>
          <w:color w:val="auto"/>
        </w:rPr>
      </w:pPr>
      <w:r>
        <w:rPr>
          <w:rFonts w:ascii="Arial" w:cs="Arial" w:eastAsia="Arial" w:hAnsi="Arial"/>
          <w:sz w:val="12"/>
          <w:szCs w:val="12"/>
          <w:color w:val="auto"/>
        </w:rPr>
        <w:t>The Company held its Annual Meeting of Stockholders on June 16, 2010, at which the stockholders approved the proposal to grant to the Board of Directors of the Company discretionary authority to amend and restate the Company's Fourth Amended and Restated Certificate of Incorporation, as amended, to effect a reverse stock split of the Company's common stock at ratio of not less than 1-for-3 and not more than 1-for-6. As of the date of this filing, the Board of Directors of the Company has not yet determined to implement a reverse stock split of the Company's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At February 22, 2010, there were approximately 570 holders of record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have never declared or paid cash dividends and have no present intention to pay cash dividends in the foreseeable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193" w:lineRule="exact"/>
        <w:rPr>
          <w:sz w:val="20"/>
          <w:szCs w:val="20"/>
          <w:color w:val="auto"/>
        </w:rPr>
      </w:pPr>
    </w:p>
    <w:p>
      <w:pPr>
        <w:ind w:right="40" w:firstLine="282"/>
        <w:spacing w:after="0" w:line="289" w:lineRule="auto"/>
        <w:rPr>
          <w:sz w:val="20"/>
          <w:szCs w:val="20"/>
          <w:color w:val="auto"/>
        </w:rPr>
      </w:pPr>
      <w:r>
        <w:rPr>
          <w:rFonts w:ascii="Arial" w:cs="Arial" w:eastAsia="Arial" w:hAnsi="Arial"/>
          <w:sz w:val="14"/>
          <w:szCs w:val="14"/>
          <w:color w:val="auto"/>
        </w:rPr>
        <w:t>We have not announced any current plans or programs to repurchase shares of our common stock. However, upon vesting of restricted stock awards, our employees are permitted to return to us a portion of the newly vested shares to satisfy the tax withholding obligations that arise in connection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60"/>
          </w:cols>
          <w:pgMar w:left="220" w:top="132" w:right="3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with such vesting. The following table summarizes repurchases of our common stock during the fourth quarter of fiscal 2010, which represent shares returned to satisfy tax withholding obligations:</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0"/>
              </w:rPr>
              <w:t>Total Number of</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Shares Purchased</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as Part of</w:t>
            </w:r>
          </w:p>
        </w:tc>
        <w:tc>
          <w:tcPr>
            <w:tcW w:w="140" w:type="dxa"/>
            <w:vAlign w:val="bottom"/>
          </w:tcPr>
          <w:p>
            <w:pPr>
              <w:spacing w:after="0"/>
              <w:rPr>
                <w:sz w:val="10"/>
                <w:szCs w:val="10"/>
                <w:color w:val="auto"/>
              </w:rPr>
            </w:pPr>
          </w:p>
        </w:tc>
        <w:tc>
          <w:tcPr>
            <w:tcW w:w="14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2"/>
              </w:rPr>
              <w:t>Approximate Dollar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3"/>
              </w:rPr>
              <w:t>Total Number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4"/>
              </w:rPr>
              <w:t>Publicly</w:t>
            </w:r>
          </w:p>
        </w:tc>
        <w:tc>
          <w:tcPr>
            <w:tcW w:w="140" w:type="dxa"/>
            <w:vAlign w:val="bottom"/>
          </w:tcPr>
          <w:p>
            <w:pPr>
              <w:spacing w:after="0"/>
              <w:rPr>
                <w:sz w:val="10"/>
                <w:szCs w:val="10"/>
                <w:color w:val="auto"/>
              </w:rPr>
            </w:pPr>
          </w:p>
        </w:tc>
        <w:tc>
          <w:tcPr>
            <w:tcW w:w="14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0"/>
              </w:rPr>
              <w:t>Value of Shares that May</w:t>
            </w:r>
          </w:p>
        </w:tc>
        <w:tc>
          <w:tcPr>
            <w:tcW w:w="0" w:type="dxa"/>
            <w:vAlign w:val="bottom"/>
          </w:tcPr>
          <w:p>
            <w:pPr>
              <w:spacing w:after="0"/>
              <w:rPr>
                <w:sz w:val="1"/>
                <w:szCs w:val="1"/>
                <w:color w:val="auto"/>
              </w:rPr>
            </w:pPr>
          </w:p>
        </w:tc>
      </w:tr>
      <w:tr>
        <w:trPr>
          <w:trHeight w:val="120"/>
        </w:trPr>
        <w:tc>
          <w:tcPr>
            <w:tcW w:w="49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Period</w:t>
            </w:r>
          </w:p>
        </w:tc>
        <w:tc>
          <w:tcPr>
            <w:tcW w:w="7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of Shares</w:t>
            </w:r>
          </w:p>
        </w:tc>
        <w:tc>
          <w:tcPr>
            <w:tcW w:w="140" w:type="dxa"/>
            <w:vAlign w:val="bottom"/>
          </w:tcPr>
          <w:p>
            <w:pPr>
              <w:spacing w:after="0"/>
              <w:rPr>
                <w:sz w:val="10"/>
                <w:szCs w:val="10"/>
                <w:color w:val="auto"/>
              </w:rPr>
            </w:pPr>
          </w:p>
        </w:tc>
        <w:tc>
          <w:tcPr>
            <w:tcW w:w="6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0"/>
              </w:rPr>
              <w:t>Price Paid</w:t>
            </w: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Announced Plans</w:t>
            </w:r>
          </w:p>
        </w:tc>
        <w:tc>
          <w:tcPr>
            <w:tcW w:w="140" w:type="dxa"/>
            <w:vAlign w:val="bottom"/>
          </w:tcPr>
          <w:p>
            <w:pPr>
              <w:spacing w:after="0"/>
              <w:rPr>
                <w:sz w:val="10"/>
                <w:szCs w:val="10"/>
                <w:color w:val="auto"/>
              </w:rPr>
            </w:pPr>
          </w:p>
        </w:tc>
        <w:tc>
          <w:tcPr>
            <w:tcW w:w="14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Yet be Purchased Under</w:t>
            </w:r>
          </w:p>
        </w:tc>
        <w:tc>
          <w:tcPr>
            <w:tcW w:w="0" w:type="dxa"/>
            <w:vAlign w:val="bottom"/>
          </w:tcPr>
          <w:p>
            <w:pPr>
              <w:spacing w:after="0"/>
              <w:rPr>
                <w:sz w:val="1"/>
                <w:szCs w:val="1"/>
                <w:color w:val="auto"/>
              </w:rPr>
            </w:pPr>
          </w:p>
        </w:tc>
      </w:tr>
      <w:tr>
        <w:trPr>
          <w:trHeight w:val="109"/>
        </w:trPr>
        <w:tc>
          <w:tcPr>
            <w:tcW w:w="4920" w:type="dxa"/>
            <w:vAlign w:val="bottom"/>
            <w:gridSpan w:val="3"/>
            <w:vMerge w:val="continue"/>
          </w:tcPr>
          <w:p>
            <w:pPr>
              <w:spacing w:after="0"/>
              <w:rPr>
                <w:sz w:val="9"/>
                <w:szCs w:val="9"/>
                <w:color w:val="auto"/>
              </w:rPr>
            </w:pPr>
          </w:p>
        </w:tc>
        <w:tc>
          <w:tcPr>
            <w:tcW w:w="78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3"/>
              </w:rPr>
              <w:t>Purchased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15"/>
              <w:spacing w:after="0" w:line="90" w:lineRule="exact"/>
              <w:rPr>
                <w:sz w:val="20"/>
                <w:szCs w:val="20"/>
                <w:color w:val="auto"/>
              </w:rPr>
            </w:pPr>
            <w:r>
              <w:rPr>
                <w:rFonts w:ascii="Arial" w:cs="Arial" w:eastAsia="Arial" w:hAnsi="Arial"/>
                <w:sz w:val="10"/>
                <w:szCs w:val="10"/>
                <w:b w:val="1"/>
                <w:bCs w:val="1"/>
                <w:color w:val="auto"/>
                <w:w w:val="95"/>
              </w:rPr>
              <w:t>per Share</w:t>
            </w:r>
          </w:p>
        </w:tc>
        <w:tc>
          <w:tcPr>
            <w:tcW w:w="120" w:type="dxa"/>
            <w:vAlign w:val="bottom"/>
          </w:tcPr>
          <w:p>
            <w:pPr>
              <w:spacing w:after="0"/>
              <w:rPr>
                <w:sz w:val="9"/>
                <w:szCs w:val="9"/>
                <w:color w:val="auto"/>
              </w:rPr>
            </w:pPr>
          </w:p>
        </w:tc>
        <w:tc>
          <w:tcPr>
            <w:tcW w:w="1000" w:type="dxa"/>
            <w:vAlign w:val="bottom"/>
          </w:tcPr>
          <w:p>
            <w:pPr>
              <w:jc w:val="center"/>
              <w:spacing w:after="0" w:line="90" w:lineRule="exact"/>
              <w:rPr>
                <w:sz w:val="20"/>
                <w:szCs w:val="20"/>
                <w:color w:val="auto"/>
              </w:rPr>
            </w:pPr>
            <w:r>
              <w:rPr>
                <w:rFonts w:ascii="Arial" w:cs="Arial" w:eastAsia="Arial" w:hAnsi="Arial"/>
                <w:sz w:val="10"/>
                <w:szCs w:val="10"/>
                <w:b w:val="1"/>
                <w:bCs w:val="1"/>
                <w:color w:val="auto"/>
              </w:rPr>
              <w:t>or Programs</w:t>
            </w:r>
          </w:p>
        </w:tc>
        <w:tc>
          <w:tcPr>
            <w:tcW w:w="140" w:type="dxa"/>
            <w:vAlign w:val="bottom"/>
          </w:tcPr>
          <w:p>
            <w:pPr>
              <w:spacing w:after="0"/>
              <w:rPr>
                <w:sz w:val="9"/>
                <w:szCs w:val="9"/>
                <w:color w:val="auto"/>
              </w:rPr>
            </w:pPr>
          </w:p>
        </w:tc>
        <w:tc>
          <w:tcPr>
            <w:tcW w:w="148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97"/>
              </w:rPr>
              <w:t>the Plans or 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October 1, 2010 to October 31, 2010</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400,760</w:t>
            </w:r>
          </w:p>
        </w:tc>
        <w:tc>
          <w:tcPr>
            <w:tcW w:w="2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ind w:left="120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November 1, 2010 to November 30, 2010</w:t>
            </w:r>
          </w:p>
        </w:tc>
        <w:tc>
          <w:tcPr>
            <w:tcW w:w="780" w:type="dxa"/>
            <w:vAlign w:val="bottom"/>
          </w:tcPr>
          <w:p>
            <w:pPr>
              <w:jc w:val="right"/>
              <w:spacing w:after="0"/>
              <w:rPr>
                <w:sz w:val="20"/>
                <w:szCs w:val="20"/>
                <w:color w:val="auto"/>
              </w:rPr>
            </w:pPr>
            <w:r>
              <w:rPr>
                <w:rFonts w:ascii="Arial" w:cs="Arial" w:eastAsia="Arial" w:hAnsi="Arial"/>
                <w:sz w:val="14"/>
                <w:szCs w:val="14"/>
                <w:color w:val="auto"/>
              </w:rPr>
              <w:t>4,856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5"/>
                <w:szCs w:val="15"/>
                <w:color w:val="auto"/>
              </w:rPr>
            </w:pPr>
          </w:p>
        </w:tc>
        <w:tc>
          <w:tcPr>
            <w:tcW w:w="1000" w:type="dxa"/>
            <w:vAlign w:val="bottom"/>
          </w:tcPr>
          <w:p>
            <w:pPr>
              <w:ind w:left="8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148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1, 2010 to December 31, 2010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ind w:left="86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0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0"/>
                <w:szCs w:val="10"/>
                <w:color w:val="auto"/>
              </w:rPr>
            </w:pPr>
          </w:p>
        </w:tc>
        <w:tc>
          <w:tcPr>
            <w:tcW w:w="1000" w:type="dxa"/>
            <w:vAlign w:val="bottom"/>
            <w:vMerge w:val="restart"/>
          </w:tcPr>
          <w:p>
            <w:pPr>
              <w:ind w:left="86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0"/>
                <w:szCs w:val="10"/>
                <w:color w:val="auto"/>
              </w:rPr>
            </w:pPr>
          </w:p>
        </w:tc>
        <w:tc>
          <w:tcPr>
            <w:tcW w:w="148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gridSpan w:val="2"/>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530,231</w:t>
            </w:r>
          </w:p>
        </w:tc>
        <w:tc>
          <w:tcPr>
            <w:tcW w:w="2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93" w:lineRule="exact"/>
        <w:rPr>
          <w:sz w:val="20"/>
          <w:szCs w:val="20"/>
          <w:color w:val="auto"/>
        </w:rPr>
      </w:pPr>
    </w:p>
    <w:p>
      <w:pPr>
        <w:ind w:right="120" w:firstLine="282"/>
        <w:spacing w:after="0" w:line="305" w:lineRule="auto"/>
        <w:rPr>
          <w:sz w:val="20"/>
          <w:szCs w:val="20"/>
          <w:color w:val="auto"/>
        </w:rPr>
      </w:pPr>
      <w:r>
        <w:rPr>
          <w:rFonts w:ascii="Arial" w:cs="Arial" w:eastAsia="Arial" w:hAnsi="Arial"/>
          <w:sz w:val="13"/>
          <w:szCs w:val="13"/>
          <w:color w:val="auto"/>
        </w:rPr>
        <w:t>The following performance graph compares the cumulative total return to stockholders for our common stock for the period from December 31, 2005 through December 31, 2010 with the cumulative total return over the same period on the NASDAQ Composite Index and the NASDAQ Telecommunications Index. The comparison assumes an investment of $100 on December 31, 2005 in our common stock and in each of the indices and, in each case, assumes reinvestment of all dividends, if any. The performance shown is not necessarily indicative of future performance.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5 YEAR CUMULATIVE TOTAL RETURN*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Among Sonus Networks, Inc., the NASDAQ Composite Index</w:t>
      </w:r>
    </w:p>
    <w:p>
      <w:pPr>
        <w:jc w:val="center"/>
        <w:spacing w:after="0"/>
        <w:rPr>
          <w:sz w:val="20"/>
          <w:szCs w:val="20"/>
          <w:color w:val="auto"/>
        </w:rPr>
      </w:pPr>
      <w:r>
        <w:rPr>
          <w:rFonts w:ascii="Arial" w:cs="Arial" w:eastAsia="Arial" w:hAnsi="Arial"/>
          <w:sz w:val="11"/>
          <w:szCs w:val="11"/>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106680</wp:posOffset>
            </wp:positionV>
            <wp:extent cx="3733800" cy="1755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33800" cy="175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80"/>
        <w:spacing w:after="0"/>
        <w:rPr>
          <w:sz w:val="20"/>
          <w:szCs w:val="20"/>
          <w:color w:val="auto"/>
        </w:rPr>
      </w:pPr>
      <w:r>
        <w:rPr>
          <w:rFonts w:ascii="Arial" w:cs="Arial" w:eastAsia="Arial" w:hAnsi="Arial"/>
          <w:sz w:val="11"/>
          <w:szCs w:val="11"/>
          <w:color w:val="auto"/>
        </w:rPr>
        <w:t>*$100 invested on 12/31/05 in stock or index, including reinvestment of dividends.</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1"/>
          <w:szCs w:val="11"/>
          <w:color w:val="auto"/>
        </w:rPr>
        <w:t>Fiscal year ending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11"/>
        </w:trPr>
        <w:tc>
          <w:tcPr>
            <w:tcW w:w="11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60"/>
              <w:spacing w:after="0" w:line="111" w:lineRule="exact"/>
              <w:rPr>
                <w:sz w:val="20"/>
                <w:szCs w:val="20"/>
                <w:color w:val="auto"/>
              </w:rPr>
            </w:pPr>
            <w:r>
              <w:rPr>
                <w:rFonts w:ascii="Arial" w:cs="Arial" w:eastAsia="Arial" w:hAnsi="Arial"/>
                <w:sz w:val="11"/>
                <w:szCs w:val="11"/>
                <w:b w:val="1"/>
                <w:bCs w:val="1"/>
                <w:color w:val="auto"/>
              </w:rPr>
              <w:t>2005</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13"/>
              <w:spacing w:after="0" w:line="11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60"/>
              <w:spacing w:after="0" w:line="111" w:lineRule="exact"/>
              <w:rPr>
                <w:sz w:val="20"/>
                <w:szCs w:val="20"/>
                <w:color w:val="auto"/>
              </w:rPr>
            </w:pPr>
            <w:r>
              <w:rPr>
                <w:rFonts w:ascii="Arial" w:cs="Arial" w:eastAsia="Arial" w:hAnsi="Arial"/>
                <w:sz w:val="11"/>
                <w:szCs w:val="11"/>
                <w:b w:val="1"/>
                <w:bCs w:val="1"/>
                <w:color w:val="auto"/>
              </w:rPr>
              <w:t>2007</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3"/>
              <w:spacing w:after="0" w:line="111" w:lineRule="exact"/>
              <w:rPr>
                <w:sz w:val="20"/>
                <w:szCs w:val="20"/>
                <w:color w:val="auto"/>
              </w:rPr>
            </w:pPr>
            <w:r>
              <w:rPr>
                <w:rFonts w:ascii="Arial" w:cs="Arial" w:eastAsia="Arial" w:hAnsi="Arial"/>
                <w:sz w:val="11"/>
                <w:szCs w:val="11"/>
                <w:b w:val="1"/>
                <w:bCs w:val="1"/>
                <w:color w:val="auto"/>
                <w:w w:val="89"/>
              </w:rPr>
              <w:t>2008</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13"/>
              <w:spacing w:after="0" w:line="111" w:lineRule="exact"/>
              <w:rPr>
                <w:sz w:val="20"/>
                <w:szCs w:val="20"/>
                <w:color w:val="auto"/>
              </w:rPr>
            </w:pPr>
            <w:r>
              <w:rPr>
                <w:rFonts w:ascii="Arial" w:cs="Arial" w:eastAsia="Arial" w:hAnsi="Arial"/>
                <w:sz w:val="11"/>
                <w:szCs w:val="11"/>
                <w:b w:val="1"/>
                <w:bCs w:val="1"/>
                <w:color w:val="auto"/>
                <w:w w:val="97"/>
              </w:rPr>
              <w:t>2009</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13"/>
              <w:spacing w:after="0" w:line="111" w:lineRule="exact"/>
              <w:rPr>
                <w:sz w:val="20"/>
                <w:szCs w:val="20"/>
                <w:color w:val="auto"/>
              </w:rPr>
            </w:pPr>
            <w:r>
              <w:rPr>
                <w:rFonts w:ascii="Arial" w:cs="Arial" w:eastAsia="Arial" w:hAnsi="Arial"/>
                <w:sz w:val="11"/>
                <w:szCs w:val="11"/>
                <w:b w:val="1"/>
                <w:bCs w:val="1"/>
                <w:color w:val="auto"/>
                <w:w w:val="97"/>
              </w:rPr>
              <w:t>2010</w:t>
            </w: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66"/>
        </w:trPr>
        <w:tc>
          <w:tcPr>
            <w:tcW w:w="116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Sonus Networks, Inc.</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88"/>
              </w:rPr>
              <w:t>100.00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88"/>
              </w:rPr>
              <w:t>156.72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71.77</w:t>
            </w:r>
          </w:p>
        </w:tc>
        <w:tc>
          <w:tcPr>
            <w:tcW w:w="14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116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NASDAQ Composite</w:t>
            </w:r>
          </w:p>
        </w:tc>
        <w:tc>
          <w:tcPr>
            <w:tcW w:w="20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ind w:left="60"/>
              <w:spacing w:after="0"/>
              <w:rPr>
                <w:sz w:val="20"/>
                <w:szCs w:val="20"/>
                <w:color w:val="auto"/>
              </w:rPr>
            </w:pPr>
            <w:r>
              <w:rPr>
                <w:rFonts w:ascii="Arial" w:cs="Arial" w:eastAsia="Arial" w:hAnsi="Arial"/>
                <w:sz w:val="14"/>
                <w:szCs w:val="14"/>
                <w:color w:val="auto"/>
                <w:w w:val="88"/>
              </w:rPr>
              <w:t>100.00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111.74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ind w:left="60"/>
              <w:spacing w:after="0"/>
              <w:rPr>
                <w:sz w:val="20"/>
                <w:szCs w:val="20"/>
                <w:color w:val="auto"/>
              </w:rPr>
            </w:pPr>
            <w:r>
              <w:rPr>
                <w:rFonts w:ascii="Arial" w:cs="Arial" w:eastAsia="Arial" w:hAnsi="Arial"/>
                <w:sz w:val="14"/>
                <w:szCs w:val="14"/>
                <w:color w:val="auto"/>
                <w:w w:val="88"/>
              </w:rPr>
              <w:t>124.67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73.77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107.12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125.93</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NASDAQ Telecommunications</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88"/>
              </w:rPr>
              <w:t>100.00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w w:val="88"/>
              </w:rPr>
              <w:t>146.22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118.25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129.78</w:t>
            </w:r>
          </w:p>
        </w:tc>
        <w:tc>
          <w:tcPr>
            <w:tcW w:w="14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r>
      <w:tr>
        <w:trPr>
          <w:trHeight w:val="348"/>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00" w:type="dxa"/>
            <w:vAlign w:val="bottom"/>
          </w:tcPr>
          <w:p>
            <w:pPr>
              <w:jc w:val="right"/>
              <w:ind w:right="34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1160" w:type="dxa"/>
            <w:vAlign w:val="bottom"/>
            <w:tcBorders>
              <w:bottom w:val="single" w:sz="8" w:color="808080"/>
            </w:tcBorders>
          </w:tcPr>
          <w:p>
            <w:pPr>
              <w:spacing w:after="0"/>
              <w:rPr>
                <w:sz w:val="15"/>
                <w:szCs w:val="15"/>
                <w:color w:val="auto"/>
              </w:rPr>
            </w:pPr>
          </w:p>
        </w:tc>
        <w:tc>
          <w:tcPr>
            <w:tcW w:w="3160" w:type="dxa"/>
            <w:vAlign w:val="bottom"/>
            <w:tcBorders>
              <w:bottom w:val="single" w:sz="8" w:color="808080"/>
            </w:tcBorders>
          </w:tcPr>
          <w:p>
            <w:pPr>
              <w:spacing w:after="0"/>
              <w:rPr>
                <w:sz w:val="15"/>
                <w:szCs w:val="15"/>
                <w:color w:val="auto"/>
              </w:rPr>
            </w:pPr>
          </w:p>
        </w:tc>
        <w:tc>
          <w:tcPr>
            <w:tcW w:w="19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6.</w:t>
        <w:tab/>
        <w:t>SELECTED FINANCIAL DATA</w:t>
      </w:r>
    </w:p>
    <w:p>
      <w:pPr>
        <w:spacing w:after="0" w:line="193" w:lineRule="exact"/>
        <w:rPr>
          <w:sz w:val="20"/>
          <w:szCs w:val="20"/>
          <w:color w:val="auto"/>
        </w:rPr>
      </w:pPr>
    </w:p>
    <w:p>
      <w:pPr>
        <w:ind w:right="140" w:firstLine="282"/>
        <w:spacing w:after="0" w:line="289" w:lineRule="auto"/>
        <w:rPr>
          <w:sz w:val="20"/>
          <w:szCs w:val="20"/>
          <w:color w:val="auto"/>
        </w:rPr>
      </w:pPr>
      <w:r>
        <w:rPr>
          <w:rFonts w:ascii="Arial" w:cs="Arial" w:eastAsia="Arial" w:hAnsi="Arial"/>
          <w:sz w:val="14"/>
          <w:szCs w:val="14"/>
          <w:color w:val="auto"/>
        </w:rPr>
        <w:t>The following selected consolidated financial data should be read in conjunction with "Management's Discussion and Analysis of Financial Condition and Results of Operations" and our consolidated financial statements and notes thereto included elsewhere in this Annual Report on Form 10-K.</w:t>
      </w:r>
    </w:p>
    <w:p>
      <w:pPr>
        <w:spacing w:after="0" w:line="243"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5840" w:type="dxa"/>
            <w:vAlign w:val="bottom"/>
            <w:gridSpan w:val="2"/>
          </w:tcPr>
          <w:p>
            <w:pPr>
              <w:spacing w:after="0"/>
              <w:rPr>
                <w:sz w:val="20"/>
                <w:szCs w:val="20"/>
                <w:color w:val="auto"/>
              </w:rPr>
            </w:pPr>
            <w:r>
              <w:rPr>
                <w:rFonts w:ascii="Arial" w:cs="Arial" w:eastAsia="Arial" w:hAnsi="Arial"/>
                <w:sz w:val="11"/>
                <w:szCs w:val="11"/>
                <w:b w:val="1"/>
                <w:bCs w:val="1"/>
                <w:color w:val="auto"/>
              </w:rPr>
              <w:t>Consolidated Statement of Operations Data</w:t>
            </w: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1"/>
                <w:szCs w:val="11"/>
                <w:b w:val="1"/>
                <w:bCs w:val="1"/>
                <w:color w:val="auto"/>
              </w:rPr>
              <w:t>Year ended December 31,</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840" w:type="dxa"/>
            <w:vAlign w:val="bottom"/>
            <w:gridSpan w:val="2"/>
          </w:tcPr>
          <w:p>
            <w:pPr>
              <w:spacing w:after="0" w:line="111" w:lineRule="exact"/>
              <w:rPr>
                <w:sz w:val="20"/>
                <w:szCs w:val="20"/>
                <w:color w:val="auto"/>
              </w:rPr>
            </w:pPr>
            <w:r>
              <w:rPr>
                <w:rFonts w:ascii="Arial" w:cs="Arial" w:eastAsia="Arial" w:hAnsi="Arial"/>
                <w:sz w:val="11"/>
                <w:szCs w:val="11"/>
                <w:b w:val="1"/>
                <w:bCs w:val="1"/>
                <w:color w:val="auto"/>
              </w:rPr>
              <w:t>(In thousands, except per share amounts)</w:t>
            </w:r>
          </w:p>
        </w:tc>
        <w:tc>
          <w:tcPr>
            <w:tcW w:w="120" w:type="dxa"/>
            <w:vAlign w:val="bottom"/>
          </w:tcPr>
          <w:p>
            <w:pPr>
              <w:spacing w:after="0"/>
              <w:rPr>
                <w:sz w:val="9"/>
                <w:szCs w:val="9"/>
                <w:color w:val="auto"/>
              </w:rPr>
            </w:pPr>
          </w:p>
        </w:tc>
        <w:tc>
          <w:tcPr>
            <w:tcW w:w="400" w:type="dxa"/>
            <w:vAlign w:val="bottom"/>
            <w:vMerge w:val="restart"/>
          </w:tcPr>
          <w:p>
            <w:pPr>
              <w:jc w:val="right"/>
              <w:ind w:right="105"/>
              <w:spacing w:after="0"/>
              <w:rPr>
                <w:sz w:val="20"/>
                <w:szCs w:val="20"/>
                <w:color w:val="auto"/>
              </w:rPr>
            </w:pPr>
            <w:r>
              <w:rPr>
                <w:rFonts w:ascii="Arial" w:cs="Arial" w:eastAsia="Arial" w:hAnsi="Arial"/>
                <w:sz w:val="11"/>
                <w:szCs w:val="11"/>
                <w:b w:val="1"/>
                <w:bCs w:val="1"/>
                <w:color w:val="auto"/>
                <w:w w:val="89"/>
              </w:rPr>
              <w:t>2010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vMerge w:val="restart"/>
          </w:tcPr>
          <w:p>
            <w:pPr>
              <w:jc w:val="right"/>
              <w:ind w:right="105"/>
              <w:spacing w:after="0"/>
              <w:rPr>
                <w:sz w:val="20"/>
                <w:szCs w:val="20"/>
                <w:color w:val="auto"/>
              </w:rPr>
            </w:pPr>
            <w:r>
              <w:rPr>
                <w:rFonts w:ascii="Arial" w:cs="Arial" w:eastAsia="Arial" w:hAnsi="Arial"/>
                <w:sz w:val="11"/>
                <w:szCs w:val="11"/>
                <w:b w:val="1"/>
                <w:bCs w:val="1"/>
                <w:color w:val="auto"/>
                <w:w w:val="89"/>
              </w:rPr>
              <w:t>2009</w:t>
            </w:r>
          </w:p>
        </w:tc>
        <w:tc>
          <w:tcPr>
            <w:tcW w:w="120" w:type="dxa"/>
            <w:vAlign w:val="bottom"/>
          </w:tcPr>
          <w:p>
            <w:pPr>
              <w:spacing w:after="0"/>
              <w:rPr>
                <w:sz w:val="9"/>
                <w:szCs w:val="9"/>
                <w:color w:val="auto"/>
              </w:rPr>
            </w:pPr>
          </w:p>
        </w:tc>
        <w:tc>
          <w:tcPr>
            <w:tcW w:w="560" w:type="dxa"/>
            <w:vAlign w:val="bottom"/>
            <w:gridSpan w:val="2"/>
            <w:vMerge w:val="restart"/>
          </w:tcPr>
          <w:p>
            <w:pPr>
              <w:jc w:val="right"/>
              <w:ind w:right="45"/>
              <w:spacing w:after="0"/>
              <w:rPr>
                <w:sz w:val="20"/>
                <w:szCs w:val="20"/>
                <w:color w:val="auto"/>
              </w:rPr>
            </w:pPr>
            <w:r>
              <w:rPr>
                <w:rFonts w:ascii="Arial" w:cs="Arial" w:eastAsia="Arial" w:hAnsi="Arial"/>
                <w:sz w:val="11"/>
                <w:szCs w:val="11"/>
                <w:b w:val="1"/>
                <w:bCs w:val="1"/>
                <w:color w:val="auto"/>
              </w:rPr>
              <w:t>2008(1)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105"/>
              <w:spacing w:after="0"/>
              <w:rPr>
                <w:sz w:val="20"/>
                <w:szCs w:val="20"/>
                <w:color w:val="auto"/>
              </w:rPr>
            </w:pPr>
            <w:r>
              <w:rPr>
                <w:rFonts w:ascii="Arial" w:cs="Arial" w:eastAsia="Arial" w:hAnsi="Arial"/>
                <w:sz w:val="11"/>
                <w:szCs w:val="11"/>
                <w:b w:val="1"/>
                <w:bCs w:val="1"/>
                <w:color w:val="auto"/>
                <w:w w:val="89"/>
              </w:rPr>
              <w:t>2007</w:t>
            </w:r>
          </w:p>
        </w:tc>
        <w:tc>
          <w:tcPr>
            <w:tcW w:w="120" w:type="dxa"/>
            <w:vAlign w:val="bottom"/>
          </w:tcPr>
          <w:p>
            <w:pPr>
              <w:spacing w:after="0"/>
              <w:rPr>
                <w:sz w:val="9"/>
                <w:szCs w:val="9"/>
                <w:color w:val="auto"/>
              </w:rPr>
            </w:pPr>
          </w:p>
        </w:tc>
        <w:tc>
          <w:tcPr>
            <w:tcW w:w="540" w:type="dxa"/>
            <w:vAlign w:val="bottom"/>
            <w:gridSpan w:val="4"/>
            <w:vMerge w:val="restart"/>
          </w:tcPr>
          <w:p>
            <w:pPr>
              <w:jc w:val="right"/>
              <w:ind w:right="80"/>
              <w:spacing w:after="0"/>
              <w:rPr>
                <w:sz w:val="20"/>
                <w:szCs w:val="20"/>
                <w:color w:val="auto"/>
              </w:rPr>
            </w:pPr>
            <w:r>
              <w:rPr>
                <w:rFonts w:ascii="Arial" w:cs="Arial" w:eastAsia="Arial" w:hAnsi="Arial"/>
                <w:sz w:val="11"/>
                <w:szCs w:val="11"/>
                <w:b w:val="1"/>
                <w:bCs w:val="1"/>
                <w:color w:val="auto"/>
              </w:rPr>
              <w:t>2006(2)</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960" w:type="dxa"/>
            <w:vAlign w:val="bottom"/>
            <w:tcBorders>
              <w:top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84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rPr>
              <w:t>Revenue:</w:t>
            </w: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Product</w:t>
            </w: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w w:val="95"/>
              </w:rPr>
              <w:t>146,583</w:t>
            </w:r>
          </w:p>
        </w:tc>
        <w:tc>
          <w:tcPr>
            <w:tcW w:w="120" w:type="dxa"/>
            <w:vAlign w:val="bottom"/>
          </w:tcPr>
          <w:p>
            <w:pPr>
              <w:spacing w:after="0"/>
              <w:rPr>
                <w:sz w:val="10"/>
                <w:szCs w:val="10"/>
                <w:color w:val="auto"/>
              </w:rPr>
            </w:pPr>
          </w:p>
        </w:tc>
        <w:tc>
          <w:tcPr>
            <w:tcW w:w="1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w w:val="95"/>
              </w:rPr>
              <w:t>136,276</w:t>
            </w:r>
          </w:p>
        </w:tc>
        <w:tc>
          <w:tcPr>
            <w:tcW w:w="120" w:type="dxa"/>
            <w:vAlign w:val="bottom"/>
          </w:tcPr>
          <w:p>
            <w:pPr>
              <w:spacing w:after="0"/>
              <w:rPr>
                <w:sz w:val="10"/>
                <w:szCs w:val="10"/>
                <w:color w:val="auto"/>
              </w:rPr>
            </w:pPr>
          </w:p>
        </w:tc>
        <w:tc>
          <w:tcPr>
            <w:tcW w:w="1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203,387</w:t>
            </w:r>
          </w:p>
        </w:tc>
        <w:tc>
          <w:tcPr>
            <w:tcW w:w="14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w w:val="95"/>
              </w:rPr>
              <w:t>225,644</w:t>
            </w:r>
          </w:p>
        </w:tc>
        <w:tc>
          <w:tcPr>
            <w:tcW w:w="120" w:type="dxa"/>
            <w:vAlign w:val="bottom"/>
          </w:tcPr>
          <w:p>
            <w:pPr>
              <w:spacing w:after="0"/>
              <w:rPr>
                <w:sz w:val="10"/>
                <w:szCs w:val="10"/>
                <w:color w:val="auto"/>
              </w:rPr>
            </w:pPr>
          </w:p>
        </w:tc>
        <w:tc>
          <w:tcPr>
            <w:tcW w:w="1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line="121" w:lineRule="exact"/>
              <w:rPr>
                <w:sz w:val="20"/>
                <w:szCs w:val="20"/>
                <w:color w:val="auto"/>
              </w:rPr>
            </w:pPr>
            <w:r>
              <w:rPr>
                <w:rFonts w:ascii="Arial" w:cs="Arial" w:eastAsia="Arial" w:hAnsi="Arial"/>
                <w:sz w:val="11"/>
                <w:szCs w:val="11"/>
                <w:color w:val="auto"/>
                <w:w w:val="90"/>
              </w:rPr>
              <w:t>203,592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Service</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5"/>
              </w:rPr>
              <w:t>102,724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91,220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109,758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93,771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75,891</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ind w:left="140"/>
              <w:spacing w:after="0"/>
              <w:rPr>
                <w:sz w:val="20"/>
                <w:szCs w:val="20"/>
                <w:color w:val="auto"/>
              </w:rPr>
            </w:pPr>
            <w:r>
              <w:rPr>
                <w:rFonts w:ascii="Arial" w:cs="Arial" w:eastAsia="Arial" w:hAnsi="Arial"/>
                <w:sz w:val="11"/>
                <w:szCs w:val="11"/>
                <w:color w:val="auto"/>
              </w:rPr>
              <w:t>Total revenue</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584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249,307</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227,496</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313,145</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319,415</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0"/>
              </w:rPr>
              <w:t>279,483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8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Cost of revenue:</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Product</w:t>
            </w: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48,163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38,893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74,274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90,976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70,823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Service</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47,992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44,467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56,020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37,513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29,609</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ind w:left="140"/>
              <w:spacing w:after="0"/>
              <w:rPr>
                <w:sz w:val="20"/>
                <w:szCs w:val="20"/>
                <w:color w:val="auto"/>
              </w:rPr>
            </w:pPr>
            <w:r>
              <w:rPr>
                <w:rFonts w:ascii="Arial" w:cs="Arial" w:eastAsia="Arial" w:hAnsi="Arial"/>
                <w:sz w:val="11"/>
                <w:szCs w:val="11"/>
                <w:color w:val="auto"/>
              </w:rPr>
              <w:t>Total cost of revenue</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584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96,155</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83,360</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130,294</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128,489</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0"/>
              </w:rPr>
              <w:t>100,432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8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Gross profit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5"/>
              </w:rPr>
              <w:t>153,152</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5"/>
              </w:rPr>
              <w:t>144,136</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182,851</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5"/>
              </w:rPr>
              <w:t>190,926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1"/>
                <w:szCs w:val="11"/>
                <w:color w:val="auto"/>
                <w:w w:val="90"/>
              </w:rPr>
              <w:t>179,051</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Operating expenses:</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5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Research and development</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62,786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59,864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73,098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78,898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55,446</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Sales and marketing</w:t>
            </w: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51,033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48,929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74,364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81,602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65,748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General and administrative</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49,391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43,217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62,045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56,652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35,366</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Litigation settlement, net of insurance recovery</w:t>
            </w:r>
          </w:p>
        </w:tc>
        <w:tc>
          <w:tcPr>
            <w:tcW w:w="120" w:type="dxa"/>
            <w:vAlign w:val="bottom"/>
          </w:tcPr>
          <w:p>
            <w:pPr>
              <w:spacing w:after="0"/>
              <w:rPr>
                <w:sz w:val="10"/>
                <w:szCs w:val="10"/>
                <w:color w:val="auto"/>
              </w:rPr>
            </w:pPr>
          </w:p>
        </w:tc>
        <w:tc>
          <w:tcPr>
            <w:tcW w:w="52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19,100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rPr>
              <w:t>24,672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Impairment of intangible assets</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2,727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5840" w:type="dxa"/>
            <w:vAlign w:val="bottom"/>
            <w:gridSpan w:val="2"/>
          </w:tcPr>
          <w:p>
            <w:pPr>
              <w:ind w:left="80"/>
              <w:spacing w:after="0"/>
              <w:rPr>
                <w:sz w:val="20"/>
                <w:szCs w:val="20"/>
                <w:color w:val="auto"/>
              </w:rPr>
            </w:pPr>
            <w:r>
              <w:rPr>
                <w:rFonts w:ascii="Arial" w:cs="Arial" w:eastAsia="Arial" w:hAnsi="Arial"/>
                <w:sz w:val="11"/>
                <w:szCs w:val="11"/>
                <w:color w:val="auto"/>
              </w:rPr>
              <w:t>Restructuring expense</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3,510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584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rPr>
              <w:t>Total operating expenses</w:t>
            </w: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5"/>
              </w:rPr>
              <w:t>164,711</w:t>
            </w:r>
          </w:p>
        </w:tc>
        <w:tc>
          <w:tcPr>
            <w:tcW w:w="1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5"/>
              </w:rPr>
              <w:t>155,520</w:t>
            </w:r>
          </w:p>
        </w:tc>
        <w:tc>
          <w:tcPr>
            <w:tcW w:w="1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232,036</w:t>
            </w:r>
          </w:p>
        </w:tc>
        <w:tc>
          <w:tcPr>
            <w:tcW w:w="1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5"/>
              </w:rPr>
              <w:t>241,824</w:t>
            </w:r>
          </w:p>
        </w:tc>
        <w:tc>
          <w:tcPr>
            <w:tcW w:w="1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gridSpan w:val="2"/>
            <w:shd w:val="clear" w:color="auto" w:fill="CCEEFF"/>
          </w:tcPr>
          <w:p>
            <w:pPr>
              <w:jc w:val="right"/>
              <w:spacing w:after="0" w:line="114" w:lineRule="exact"/>
              <w:rPr>
                <w:sz w:val="20"/>
                <w:szCs w:val="20"/>
                <w:color w:val="auto"/>
              </w:rPr>
            </w:pPr>
            <w:r>
              <w:rPr>
                <w:rFonts w:ascii="Arial" w:cs="Arial" w:eastAsia="Arial" w:hAnsi="Arial"/>
                <w:sz w:val="11"/>
                <w:szCs w:val="11"/>
                <w:color w:val="auto"/>
                <w:w w:val="90"/>
              </w:rPr>
              <w:t>156,560</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Income (loss) from operations</w:t>
            </w: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5840" w:type="dxa"/>
            <w:vAlign w:val="bottom"/>
            <w:gridSpan w:val="2"/>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2"/>
              </w:rPr>
              <w:t>(11,559)</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2"/>
              </w:rPr>
              <w:t>(11,384)</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7"/>
              </w:rPr>
              <w:t>(49,185)</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2"/>
              </w:rPr>
              <w:t>(50,898)</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jc w:val="right"/>
              <w:spacing w:after="0" w:line="111" w:lineRule="exact"/>
              <w:rPr>
                <w:sz w:val="20"/>
                <w:szCs w:val="20"/>
                <w:color w:val="auto"/>
              </w:rPr>
            </w:pPr>
            <w:r>
              <w:rPr>
                <w:rFonts w:ascii="Arial" w:cs="Arial" w:eastAsia="Arial" w:hAnsi="Arial"/>
                <w:sz w:val="11"/>
                <w:szCs w:val="11"/>
                <w:color w:val="auto"/>
              </w:rPr>
              <w:t>22,491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Interest and other income (expense), net</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1,561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3,993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12,710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19,297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15,405</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Income (loss) from continuing operations before income taxes</w:t>
            </w: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5840" w:type="dxa"/>
            <w:vAlign w:val="bottom"/>
            <w:gridSpan w:val="2"/>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(9,998)</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(7,391)</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7"/>
              </w:rPr>
              <w:t>(36,475)</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2"/>
              </w:rPr>
              <w:t>(31,601)</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jc w:val="right"/>
              <w:spacing w:after="0" w:line="111" w:lineRule="exact"/>
              <w:rPr>
                <w:sz w:val="20"/>
                <w:szCs w:val="20"/>
                <w:color w:val="auto"/>
              </w:rPr>
            </w:pPr>
            <w:r>
              <w:rPr>
                <w:rFonts w:ascii="Arial" w:cs="Arial" w:eastAsia="Arial" w:hAnsi="Arial"/>
                <w:sz w:val="11"/>
                <w:szCs w:val="11"/>
                <w:color w:val="auto"/>
              </w:rPr>
              <w:t>37,896</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Income tax benefit (provision)</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1"/>
                <w:szCs w:val="11"/>
                <w:color w:val="auto"/>
              </w:rPr>
              <w:t>(693)</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2,459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(79,675)</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8,474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64,958</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Income (loss) from continuing operations</w:t>
            </w: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5840" w:type="dxa"/>
            <w:vAlign w:val="bottom"/>
            <w:gridSpan w:val="2"/>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2"/>
              </w:rPr>
              <w:t>(10,691)</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(4,932)</w:t>
            </w: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84"/>
              </w:rPr>
              <w:t>(116,150)</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w w:val="92"/>
              </w:rPr>
              <w:t>(23,127)</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jc w:val="right"/>
              <w:spacing w:after="0" w:line="111" w:lineRule="exact"/>
              <w:rPr>
                <w:sz w:val="20"/>
                <w:szCs w:val="20"/>
                <w:color w:val="auto"/>
              </w:rPr>
            </w:pPr>
            <w:r>
              <w:rPr>
                <w:rFonts w:ascii="Arial" w:cs="Arial" w:eastAsia="Arial" w:hAnsi="Arial"/>
                <w:sz w:val="11"/>
                <w:szCs w:val="11"/>
                <w:color w:val="auto"/>
                <w:w w:val="90"/>
              </w:rPr>
              <w:t>102,854</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Loss from discontinued operations</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(4,491)</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1"/>
                <w:szCs w:val="11"/>
                <w:color w:val="auto"/>
              </w:rPr>
              <w:t>(1,086)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5840" w:type="dxa"/>
            <w:vAlign w:val="bottom"/>
            <w:gridSpan w:val="2"/>
          </w:tcPr>
          <w:p>
            <w:pPr>
              <w:spacing w:after="0"/>
              <w:rPr>
                <w:sz w:val="20"/>
                <w:szCs w:val="20"/>
                <w:color w:val="auto"/>
              </w:rPr>
            </w:pPr>
            <w:r>
              <w:rPr>
                <w:rFonts w:ascii="Arial" w:cs="Arial" w:eastAsia="Arial" w:hAnsi="Arial"/>
                <w:sz w:val="11"/>
                <w:szCs w:val="11"/>
                <w:color w:val="auto"/>
              </w:rPr>
              <w:t>Loss on sale of discontinued operations</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(741)</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84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Net income (loss)</w:t>
            </w:r>
          </w:p>
        </w:tc>
        <w:tc>
          <w:tcPr>
            <w:tcW w:w="1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1"/>
                <w:szCs w:val="11"/>
                <w:color w:val="auto"/>
              </w:rPr>
              <w:t>(10,691)</w:t>
            </w:r>
          </w:p>
        </w:tc>
        <w:tc>
          <w:tcPr>
            <w:tcW w:w="1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1"/>
                <w:szCs w:val="11"/>
                <w:color w:val="auto"/>
              </w:rPr>
              <w:t>(4,932)</w:t>
            </w:r>
          </w:p>
        </w:tc>
        <w:tc>
          <w:tcPr>
            <w:tcW w:w="1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1"/>
                <w:szCs w:val="11"/>
                <w:color w:val="auto"/>
                <w:w w:val="93"/>
              </w:rPr>
              <w:t>(121,382)</w:t>
            </w:r>
          </w:p>
        </w:tc>
        <w:tc>
          <w:tcPr>
            <w:tcW w:w="1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1"/>
                <w:szCs w:val="11"/>
                <w:color w:val="auto"/>
              </w:rPr>
              <w:t>(24,213)</w:t>
            </w:r>
          </w:p>
        </w:tc>
        <w:tc>
          <w:tcPr>
            <w:tcW w:w="160" w:type="dxa"/>
            <w:vAlign w:val="bottom"/>
            <w:gridSpan w:val="2"/>
            <w:shd w:val="clear" w:color="auto" w:fill="CCEEFF"/>
          </w:tcPr>
          <w:p>
            <w:pPr>
              <w:jc w:val="right"/>
              <w:ind w:right="20"/>
              <w:spacing w:after="0" w:line="114"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1"/>
                <w:szCs w:val="11"/>
                <w:color w:val="auto"/>
                <w:w w:val="90"/>
              </w:rPr>
              <w:t>102,854</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5840" w:type="dxa"/>
            <w:vAlign w:val="bottom"/>
            <w:gridSpan w:val="2"/>
            <w:vMerge w:val="restart"/>
          </w:tcPr>
          <w:p>
            <w:pPr>
              <w:spacing w:after="0"/>
              <w:rPr>
                <w:sz w:val="20"/>
                <w:szCs w:val="20"/>
                <w:color w:val="auto"/>
              </w:rPr>
            </w:pPr>
            <w:r>
              <w:rPr>
                <w:rFonts w:ascii="Arial" w:cs="Arial" w:eastAsia="Arial" w:hAnsi="Arial"/>
                <w:sz w:val="11"/>
                <w:szCs w:val="11"/>
                <w:color w:val="auto"/>
              </w:rPr>
              <w:t>Earnings (loss) per share:</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Basic:</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140"/>
              <w:spacing w:after="0" w:line="121" w:lineRule="exact"/>
              <w:rPr>
                <w:sz w:val="20"/>
                <w:szCs w:val="20"/>
                <w:color w:val="auto"/>
              </w:rPr>
            </w:pPr>
            <w:r>
              <w:rPr>
                <w:rFonts w:ascii="Arial" w:cs="Arial" w:eastAsia="Arial" w:hAnsi="Arial"/>
                <w:sz w:val="11"/>
                <w:szCs w:val="11"/>
                <w:color w:val="auto"/>
              </w:rPr>
              <w:t>Continuing operations</w:t>
            </w: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line="121" w:lineRule="exact"/>
              <w:rPr>
                <w:sz w:val="20"/>
                <w:szCs w:val="20"/>
                <w:color w:val="auto"/>
              </w:rPr>
            </w:pPr>
            <w:r>
              <w:rPr>
                <w:rFonts w:ascii="Arial" w:cs="Arial" w:eastAsia="Arial" w:hAnsi="Arial"/>
                <w:sz w:val="11"/>
                <w:szCs w:val="11"/>
                <w:color w:val="auto"/>
              </w:rPr>
              <w:t>(0.04)</w:t>
            </w:r>
          </w:p>
        </w:tc>
        <w:tc>
          <w:tcPr>
            <w:tcW w:w="1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(0.02)</w:t>
            </w:r>
          </w:p>
        </w:tc>
        <w:tc>
          <w:tcPr>
            <w:tcW w:w="1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(0.43)</w:t>
            </w: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line="121" w:lineRule="exact"/>
              <w:rPr>
                <w:sz w:val="20"/>
                <w:szCs w:val="20"/>
                <w:color w:val="auto"/>
              </w:rPr>
            </w:pPr>
            <w:r>
              <w:rPr>
                <w:rFonts w:ascii="Arial" w:cs="Arial" w:eastAsia="Arial" w:hAnsi="Arial"/>
                <w:sz w:val="11"/>
                <w:szCs w:val="11"/>
                <w:color w:val="auto"/>
              </w:rPr>
              <w:t>(0.09)</w:t>
            </w:r>
          </w:p>
        </w:tc>
        <w:tc>
          <w:tcPr>
            <w:tcW w:w="1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0.41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1"/>
                <w:szCs w:val="11"/>
                <w:color w:val="auto"/>
              </w:rPr>
              <w:t>Discontinued operations</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(0.02)</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(0.04)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(0.45)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(0.09)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0.41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840" w:type="dxa"/>
            <w:vAlign w:val="bottom"/>
            <w:gridSpan w:val="2"/>
            <w:shd w:val="clear" w:color="auto" w:fill="CCEEFF"/>
          </w:tcPr>
          <w:p>
            <w:pPr>
              <w:ind w:left="80"/>
              <w:spacing w:after="0" w:line="99" w:lineRule="exact"/>
              <w:rPr>
                <w:sz w:val="20"/>
                <w:szCs w:val="20"/>
                <w:color w:val="auto"/>
              </w:rPr>
            </w:pPr>
            <w:r>
              <w:rPr>
                <w:rFonts w:ascii="Arial" w:cs="Arial" w:eastAsia="Arial" w:hAnsi="Arial"/>
                <w:sz w:val="11"/>
                <w:szCs w:val="11"/>
                <w:color w:val="auto"/>
              </w:rPr>
              <w:t>Diluted:</w:t>
            </w: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140"/>
              <w:spacing w:after="0" w:line="121" w:lineRule="exact"/>
              <w:rPr>
                <w:sz w:val="20"/>
                <w:szCs w:val="20"/>
                <w:color w:val="auto"/>
              </w:rPr>
            </w:pPr>
            <w:r>
              <w:rPr>
                <w:rFonts w:ascii="Arial" w:cs="Arial" w:eastAsia="Arial" w:hAnsi="Arial"/>
                <w:sz w:val="11"/>
                <w:szCs w:val="11"/>
                <w:color w:val="auto"/>
              </w:rPr>
              <w:t>Continuing operations</w:t>
            </w: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line="121" w:lineRule="exact"/>
              <w:rPr>
                <w:sz w:val="20"/>
                <w:szCs w:val="20"/>
                <w:color w:val="auto"/>
              </w:rPr>
            </w:pPr>
            <w:r>
              <w:rPr>
                <w:rFonts w:ascii="Arial" w:cs="Arial" w:eastAsia="Arial" w:hAnsi="Arial"/>
                <w:sz w:val="11"/>
                <w:szCs w:val="11"/>
                <w:color w:val="auto"/>
              </w:rPr>
              <w:t>(0.04)</w:t>
            </w:r>
          </w:p>
        </w:tc>
        <w:tc>
          <w:tcPr>
            <w:tcW w:w="1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(0.02)</w:t>
            </w:r>
          </w:p>
        </w:tc>
        <w:tc>
          <w:tcPr>
            <w:tcW w:w="1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(0.43)</w:t>
            </w: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line="121" w:lineRule="exact"/>
              <w:rPr>
                <w:sz w:val="20"/>
                <w:szCs w:val="20"/>
                <w:color w:val="auto"/>
              </w:rPr>
            </w:pPr>
            <w:r>
              <w:rPr>
                <w:rFonts w:ascii="Arial" w:cs="Arial" w:eastAsia="Arial" w:hAnsi="Arial"/>
                <w:sz w:val="11"/>
                <w:szCs w:val="11"/>
                <w:color w:val="auto"/>
              </w:rPr>
              <w:t>(0.09)</w:t>
            </w:r>
          </w:p>
        </w:tc>
        <w:tc>
          <w:tcPr>
            <w:tcW w:w="160" w:type="dxa"/>
            <w:vAlign w:val="bottom"/>
            <w:gridSpan w:val="2"/>
          </w:tcPr>
          <w:p>
            <w:pPr>
              <w:jc w:val="right"/>
              <w:ind w:right="20"/>
              <w:spacing w:after="0" w:line="121" w:lineRule="exact"/>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0.40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1"/>
                <w:szCs w:val="11"/>
                <w:color w:val="auto"/>
              </w:rPr>
              <w:t>Discontinued operations</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(0.02)</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(0.04)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(0.45)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(0.09)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0.40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840" w:type="dxa"/>
            <w:vAlign w:val="bottom"/>
            <w:gridSpan w:val="2"/>
            <w:shd w:val="clear" w:color="auto" w:fill="CCEEFF"/>
          </w:tcPr>
          <w:p>
            <w:pPr>
              <w:spacing w:after="0" w:line="99" w:lineRule="exact"/>
              <w:rPr>
                <w:sz w:val="20"/>
                <w:szCs w:val="20"/>
                <w:color w:val="auto"/>
              </w:rPr>
            </w:pPr>
            <w:r>
              <w:rPr>
                <w:rFonts w:ascii="Arial" w:cs="Arial" w:eastAsia="Arial" w:hAnsi="Arial"/>
                <w:sz w:val="11"/>
                <w:szCs w:val="11"/>
                <w:color w:val="auto"/>
              </w:rPr>
              <w:t>Shares used to compute earnings (loss) per share:</w:t>
            </w: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84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Basic</w:t>
            </w: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w w:val="95"/>
              </w:rPr>
              <w:t>275,470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w w:val="95"/>
              </w:rPr>
              <w:t>273,730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271,477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1"/>
                <w:szCs w:val="11"/>
                <w:color w:val="auto"/>
                <w:w w:val="95"/>
              </w:rPr>
              <w:t>262,924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spacing w:after="0" w:line="121" w:lineRule="exact"/>
              <w:rPr>
                <w:sz w:val="20"/>
                <w:szCs w:val="20"/>
                <w:color w:val="auto"/>
              </w:rPr>
            </w:pPr>
            <w:r>
              <w:rPr>
                <w:rFonts w:ascii="Arial" w:cs="Arial" w:eastAsia="Arial" w:hAnsi="Arial"/>
                <w:sz w:val="11"/>
                <w:szCs w:val="11"/>
                <w:color w:val="auto"/>
                <w:w w:val="90"/>
              </w:rPr>
              <w:t>253,771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40" w:type="dxa"/>
            <w:vAlign w:val="bottom"/>
            <w:gridSpan w:val="2"/>
            <w:shd w:val="clear" w:color="auto" w:fill="CCEEFF"/>
          </w:tcPr>
          <w:p>
            <w:pPr>
              <w:ind w:left="80"/>
              <w:spacing w:after="0" w:line="121" w:lineRule="exact"/>
              <w:rPr>
                <w:sz w:val="20"/>
                <w:szCs w:val="20"/>
                <w:color w:val="auto"/>
              </w:rPr>
            </w:pPr>
            <w:r>
              <w:rPr>
                <w:rFonts w:ascii="Arial" w:cs="Arial" w:eastAsia="Arial" w:hAnsi="Arial"/>
                <w:sz w:val="11"/>
                <w:szCs w:val="11"/>
                <w:color w:val="auto"/>
              </w:rPr>
              <w:t>Diluted</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5"/>
              </w:rPr>
              <w:t>275,470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5"/>
              </w:rPr>
              <w:t>273,730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271,477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5"/>
              </w:rPr>
              <w:t>262,924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w w:val="90"/>
              </w:rPr>
              <w:t>258,338</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5620" w:type="dxa"/>
            <w:vAlign w:val="bottom"/>
            <w:gridSpan w:val="4"/>
          </w:tcPr>
          <w:p>
            <w:pPr>
              <w:spacing w:after="0"/>
              <w:rPr>
                <w:sz w:val="20"/>
                <w:szCs w:val="20"/>
                <w:color w:val="auto"/>
              </w:rPr>
            </w:pPr>
            <w:r>
              <w:rPr>
                <w:rFonts w:ascii="Arial" w:cs="Arial" w:eastAsia="Arial" w:hAnsi="Arial"/>
                <w:sz w:val="11"/>
                <w:szCs w:val="11"/>
                <w:b w:val="1"/>
                <w:bCs w:val="1"/>
                <w:color w:val="auto"/>
              </w:rPr>
              <w:t>Consolidated Balance Sheet Data</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December 31,</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1"/>
        </w:trPr>
        <w:tc>
          <w:tcPr>
            <w:tcW w:w="5620" w:type="dxa"/>
            <w:vAlign w:val="bottom"/>
            <w:gridSpan w:val="4"/>
          </w:tcPr>
          <w:p>
            <w:pPr>
              <w:spacing w:after="0" w:line="111" w:lineRule="exact"/>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9"/>
                <w:szCs w:val="9"/>
                <w:color w:val="auto"/>
              </w:rPr>
            </w:pPr>
          </w:p>
        </w:tc>
        <w:tc>
          <w:tcPr>
            <w:tcW w:w="420" w:type="dxa"/>
            <w:vAlign w:val="bottom"/>
          </w:tcPr>
          <w:p>
            <w:pPr>
              <w:jc w:val="right"/>
              <w:ind w:right="125"/>
              <w:spacing w:after="0" w:line="111" w:lineRule="exact"/>
              <w:rPr>
                <w:sz w:val="20"/>
                <w:szCs w:val="20"/>
                <w:color w:val="auto"/>
              </w:rPr>
            </w:pPr>
            <w:r>
              <w:rPr>
                <w:rFonts w:ascii="Arial" w:cs="Arial" w:eastAsia="Arial" w:hAnsi="Arial"/>
                <w:sz w:val="11"/>
                <w:szCs w:val="11"/>
                <w:b w:val="1"/>
                <w:bCs w:val="1"/>
                <w:color w:val="auto"/>
                <w:w w:val="89"/>
              </w:rPr>
              <w:t>2010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ind w:right="125"/>
              <w:spacing w:after="0" w:line="111" w:lineRule="exact"/>
              <w:rPr>
                <w:sz w:val="20"/>
                <w:szCs w:val="20"/>
                <w:color w:val="auto"/>
              </w:rPr>
            </w:pPr>
            <w:r>
              <w:rPr>
                <w:rFonts w:ascii="Arial" w:cs="Arial" w:eastAsia="Arial" w:hAnsi="Arial"/>
                <w:sz w:val="11"/>
                <w:szCs w:val="11"/>
                <w:b w:val="1"/>
                <w:bCs w:val="1"/>
                <w:color w:val="auto"/>
                <w:w w:val="89"/>
              </w:rPr>
              <w:t>2009</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ind w:right="125"/>
              <w:spacing w:after="0" w:line="111" w:lineRule="exact"/>
              <w:rPr>
                <w:sz w:val="20"/>
                <w:szCs w:val="20"/>
                <w:color w:val="auto"/>
              </w:rPr>
            </w:pPr>
            <w:r>
              <w:rPr>
                <w:rFonts w:ascii="Arial" w:cs="Arial" w:eastAsia="Arial" w:hAnsi="Arial"/>
                <w:sz w:val="11"/>
                <w:szCs w:val="11"/>
                <w:b w:val="1"/>
                <w:bCs w:val="1"/>
                <w:color w:val="auto"/>
                <w:w w:val="89"/>
              </w:rPr>
              <w:t>2008</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ind w:right="125"/>
              <w:spacing w:after="0" w:line="111" w:lineRule="exact"/>
              <w:rPr>
                <w:sz w:val="20"/>
                <w:szCs w:val="20"/>
                <w:color w:val="auto"/>
              </w:rPr>
            </w:pPr>
            <w:r>
              <w:rPr>
                <w:rFonts w:ascii="Arial" w:cs="Arial" w:eastAsia="Arial" w:hAnsi="Arial"/>
                <w:sz w:val="11"/>
                <w:szCs w:val="11"/>
                <w:b w:val="1"/>
                <w:bCs w:val="1"/>
                <w:color w:val="auto"/>
                <w:w w:val="89"/>
              </w:rPr>
              <w:t>2007</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ind w:right="125"/>
              <w:spacing w:after="0" w:line="111" w:lineRule="exact"/>
              <w:rPr>
                <w:sz w:val="20"/>
                <w:szCs w:val="20"/>
                <w:color w:val="auto"/>
              </w:rPr>
            </w:pPr>
            <w:r>
              <w:rPr>
                <w:rFonts w:ascii="Arial" w:cs="Arial" w:eastAsia="Arial" w:hAnsi="Arial"/>
                <w:sz w:val="11"/>
                <w:szCs w:val="11"/>
                <w:b w:val="1"/>
                <w:bCs w:val="1"/>
                <w:color w:val="auto"/>
                <w:w w:val="89"/>
              </w:rPr>
              <w:t>2006</w:t>
            </w:r>
          </w:p>
        </w:tc>
        <w:tc>
          <w:tcPr>
            <w:tcW w:w="140" w:type="dxa"/>
            <w:vAlign w:val="bottom"/>
          </w:tcPr>
          <w:p>
            <w:pPr>
              <w:spacing w:after="0"/>
              <w:rPr>
                <w:sz w:val="9"/>
                <w:szCs w:val="9"/>
                <w:color w:val="auto"/>
              </w:rPr>
            </w:pPr>
          </w:p>
        </w:tc>
      </w:tr>
      <w:tr>
        <w:trPr>
          <w:trHeight w:val="111"/>
        </w:trPr>
        <w:tc>
          <w:tcPr>
            <w:tcW w:w="20" w:type="dxa"/>
            <w:vAlign w:val="bottom"/>
          </w:tcPr>
          <w:p>
            <w:pPr>
              <w:spacing w:after="0"/>
              <w:rPr>
                <w:sz w:val="9"/>
                <w:szCs w:val="9"/>
                <w:color w:val="auto"/>
              </w:rPr>
            </w:pPr>
          </w:p>
        </w:tc>
        <w:tc>
          <w:tcPr>
            <w:tcW w:w="148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1"/>
                <w:szCs w:val="11"/>
                <w:color w:val="auto"/>
              </w:rPr>
              <w:t>Cash and cash equivalents</w:t>
            </w:r>
          </w:p>
        </w:tc>
        <w:tc>
          <w:tcPr>
            <w:tcW w:w="4120" w:type="dxa"/>
            <w:vAlign w:val="bottom"/>
            <w:gridSpan w:val="2"/>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62,501</w:t>
            </w:r>
          </w:p>
        </w:tc>
        <w:tc>
          <w:tcPr>
            <w:tcW w:w="1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125,323</w:t>
            </w:r>
          </w:p>
        </w:tc>
        <w:tc>
          <w:tcPr>
            <w:tcW w:w="1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122,207</w:t>
            </w:r>
          </w:p>
        </w:tc>
        <w:tc>
          <w:tcPr>
            <w:tcW w:w="1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118,933</w:t>
            </w:r>
          </w:p>
        </w:tc>
        <w:tc>
          <w:tcPr>
            <w:tcW w:w="1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4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44,206</w:t>
            </w:r>
          </w:p>
        </w:tc>
        <w:tc>
          <w:tcPr>
            <w:tcW w:w="140" w:type="dxa"/>
            <w:vAlign w:val="bottom"/>
            <w:shd w:val="clear" w:color="auto" w:fill="CCEEFF"/>
          </w:tcPr>
          <w:p>
            <w:pPr>
              <w:spacing w:after="0"/>
              <w:rPr>
                <w:sz w:val="9"/>
                <w:szCs w:val="9"/>
                <w:color w:val="auto"/>
              </w:rPr>
            </w:pPr>
          </w:p>
        </w:tc>
      </w:tr>
      <w:tr>
        <w:trPr>
          <w:trHeight w:val="120"/>
        </w:trPr>
        <w:tc>
          <w:tcPr>
            <w:tcW w:w="20" w:type="dxa"/>
            <w:vAlign w:val="bottom"/>
          </w:tcPr>
          <w:p>
            <w:pPr>
              <w:spacing w:after="0"/>
              <w:rPr>
                <w:sz w:val="10"/>
                <w:szCs w:val="10"/>
                <w:color w:val="auto"/>
              </w:rPr>
            </w:pPr>
          </w:p>
        </w:tc>
        <w:tc>
          <w:tcPr>
            <w:tcW w:w="5600" w:type="dxa"/>
            <w:vAlign w:val="bottom"/>
            <w:gridSpan w:val="3"/>
          </w:tcPr>
          <w:p>
            <w:pPr>
              <w:spacing w:after="0" w:line="121" w:lineRule="exact"/>
              <w:rPr>
                <w:sz w:val="20"/>
                <w:szCs w:val="20"/>
                <w:color w:val="auto"/>
              </w:rPr>
            </w:pPr>
            <w:r>
              <w:rPr>
                <w:rFonts w:ascii="Arial" w:cs="Arial" w:eastAsia="Arial" w:hAnsi="Arial"/>
                <w:sz w:val="11"/>
                <w:szCs w:val="11"/>
                <w:color w:val="auto"/>
              </w:rPr>
              <w:t>Short-term marketable securities</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258,831</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239,223</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180,786</w:t>
            </w:r>
          </w:p>
        </w:tc>
        <w:tc>
          <w:tcPr>
            <w:tcW w:w="14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207,088</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256,485</w:t>
            </w:r>
          </w:p>
        </w:tc>
        <w:tc>
          <w:tcPr>
            <w:tcW w:w="1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60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Long-term investments</w:t>
            </w:r>
          </w:p>
        </w:tc>
        <w:tc>
          <w:tcPr>
            <w:tcW w:w="1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87,087</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49,598</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84,965</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66,568</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60,189</w:t>
            </w:r>
          </w:p>
        </w:tc>
        <w:tc>
          <w:tcPr>
            <w:tcW w:w="140" w:type="dxa"/>
            <w:vAlign w:val="bottom"/>
            <w:shd w:val="clear" w:color="auto" w:fill="CCEEFF"/>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600" w:type="dxa"/>
            <w:vAlign w:val="bottom"/>
            <w:gridSpan w:val="3"/>
          </w:tcPr>
          <w:p>
            <w:pPr>
              <w:spacing w:after="0" w:line="121" w:lineRule="exact"/>
              <w:rPr>
                <w:sz w:val="20"/>
                <w:szCs w:val="20"/>
                <w:color w:val="auto"/>
              </w:rPr>
            </w:pPr>
            <w:r>
              <w:rPr>
                <w:rFonts w:ascii="Arial" w:cs="Arial" w:eastAsia="Arial" w:hAnsi="Arial"/>
                <w:sz w:val="11"/>
                <w:szCs w:val="11"/>
                <w:color w:val="auto"/>
              </w:rPr>
              <w:t>Working capital</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323,477</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352,409</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327,088</w:t>
            </w:r>
          </w:p>
        </w:tc>
        <w:tc>
          <w:tcPr>
            <w:tcW w:w="14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365,204</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312,197</w:t>
            </w:r>
          </w:p>
        </w:tc>
        <w:tc>
          <w:tcPr>
            <w:tcW w:w="1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60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Total assets</w:t>
            </w:r>
          </w:p>
        </w:tc>
        <w:tc>
          <w:tcPr>
            <w:tcW w:w="1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555,954</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540,737</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535,585</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694,168</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589,604</w:t>
            </w:r>
          </w:p>
        </w:tc>
        <w:tc>
          <w:tcPr>
            <w:tcW w:w="140" w:type="dxa"/>
            <w:vAlign w:val="bottom"/>
            <w:shd w:val="clear" w:color="auto" w:fill="CCEEFF"/>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600" w:type="dxa"/>
            <w:vAlign w:val="bottom"/>
            <w:gridSpan w:val="3"/>
          </w:tcPr>
          <w:p>
            <w:pPr>
              <w:spacing w:after="0" w:line="121" w:lineRule="exact"/>
              <w:rPr>
                <w:sz w:val="20"/>
                <w:szCs w:val="20"/>
                <w:color w:val="auto"/>
              </w:rPr>
            </w:pPr>
            <w:r>
              <w:rPr>
                <w:rFonts w:ascii="Arial" w:cs="Arial" w:eastAsia="Arial" w:hAnsi="Arial"/>
                <w:sz w:val="11"/>
                <w:szCs w:val="11"/>
                <w:color w:val="auto"/>
              </w:rPr>
              <w:t>Long-term deferred revenue, net of current portion</w:t>
            </w: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42,811</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25,242</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37,991</w:t>
            </w:r>
          </w:p>
        </w:tc>
        <w:tc>
          <w:tcPr>
            <w:tcW w:w="140" w:type="dxa"/>
            <w:vAlign w:val="bottom"/>
          </w:tcPr>
          <w:p>
            <w:pPr>
              <w:spacing w:after="0"/>
              <w:rPr>
                <w:sz w:val="10"/>
                <w:szCs w:val="10"/>
                <w:color w:val="auto"/>
              </w:rPr>
            </w:pPr>
          </w:p>
        </w:tc>
        <w:tc>
          <w:tcPr>
            <w:tcW w:w="16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16,462</w:t>
            </w:r>
          </w:p>
        </w:tc>
        <w:tc>
          <w:tcPr>
            <w:tcW w:w="28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1"/>
                <w:szCs w:val="11"/>
                <w:color w:val="auto"/>
              </w:rPr>
              <w:t>33,787</w:t>
            </w:r>
          </w:p>
        </w:tc>
        <w:tc>
          <w:tcPr>
            <w:tcW w:w="140" w:type="dxa"/>
            <w:vAlign w:val="bottom"/>
          </w:tcPr>
          <w:p>
            <w:pPr>
              <w:spacing w:after="0"/>
              <w:rPr>
                <w:sz w:val="10"/>
                <w:szCs w:val="10"/>
                <w:color w:val="auto"/>
              </w:rPr>
            </w:pPr>
          </w:p>
        </w:tc>
      </w:tr>
      <w:tr>
        <w:trPr>
          <w:trHeight w:val="120"/>
        </w:trPr>
        <w:tc>
          <w:tcPr>
            <w:tcW w:w="20" w:type="dxa"/>
            <w:vAlign w:val="bottom"/>
          </w:tcPr>
          <w:p>
            <w:pPr>
              <w:spacing w:after="0"/>
              <w:rPr>
                <w:sz w:val="10"/>
                <w:szCs w:val="10"/>
                <w:color w:val="auto"/>
              </w:rPr>
            </w:pPr>
          </w:p>
        </w:tc>
        <w:tc>
          <w:tcPr>
            <w:tcW w:w="560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Long-term liabilities, net of current portion</w:t>
            </w:r>
          </w:p>
        </w:tc>
        <w:tc>
          <w:tcPr>
            <w:tcW w:w="1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4,138</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1,127</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1,865</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2,061</w:t>
            </w:r>
          </w:p>
        </w:tc>
        <w:tc>
          <w:tcPr>
            <w:tcW w:w="2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1,467</w:t>
            </w:r>
          </w:p>
        </w:tc>
        <w:tc>
          <w:tcPr>
            <w:tcW w:w="140" w:type="dxa"/>
            <w:vAlign w:val="bottom"/>
            <w:shd w:val="clear" w:color="auto" w:fill="CCEEFF"/>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5600" w:type="dxa"/>
            <w:vAlign w:val="bottom"/>
            <w:gridSpan w:val="3"/>
          </w:tcPr>
          <w:p>
            <w:pPr>
              <w:spacing w:after="0"/>
              <w:rPr>
                <w:sz w:val="20"/>
                <w:szCs w:val="20"/>
                <w:color w:val="auto"/>
              </w:rPr>
            </w:pPr>
            <w:r>
              <w:rPr>
                <w:rFonts w:ascii="Arial" w:cs="Arial" w:eastAsia="Arial" w:hAnsi="Arial"/>
                <w:sz w:val="11"/>
                <w:szCs w:val="11"/>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418,956</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414,238</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406,435</w:t>
            </w:r>
          </w:p>
        </w:tc>
        <w:tc>
          <w:tcPr>
            <w:tcW w:w="1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493,704</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432,533</w:t>
            </w:r>
          </w:p>
        </w:tc>
        <w:tc>
          <w:tcPr>
            <w:tcW w:w="140" w:type="dxa"/>
            <w:vAlign w:val="bottom"/>
          </w:tcPr>
          <w:p>
            <w:pPr>
              <w:spacing w:after="0"/>
              <w:rPr>
                <w:sz w:val="11"/>
                <w:szCs w:val="11"/>
                <w:color w:val="auto"/>
              </w:rPr>
            </w:pPr>
          </w:p>
        </w:tc>
      </w:tr>
      <w:tr>
        <w:trPr>
          <w:trHeight w:val="70"/>
        </w:trPr>
        <w:tc>
          <w:tcPr>
            <w:tcW w:w="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57" w:lineRule="exact"/>
        <w:rPr>
          <w:sz w:val="20"/>
          <w:szCs w:val="20"/>
          <w:color w:val="auto"/>
        </w:rPr>
      </w:pPr>
    </w:p>
    <w:p>
      <w:pPr>
        <w:ind w:left="1580" w:hanging="427"/>
        <w:spacing w:after="0" w:line="248" w:lineRule="auto"/>
        <w:tabs>
          <w:tab w:leader="none" w:pos="15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the results of operations of Atreus Systems, Inc. for the period subsequent to its acquisition by the Company on April 18, 2008 and $88.4 million of income tax expense related to the recording of a valuation allowance on certain deferred tax assets.</w:t>
      </w:r>
    </w:p>
    <w:p>
      <w:pPr>
        <w:spacing w:after="0" w:line="88" w:lineRule="exact"/>
        <w:rPr>
          <w:rFonts w:ascii="Arial" w:cs="Arial" w:eastAsia="Arial" w:hAnsi="Arial"/>
          <w:sz w:val="11"/>
          <w:szCs w:val="11"/>
          <w:color w:val="auto"/>
        </w:rPr>
      </w:pPr>
    </w:p>
    <w:p>
      <w:pPr>
        <w:ind w:left="1580" w:hanging="427"/>
        <w:spacing w:after="0"/>
        <w:tabs>
          <w:tab w:leader="none" w:pos="15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an income tax benefit of $82.6 million related to the reversal of a valuation allowance on certain deferred tax assets.</w:t>
      </w:r>
    </w:p>
    <w:p>
      <w:pPr>
        <w:spacing w:after="0" w:line="16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000"/>
          </w:cols>
          <w:pgMar w:left="220" w:top="132" w:right="6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93" w:lineRule="exact"/>
        <w:rPr>
          <w:sz w:val="20"/>
          <w:szCs w:val="20"/>
          <w:color w:val="auto"/>
        </w:rPr>
      </w:pPr>
    </w:p>
    <w:p>
      <w:pPr>
        <w:ind w:right="80" w:firstLine="284"/>
        <w:spacing w:after="0" w:line="286" w:lineRule="auto"/>
        <w:rPr>
          <w:sz w:val="20"/>
          <w:szCs w:val="20"/>
          <w:color w:val="auto"/>
        </w:rPr>
      </w:pPr>
      <w:r>
        <w:rPr>
          <w:rFonts w:ascii="Arial" w:cs="Arial" w:eastAsia="Arial" w:hAnsi="Arial"/>
          <w:sz w:val="13"/>
          <w:szCs w:val="13"/>
          <w:i w:val="1"/>
          <w:iCs w:val="1"/>
          <w:color w:val="auto"/>
        </w:rPr>
        <w:t>The following discussion should be read in conjunction with our consolidated financial statements and notes to those statements and other financial information appearing elsewhere in this Annual Report on Form 10-K. The following discussion contains forward- looking information within the meaning of Section 27A of the Securities Act of 1933, as amended, and Section 21E of the Securities and Exchange Act of 1934, as amended, or the Exchange Act, and are subject to the "safe harbor" created by those sections. In particular, statements contained in this Annual Report on Form 10-K that are not historical facts, including but not limited to statements concerning revenues, revenue recognition, cost of revenues, operating expenses, research and development expenses, sales and marketing expenses, general and administrative expenses, employee-related costs, our ability to attract and retain qualified personnel, valuations of investments, valuation of stock-based awards, and liquidity, constitute forward-looking statements and are made under these safe harbor provisions. Some of the forward-looking statements can be identified by the use of forward-looking terms such as "believes," "expects," "may," "will," "should," "could," "seek," "intends," "plans," "estimates," "anticipates," or other comparable terms. Forward-looking statements involve inherent risks and uncertainties that could cause actual results to differ materially from those in the forward-looking statements. We urge you to consider the risks and uncertainties discussed in greater detail under the heading "Risk Factors" in evaluating our forward-looking statements. These forward-looking statements are based on our current expectations, assumptions, estimates and projections about our industry and ourselves, and we do not undertake an obligation to update our forward-looking statements to reflect future events or circumstances.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93" w:lineRule="exact"/>
        <w:rPr>
          <w:sz w:val="20"/>
          <w:szCs w:val="20"/>
          <w:color w:val="auto"/>
        </w:rPr>
      </w:pPr>
    </w:p>
    <w:p>
      <w:pPr>
        <w:ind w:firstLine="282"/>
        <w:spacing w:after="0" w:line="378" w:lineRule="auto"/>
        <w:rPr>
          <w:sz w:val="20"/>
          <w:szCs w:val="20"/>
          <w:color w:val="auto"/>
        </w:rPr>
      </w:pPr>
      <w:r>
        <w:rPr>
          <w:rFonts w:ascii="Arial" w:cs="Arial" w:eastAsia="Arial" w:hAnsi="Arial"/>
          <w:sz w:val="12"/>
          <w:szCs w:val="12"/>
          <w:color w:val="auto"/>
        </w:rPr>
        <w:t>We are a leading provider of voice and data infrastructure solutions, including softswitch and session border control products for service providers and large enterprises. Our infrastructure solutions allow efficient and reliable delivery of voice and multimedia sessions over IP networks while allowing our customers to manage the flows of such sessions in their networks using business policies.</w:t>
      </w:r>
    </w:p>
    <w:p>
      <w:pPr>
        <w:spacing w:after="0" w:line="90" w:lineRule="exact"/>
        <w:rPr>
          <w:sz w:val="20"/>
          <w:szCs w:val="20"/>
          <w:color w:val="auto"/>
        </w:rPr>
      </w:pPr>
    </w:p>
    <w:p>
      <w:pPr>
        <w:ind w:right="180" w:firstLine="282"/>
        <w:spacing w:after="0" w:line="289" w:lineRule="auto"/>
        <w:rPr>
          <w:sz w:val="20"/>
          <w:szCs w:val="20"/>
          <w:color w:val="auto"/>
        </w:rPr>
      </w:pPr>
      <w:r>
        <w:rPr>
          <w:rFonts w:ascii="Arial" w:cs="Arial" w:eastAsia="Arial" w:hAnsi="Arial"/>
          <w:sz w:val="14"/>
          <w:szCs w:val="14"/>
          <w:color w:val="auto"/>
        </w:rPr>
        <w:t>We sell our products principally through a direct sales force in the United States, Europe, the Middle East, Japan and Asia-Pacific. We continue to expand our presence into new geographies and markets through our relationships with regional channel partners.</w:t>
      </w:r>
    </w:p>
    <w:p>
      <w:pPr>
        <w:spacing w:after="0" w:line="137" w:lineRule="exact"/>
        <w:rPr>
          <w:sz w:val="20"/>
          <w:szCs w:val="20"/>
          <w:color w:val="auto"/>
        </w:rPr>
      </w:pPr>
    </w:p>
    <w:p>
      <w:pPr>
        <w:ind w:right="120" w:firstLine="284"/>
        <w:spacing w:after="0" w:line="275" w:lineRule="auto"/>
        <w:rPr>
          <w:sz w:val="20"/>
          <w:szCs w:val="20"/>
          <w:color w:val="auto"/>
        </w:rPr>
      </w:pPr>
      <w:r>
        <w:rPr>
          <w:rFonts w:ascii="Arial" w:cs="Arial" w:eastAsia="Arial" w:hAnsi="Arial"/>
          <w:sz w:val="14"/>
          <w:szCs w:val="14"/>
          <w:color w:val="auto"/>
        </w:rPr>
        <w:t>Our target customers comprise both traditional and emerging communications service providers, including long-distance carriers, local exchange carriers, Internet service providers, wireless operators, cable operators, international telephone companies and carriers that provide services to other carriers, as well as enterprise customers. We also collaborate with our customers to identify and develop new advanced services and applications that they may offer to their customers.</w:t>
      </w:r>
    </w:p>
    <w:p>
      <w:pPr>
        <w:spacing w:after="0" w:line="146" w:lineRule="exact"/>
        <w:rPr>
          <w:sz w:val="20"/>
          <w:szCs w:val="20"/>
          <w:color w:val="auto"/>
        </w:rPr>
      </w:pPr>
    </w:p>
    <w:p>
      <w:pPr>
        <w:ind w:right="100" w:firstLine="284"/>
        <w:spacing w:after="0" w:line="267" w:lineRule="auto"/>
        <w:rPr>
          <w:sz w:val="20"/>
          <w:szCs w:val="20"/>
          <w:color w:val="auto"/>
        </w:rPr>
      </w:pPr>
      <w:r>
        <w:rPr>
          <w:rFonts w:ascii="Arial" w:cs="Arial" w:eastAsia="Arial" w:hAnsi="Arial"/>
          <w:sz w:val="14"/>
          <w:szCs w:val="14"/>
          <w:color w:val="auto"/>
        </w:rPr>
        <w:t>On May 17, 2010, we announced the general availability of our NBS5200 Network Border Switch (the "NBS5200") as the first product on our next-generation ConnexIP platform. The NBS5200 complements our NBS9000 Network Border Switch as part of our Session Border Control ("SBC") solutions portfolio and provides SBC functionality, including media interworking, advanced routing and policy engine, and multi-access security gateway functionality. The ConnexIP platform is a platform for connecting, managing and securing IP session-based communications and represents a key element in our strategy to bring industry-leading performance and carrier grade reliability to the session management market, and represents a new foundation for the next generation of our IP-based products.</w:t>
      </w:r>
    </w:p>
    <w:p>
      <w:pPr>
        <w:spacing w:after="0" w:line="154" w:lineRule="exact"/>
        <w:rPr>
          <w:sz w:val="20"/>
          <w:szCs w:val="20"/>
          <w:color w:val="auto"/>
        </w:rPr>
      </w:pPr>
    </w:p>
    <w:p>
      <w:pPr>
        <w:ind w:right="20" w:firstLine="282"/>
        <w:spacing w:after="0" w:line="289" w:lineRule="auto"/>
        <w:rPr>
          <w:sz w:val="20"/>
          <w:szCs w:val="20"/>
          <w:color w:val="auto"/>
        </w:rPr>
      </w:pPr>
      <w:r>
        <w:rPr>
          <w:rFonts w:ascii="Arial" w:cs="Arial" w:eastAsia="Arial" w:hAnsi="Arial"/>
          <w:sz w:val="14"/>
          <w:szCs w:val="14"/>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48" w:lineRule="exact"/>
        <w:rPr>
          <w:sz w:val="20"/>
          <w:szCs w:val="20"/>
          <w:color w:val="auto"/>
        </w:rPr>
      </w:pPr>
    </w:p>
    <w:p>
      <w:pPr>
        <w:ind w:left="880" w:hanging="435"/>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leveraging our technology leadership to attract and retain key service providers;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embracing the principles outlined by 3GPP and delivering the industry's most advanced IMS-ready suite;</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expanding and broadening our customer base by targeting specific market segments, such as wireless operators;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assisting our customers' ability to differentiate themselves by offering a sophisticated application development platform and service creation environment;</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expanding our solutions to address emerging IP-based markets, such as network border switching;</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expanding our global sales, marketing, support and distribution capabilities;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actively contributing to the standards definition and adoption process;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pursuing strategic transactions and alliances.</w:t>
      </w:r>
    </w:p>
    <w:p>
      <w:pPr>
        <w:spacing w:after="0" w:line="189" w:lineRule="exact"/>
        <w:rPr>
          <w:sz w:val="20"/>
          <w:szCs w:val="20"/>
          <w:color w:val="auto"/>
        </w:rPr>
      </w:pPr>
    </w:p>
    <w:p>
      <w:pPr>
        <w:ind w:right="20" w:firstLine="284"/>
        <w:spacing w:after="0" w:line="265" w:lineRule="auto"/>
        <w:rPr>
          <w:sz w:val="20"/>
          <w:szCs w:val="20"/>
          <w:color w:val="auto"/>
        </w:rPr>
      </w:pPr>
      <w:r>
        <w:rPr>
          <w:rFonts w:ascii="Arial" w:cs="Arial" w:eastAsia="Arial" w:hAnsi="Arial"/>
          <w:sz w:val="14"/>
          <w:szCs w:val="14"/>
          <w:color w:val="auto"/>
        </w:rPr>
        <w:t>On August 24, 2010, we announced a restructuring initiative to close our offices in Ottawa, Canada and in Darmstadt, Germany, to relocate our Freehold, New Jersey facility to a smaller, more cost-effective space in the same area, and to reduce our workforce by 12 people, or approximately 1% of employees worldwide (the "2010" restructuring initiative"). We recorded $1.1 million of restructuring expense in the three months ended September 30, 2010, representing severance and related expenses for the headcount reduction component of the restructuring initiative. We recorded $0.4 million in the three months ended December 31, 2010 primarily related to the office closing in Ottawa, Canada. During the fourth quarter of fiscal 2010, as a result of changing business circumstances in those geographic areas, including the availability of suitable replacement facilities and certain customer relationships, we elected not to close our office in Darmstadt, Germany, or to relocate our Freehold, New Jersey facility. As a result, we do not expect to record restructuring expense related to either of these facilities. The payments related to the 2010 restructuring initiative were completed in fiscal 2010.</w:t>
      </w:r>
    </w:p>
    <w:p>
      <w:pPr>
        <w:spacing w:after="0" w:line="155" w:lineRule="exact"/>
        <w:rPr>
          <w:sz w:val="20"/>
          <w:szCs w:val="20"/>
          <w:color w:val="auto"/>
        </w:rPr>
      </w:pPr>
    </w:p>
    <w:p>
      <w:pPr>
        <w:jc w:val="both"/>
        <w:ind w:firstLine="284"/>
        <w:spacing w:after="0" w:line="305" w:lineRule="auto"/>
        <w:rPr>
          <w:sz w:val="20"/>
          <w:szCs w:val="20"/>
          <w:color w:val="auto"/>
        </w:rPr>
      </w:pPr>
      <w:r>
        <w:rPr>
          <w:rFonts w:ascii="Arial" w:cs="Arial" w:eastAsia="Arial" w:hAnsi="Arial"/>
          <w:sz w:val="13"/>
          <w:szCs w:val="13"/>
          <w:color w:val="auto"/>
        </w:rPr>
        <w:t>On May 20, 2010, we announced that Richard N. Nottenburg ("Dr. Nottenburg") planned to step down as President and Chief Executive Officer and a director of the Company by the end of March 2011. On October 8, 2010, Raymond P. Dolan ("Mr. Dolan") accepted an offer of employment as our President and Chief Executive Officer, effective October 12, 2010, succeeding Dr. Nottenburg. The costs related to Dr. Nottenburg's departure are included as a component of our General and administrative expenses in the year ended December 31, 2010.</w:t>
      </w:r>
    </w:p>
    <w:p>
      <w:pPr>
        <w:spacing w:after="0" w:line="129" w:lineRule="exact"/>
        <w:rPr>
          <w:sz w:val="20"/>
          <w:szCs w:val="20"/>
          <w:color w:val="auto"/>
        </w:rPr>
      </w:pPr>
    </w:p>
    <w:p>
      <w:pPr>
        <w:jc w:val="both"/>
        <w:ind w:right="20" w:firstLine="284"/>
        <w:spacing w:after="0" w:line="289" w:lineRule="auto"/>
        <w:rPr>
          <w:sz w:val="20"/>
          <w:szCs w:val="20"/>
          <w:color w:val="auto"/>
        </w:rPr>
      </w:pPr>
      <w:r>
        <w:rPr>
          <w:rFonts w:ascii="Arial" w:cs="Arial" w:eastAsia="Arial" w:hAnsi="Arial"/>
          <w:sz w:val="14"/>
          <w:szCs w:val="14"/>
          <w:color w:val="auto"/>
        </w:rPr>
        <w:t>On December 30, 2010, we announced that Gurudutt Pai ("Mr. Pai") was stepping down as Executive Vice President and Chief Operating Officer of the Company, effective immediately. The costs related to Mr. Pai's departure are included as a component of our General and administrative expenses in the year ended December 31, 2010.</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reported losses from operations of $11.6 million for fiscal 2010, $11.4 million for fiscal 2009 and $49.2 million for fiscal 2008.</w:t>
      </w:r>
    </w:p>
    <w:p>
      <w:pPr>
        <w:spacing w:after="0" w:line="189" w:lineRule="exact"/>
        <w:rPr>
          <w:sz w:val="20"/>
          <w:szCs w:val="20"/>
          <w:color w:val="auto"/>
        </w:rPr>
      </w:pPr>
    </w:p>
    <w:p>
      <w:pPr>
        <w:ind w:right="220" w:firstLine="282"/>
        <w:spacing w:after="0" w:line="289" w:lineRule="auto"/>
        <w:rPr>
          <w:sz w:val="20"/>
          <w:szCs w:val="20"/>
          <w:color w:val="auto"/>
        </w:rPr>
      </w:pPr>
      <w:r>
        <w:rPr>
          <w:rFonts w:ascii="Arial" w:cs="Arial" w:eastAsia="Arial" w:hAnsi="Arial"/>
          <w:sz w:val="14"/>
          <w:szCs w:val="14"/>
          <w:color w:val="auto"/>
        </w:rPr>
        <w:t>We reported net losses of $10.7 million in fiscal 2010, $4.9 million in fiscal 2009 and $121.4 million in fiscal 2008. Our loss from continuing operations for fiscal 2008 was $116.2 million, and included $88.4 million of income tax expense related to a valuation allowance recorded on all of our net deferred tax assets in the United States.</w:t>
      </w:r>
    </w:p>
    <w:p>
      <w:pPr>
        <w:spacing w:after="0" w:line="137"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Our revenue was $249.3 million in fiscal 2010, $227.5 million in fiscal 2009 and $313.1 million in fiscal 2008. Our gross profit was $153.2 million in fiscal 2010, $144.1 million in fiscal 2009 and $182.9 million in fiscal 2008. Our gross profit as a percentage of revenue ("total gross margin") was 61.4% in fiscal 2010, 63.4% in fiscal 2009 and 58.4% in fiscal 2008.</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100" w:firstLine="284"/>
        <w:spacing w:after="0" w:line="266" w:lineRule="auto"/>
        <w:rPr>
          <w:sz w:val="20"/>
          <w:szCs w:val="20"/>
          <w:color w:val="auto"/>
        </w:rPr>
      </w:pPr>
      <w:r>
        <w:rPr>
          <w:rFonts w:ascii="Arial" w:cs="Arial" w:eastAsia="Arial" w:hAnsi="Arial"/>
          <w:sz w:val="14"/>
          <w:szCs w:val="14"/>
          <w:color w:val="auto"/>
        </w:rPr>
        <w:t>Our operating expenses were $164.7 million in fiscal 2010, compared to $155.5 million in fiscal 2009 and $232.0 million in fiscal 2008. Our fiscal 2010 operating expenses included $7.9 million of incremental costs in the aggregate related to the departures of Dr. Nottenburg and Mr. Pai, as well as $1.5 million of restructuring expense. Our fiscal 2009 operating expenses included $3.5 million of restructuring expense. Our fiscal 2008 operating expenses included $19.1 million of expense for litigation settlements, net of insurance recovery, in fiscal 2008 for litigation against certain of our customers alleging patent infringement of U.S. Patent No. 6,243,373 entitled "Method and Apparatus for Implementing a Computer Network Internet Telephone System" (the "C2 Patent Litigation") and a Consolidated Amended Complaint alleging that we made false and misleading statements about our products and business (the "2002 Securities Litigation"), $2.7 million of impairment charges for purchased intangible assets and $0.7 million of restructuring expense.</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recorded stock-based compensation expense of $15.3 million in fiscal 2010, $12.8 million in fiscal 2009 and $25.1 million in fiscal 2008.</w:t>
      </w:r>
    </w:p>
    <w:p>
      <w:pPr>
        <w:spacing w:after="0" w:line="189" w:lineRule="exact"/>
        <w:rPr>
          <w:sz w:val="20"/>
          <w:szCs w:val="20"/>
          <w:color w:val="auto"/>
        </w:rPr>
      </w:pPr>
    </w:p>
    <w:p>
      <w:pPr>
        <w:ind w:right="100" w:firstLine="284"/>
        <w:spacing w:after="0" w:line="289" w:lineRule="auto"/>
        <w:rPr>
          <w:sz w:val="20"/>
          <w:szCs w:val="20"/>
          <w:color w:val="auto"/>
        </w:rPr>
      </w:pPr>
      <w:r>
        <w:rPr>
          <w:rFonts w:ascii="Arial" w:cs="Arial" w:eastAsia="Arial" w:hAnsi="Arial"/>
          <w:sz w:val="14"/>
          <w:szCs w:val="14"/>
          <w:color w:val="auto"/>
        </w:rPr>
        <w:t>Lower portfolio yield on our investments, coupled with slightly lower amounts invested in cash equivalents and marketable securities resulted in lower interest income, which was also a factor in our current year net loss. Interest income was $1.7 million in fiscal 2010, compared to $4.1 million in fiscal 2009 and $12.6 million in fiscal 2008.</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93" w:lineRule="exact"/>
        <w:rPr>
          <w:sz w:val="20"/>
          <w:szCs w:val="20"/>
          <w:color w:val="auto"/>
        </w:rPr>
      </w:pPr>
    </w:p>
    <w:p>
      <w:pPr>
        <w:ind w:right="40" w:firstLine="284"/>
        <w:spacing w:after="0" w:line="266" w:lineRule="auto"/>
        <w:rPr>
          <w:sz w:val="20"/>
          <w:szCs w:val="20"/>
          <w:color w:val="auto"/>
        </w:rPr>
      </w:pPr>
      <w:r>
        <w:rPr>
          <w:rFonts w:ascii="Arial" w:cs="Arial" w:eastAsia="Arial" w:hAnsi="Arial"/>
          <w:sz w:val="14"/>
          <w:szCs w:val="14"/>
          <w:color w:val="auto"/>
        </w:rPr>
        <w:t>Management's discussion and analysis of the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64" w:lineRule="exact"/>
        <w:rPr>
          <w:sz w:val="20"/>
          <w:szCs w:val="20"/>
          <w:color w:val="auto"/>
        </w:rPr>
      </w:pPr>
    </w:p>
    <w:p>
      <w:pPr>
        <w:ind w:left="880" w:hanging="435"/>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Revenue recognition;</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Inventory valuation;</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Loss contingencies and reserves;</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Stock-based compensation;</w:t>
      </w:r>
    </w:p>
    <w:p>
      <w:pPr>
        <w:spacing w:after="0" w:line="210" w:lineRule="exact"/>
        <w:rPr>
          <w:rFonts w:ascii="Arial" w:cs="Arial" w:eastAsia="Arial" w:hAnsi="Arial"/>
          <w:sz w:val="14"/>
          <w:szCs w:val="14"/>
          <w:color w:val="auto"/>
        </w:rPr>
      </w:pPr>
    </w:p>
    <w:p>
      <w:pPr>
        <w:ind w:left="880" w:hanging="435"/>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Goodwill and intangible assets; and</w:t>
      </w:r>
    </w:p>
    <w:p>
      <w:pPr>
        <w:spacing w:after="0" w:line="199" w:lineRule="exact"/>
        <w:rPr>
          <w:rFonts w:ascii="Arial" w:cs="Arial" w:eastAsia="Arial" w:hAnsi="Arial"/>
          <w:sz w:val="14"/>
          <w:szCs w:val="14"/>
          <w:color w:val="auto"/>
        </w:rPr>
      </w:pPr>
    </w:p>
    <w:p>
      <w:pPr>
        <w:ind w:left="880" w:hanging="435"/>
        <w:spacing w:after="0"/>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Accounting for income taxes.</w:t>
      </w:r>
    </w:p>
    <w:p>
      <w:pPr>
        <w:spacing w:after="0" w:line="189" w:lineRule="exact"/>
        <w:rPr>
          <w:sz w:val="20"/>
          <w:szCs w:val="20"/>
          <w:color w:val="auto"/>
        </w:rPr>
      </w:pPr>
    </w:p>
    <w:p>
      <w:pPr>
        <w:ind w:firstLine="284"/>
        <w:spacing w:after="0" w:line="297" w:lineRule="auto"/>
        <w:rPr>
          <w:sz w:val="20"/>
          <w:szCs w:val="20"/>
          <w:color w:val="auto"/>
        </w:rPr>
      </w:pPr>
      <w:r>
        <w:rPr>
          <w:rFonts w:ascii="Arial" w:cs="Arial" w:eastAsia="Arial" w:hAnsi="Arial"/>
          <w:sz w:val="13"/>
          <w:szCs w:val="13"/>
          <w:b w:val="1"/>
          <w:bCs w:val="1"/>
          <w:i w:val="1"/>
          <w:iCs w:val="1"/>
          <w:color w:val="auto"/>
        </w:rPr>
        <w:t xml:space="preserve">Revenue Recognition. </w:t>
      </w:r>
      <w:r>
        <w:rPr>
          <w:rFonts w:ascii="Arial" w:cs="Arial" w:eastAsia="Arial" w:hAnsi="Arial"/>
          <w:sz w:val="13"/>
          <w:szCs w:val="13"/>
          <w:color w:val="auto"/>
        </w:rPr>
        <w:t>We recognize revenue from product sales when persuasive evidence of an arrangement exists, delivery has occurred, the sale price is fixed or determinable,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collectibility of the related receivable is probable under customary payment terms. When we have future obligations, including a requirement to deliver additional elements which are essential to the functionality of the delivered elements or for which vendor specific objective evidence of fair value ("VSOE") does not exist or when customer acceptance is required, we defer revenue recognition and related costs until those obligations are satisfied. If the only undelivered element is maintenance, then revenue is recognized ratably over the contractual maintenance term.</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80" w:firstLine="284"/>
        <w:spacing w:after="0" w:line="289" w:lineRule="auto"/>
        <w:rPr>
          <w:sz w:val="20"/>
          <w:szCs w:val="20"/>
          <w:color w:val="auto"/>
        </w:rPr>
      </w:pPr>
      <w:r>
        <w:rPr>
          <w:rFonts w:ascii="Arial" w:cs="Arial" w:eastAsia="Arial" w:hAnsi="Arial"/>
          <w:sz w:val="13"/>
          <w:szCs w:val="13"/>
          <w:color w:val="auto"/>
        </w:rPr>
        <w:t>Many of our sales involve multiple-element arrangements. When a sale includes multiple elements, such as products, maintenance and/or professional services, we recognize revenue using the residual method, as we have not established VSOE for our products. Revenue associated with elements for which VSOE has been established is recorded based on the VSOE value; revenue associated with any undelivered elements that are considered not essential to the functionality of the product and for which VSOE has been established is deferred based on the VSOE value, and any remaining arrangement fee is then allocated to, and recognized as, product revenue. We have established VSOE for maintenance arrangements and some professional services. VSOE for maintenance and professional services is either determined by the price charged when the same element is sold separately or established by management having the relevant pricing authority. The Company's Pricing Committee has the relevant authority for establishing pricing for products and services. If we cannot establish VSOE for any undelivered element, including specified features and upgrades, we defer revenue on the entire arrangement until VSOE for all undelivered elements is known or all elements are delivered and all other revenue recognition criteria are met.</w:t>
      </w:r>
    </w:p>
    <w:p>
      <w:pPr>
        <w:spacing w:after="0" w:line="139" w:lineRule="exact"/>
        <w:rPr>
          <w:sz w:val="20"/>
          <w:szCs w:val="20"/>
          <w:color w:val="auto"/>
        </w:rPr>
      </w:pPr>
    </w:p>
    <w:p>
      <w:pPr>
        <w:ind w:right="40" w:firstLine="284"/>
        <w:spacing w:after="0" w:line="275" w:lineRule="auto"/>
        <w:rPr>
          <w:sz w:val="20"/>
          <w:szCs w:val="20"/>
          <w:color w:val="auto"/>
        </w:rPr>
      </w:pPr>
      <w:r>
        <w:rPr>
          <w:rFonts w:ascii="Arial" w:cs="Arial" w:eastAsia="Arial" w:hAnsi="Arial"/>
          <w:sz w:val="14"/>
          <w:szCs w:val="14"/>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46" w:lineRule="exact"/>
        <w:rPr>
          <w:sz w:val="20"/>
          <w:szCs w:val="20"/>
          <w:color w:val="auto"/>
        </w:rPr>
      </w:pPr>
    </w:p>
    <w:p>
      <w:pPr>
        <w:ind w:right="180" w:firstLine="284"/>
        <w:spacing w:after="0" w:line="289" w:lineRule="auto"/>
        <w:rPr>
          <w:sz w:val="20"/>
          <w:szCs w:val="20"/>
          <w:color w:val="auto"/>
        </w:rPr>
      </w:pPr>
      <w:r>
        <w:rPr>
          <w:rFonts w:ascii="Arial" w:cs="Arial" w:eastAsia="Arial" w:hAnsi="Arial"/>
          <w:sz w:val="14"/>
          <w:szCs w:val="14"/>
          <w:color w:val="auto"/>
        </w:rPr>
        <w:t>Revenue from installation services is generally recognized when the services are complete and all other revenue recognition criteria have been met. Revenue from other professional services for which VSOE has been established is typically recognized as the services are delivered if all other revenue criteria have been met.</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Revenue from consulting, custom development and other professional services-only engagements is recognized as services are rendered, provided all other revenue recognition criteria have been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met.</w:t>
      </w:r>
    </w:p>
    <w:p>
      <w:pPr>
        <w:spacing w:after="0" w:line="183" w:lineRule="exact"/>
        <w:rPr>
          <w:sz w:val="20"/>
          <w:szCs w:val="20"/>
          <w:color w:val="auto"/>
        </w:rPr>
      </w:pPr>
    </w:p>
    <w:p>
      <w:pPr>
        <w:ind w:right="100" w:firstLine="282"/>
        <w:spacing w:after="0" w:line="275" w:lineRule="auto"/>
        <w:rPr>
          <w:sz w:val="20"/>
          <w:szCs w:val="20"/>
          <w:color w:val="auto"/>
        </w:rPr>
      </w:pPr>
      <w:r>
        <w:rPr>
          <w:rFonts w:ascii="Arial" w:cs="Arial" w:eastAsia="Arial" w:hAnsi="Arial"/>
          <w:sz w:val="14"/>
          <w:szCs w:val="14"/>
          <w:color w:val="auto"/>
        </w:rPr>
        <w:t>We sell the majority of our products directly to our service provider customers. For products sold to resellers and distributors with whom we have at least eight quarters of consistent history regarding the potential for product returns or refunds, or any form of concession, we recognize revenue on a sell-in basis. For all other resellers and distributors we recognize revenue on a sell-through basis.</w:t>
      </w:r>
    </w:p>
    <w:p>
      <w:pPr>
        <w:spacing w:after="0" w:line="146" w:lineRule="exact"/>
        <w:rPr>
          <w:sz w:val="20"/>
          <w:szCs w:val="20"/>
          <w:color w:val="auto"/>
        </w:rPr>
      </w:pPr>
    </w:p>
    <w:p>
      <w:pPr>
        <w:ind w:right="60" w:firstLine="284"/>
        <w:spacing w:after="0" w:line="293" w:lineRule="auto"/>
        <w:rPr>
          <w:sz w:val="20"/>
          <w:szCs w:val="20"/>
          <w:color w:val="auto"/>
        </w:rPr>
      </w:pPr>
      <w:r>
        <w:rPr>
          <w:rFonts w:ascii="Arial" w:cs="Arial" w:eastAsia="Arial" w:hAnsi="Arial"/>
          <w:sz w:val="13"/>
          <w:szCs w:val="13"/>
          <w:color w:val="auto"/>
        </w:rPr>
        <w:t>Beginning in the fourth quarter of fiscal 2008, we concluded that we no longer had sufficient evidence of VSOE on maintenance services for one of our largest customers. Therefore, all revenue related to multiple element arrangements for this customer entered into beginning in the fourth quarter of fiscal 2008 was recognized ratably over the maintenance period. Revenue recognition on multiple element arrangements with this customer began when the only undelivered element of the arrangement was maintenance. Beginning in the fourth quarter of fiscal 2008, for orders from this customer that contain bundled product and maintenance, the Company has allocated a fixed percentage (which represents the maintenance renewal rate for its largest customers for which the Company has VSOE) of the arrangement fee to service revenue with the residual amount classified as product revenue. The Company has applied this methodology on a consistent basis.</w:t>
      </w:r>
    </w:p>
    <w:p>
      <w:pPr>
        <w:spacing w:after="0" w:line="137" w:lineRule="exact"/>
        <w:rPr>
          <w:sz w:val="20"/>
          <w:szCs w:val="20"/>
          <w:color w:val="auto"/>
        </w:rPr>
      </w:pPr>
    </w:p>
    <w:p>
      <w:pPr>
        <w:ind w:right="60" w:firstLine="282"/>
        <w:spacing w:after="0" w:line="289" w:lineRule="auto"/>
        <w:rPr>
          <w:sz w:val="20"/>
          <w:szCs w:val="20"/>
          <w:color w:val="auto"/>
        </w:rPr>
      </w:pPr>
      <w:r>
        <w:rPr>
          <w:rFonts w:ascii="Arial" w:cs="Arial" w:eastAsia="Arial" w:hAnsi="Arial"/>
          <w:sz w:val="14"/>
          <w:szCs w:val="14"/>
          <w:color w:val="auto"/>
        </w:rPr>
        <w:t>We exclude any taxes assessed by a governmental authority that are directly imposed on a revenue-producing transaction (i.e., sales, use, value added) from our revenue and costs. Reimbursement for out-of-pocket expenses is recorded as revenue.</w:t>
      </w:r>
    </w:p>
    <w:p>
      <w:pPr>
        <w:spacing w:after="0" w:line="137" w:lineRule="exact"/>
        <w:rPr>
          <w:sz w:val="20"/>
          <w:szCs w:val="20"/>
          <w:color w:val="auto"/>
        </w:rPr>
      </w:pPr>
    </w:p>
    <w:p>
      <w:pPr>
        <w:ind w:firstLine="282"/>
        <w:spacing w:after="0" w:line="275" w:lineRule="auto"/>
        <w:rPr>
          <w:sz w:val="20"/>
          <w:szCs w:val="20"/>
          <w:color w:val="auto"/>
        </w:rPr>
      </w:pPr>
      <w:r>
        <w:rPr>
          <w:rFonts w:ascii="Arial" w:cs="Arial" w:eastAsia="Arial" w:hAnsi="Arial"/>
          <w:sz w:val="14"/>
          <w:szCs w:val="14"/>
          <w:color w:val="auto"/>
        </w:rPr>
        <w:t>We record deferred revenue for product delivered or services performed for which collection of the amount billed is either probable or has been collected but other revenue recognition criteria have not been satisfied. Deferred revenue includes customer deposits and amounts associated with maintenance contracts. Deferred revenue expected to be recognized as revenue more than one year subsequent to the balance sheet date is classified as long-term deferred revenue.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100" w:firstLine="282"/>
        <w:spacing w:after="0" w:line="275" w:lineRule="auto"/>
        <w:rPr>
          <w:sz w:val="20"/>
          <w:szCs w:val="20"/>
          <w:color w:val="auto"/>
        </w:rPr>
      </w:pPr>
      <w:r>
        <w:rPr>
          <w:rFonts w:ascii="Arial" w:cs="Arial" w:eastAsia="Arial" w:hAnsi="Arial"/>
          <w:sz w:val="14"/>
          <w:szCs w:val="14"/>
          <w:color w:val="auto"/>
        </w:rPr>
        <w:t>We defer recognition of incremental direct costs, such as cost of goods, commissions and third-party installation costs, until satisfaction of the criteria for recognition of the related revenue. Deferred incremental direct costs that relate to deferred revenue that is classified as current are classified as current assets. When a portion of the deferred revenue related to a customer arrangement is classified as long-term, the incremental costs relating to the arrangement are classified as noncurrent assets.</w:t>
      </w:r>
    </w:p>
    <w:p>
      <w:pPr>
        <w:spacing w:after="0" w:line="146" w:lineRule="exact"/>
        <w:rPr>
          <w:sz w:val="20"/>
          <w:szCs w:val="20"/>
          <w:color w:val="auto"/>
        </w:rPr>
      </w:pPr>
    </w:p>
    <w:p>
      <w:pPr>
        <w:ind w:firstLine="284"/>
        <w:spacing w:after="0" w:line="267" w:lineRule="auto"/>
        <w:rPr>
          <w:sz w:val="20"/>
          <w:szCs w:val="20"/>
          <w:color w:val="auto"/>
        </w:rPr>
      </w:pPr>
      <w:r>
        <w:rPr>
          <w:rFonts w:ascii="Arial" w:cs="Arial" w:eastAsia="Arial" w:hAnsi="Arial"/>
          <w:sz w:val="14"/>
          <w:szCs w:val="14"/>
          <w:color w:val="auto"/>
        </w:rPr>
        <w:t xml:space="preserve">In October 2009, the Financial Accounting Standards Board ("FASB") issued an update to </w:t>
      </w:r>
      <w:r>
        <w:rPr>
          <w:rFonts w:ascii="Arial" w:cs="Arial" w:eastAsia="Arial" w:hAnsi="Arial"/>
          <w:sz w:val="14"/>
          <w:szCs w:val="14"/>
          <w:i w:val="1"/>
          <w:iCs w:val="1"/>
          <w:color w:val="auto"/>
        </w:rPr>
        <w:t>Certain Arrangements that Include Software Elements,</w:t>
      </w:r>
      <w:r>
        <w:rPr>
          <w:rFonts w:ascii="Arial" w:cs="Arial" w:eastAsia="Arial" w:hAnsi="Arial"/>
          <w:sz w:val="14"/>
          <w:szCs w:val="14"/>
          <w:color w:val="auto"/>
        </w:rPr>
        <w:t xml:space="preserve"> which will require us to account for many of our multiple-element arrangements as non-software transactions and could impact the timing of revenue recognized in a reporting period. In October 2009, the FASB also issued an update to the accounting guidance used to determine the unit of accounting for multiple-element arrangements. These updates are more fully described in the "Recent Accounting Pronouncements" section of this Management's Discussion and Analysis of Financial Condition and Results of Operations. These updates are effective for us beginning January 1, 2011. We currently do not believe that the implementation of these updates will have a material effect on our consolidated financial position or results of operations.</w:t>
      </w:r>
    </w:p>
    <w:p>
      <w:pPr>
        <w:spacing w:after="0" w:line="154" w:lineRule="exact"/>
        <w:rPr>
          <w:sz w:val="20"/>
          <w:szCs w:val="20"/>
          <w:color w:val="auto"/>
        </w:rPr>
      </w:pPr>
    </w:p>
    <w:p>
      <w:pPr>
        <w:ind w:right="120" w:firstLine="284"/>
        <w:spacing w:after="0" w:line="289" w:lineRule="auto"/>
        <w:rPr>
          <w:sz w:val="20"/>
          <w:szCs w:val="20"/>
          <w:color w:val="auto"/>
        </w:rPr>
      </w:pPr>
      <w:r>
        <w:rPr>
          <w:rFonts w:ascii="Arial" w:cs="Arial" w:eastAsia="Arial" w:hAnsi="Arial"/>
          <w:sz w:val="14"/>
          <w:szCs w:val="14"/>
          <w:b w:val="1"/>
          <w:bCs w:val="1"/>
          <w:i w:val="1"/>
          <w:iCs w:val="1"/>
          <w:color w:val="auto"/>
        </w:rPr>
        <w:t xml:space="preserve">Inventory Valuation. </w:t>
      </w:r>
      <w:r>
        <w:rPr>
          <w:rFonts w:ascii="Arial" w:cs="Arial" w:eastAsia="Arial" w:hAnsi="Arial"/>
          <w:sz w:val="14"/>
          <w:szCs w:val="14"/>
          <w:color w:val="auto"/>
        </w:rPr>
        <w:t>We review inventory for both potential obsolescence and potential loss of value periodically. In this review, we make assumptions about the future demand for and market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of the inventory and based on these assumptions, estimate the amount of any excess, obsolete or slow-moving inventory.</w:t>
      </w:r>
    </w:p>
    <w:p>
      <w:pPr>
        <w:spacing w:after="0" w:line="137" w:lineRule="exact"/>
        <w:rPr>
          <w:sz w:val="20"/>
          <w:szCs w:val="20"/>
          <w:color w:val="auto"/>
        </w:rPr>
      </w:pPr>
    </w:p>
    <w:p>
      <w:pPr>
        <w:ind w:right="100" w:firstLine="282"/>
        <w:spacing w:after="0" w:line="297" w:lineRule="auto"/>
        <w:rPr>
          <w:sz w:val="20"/>
          <w:szCs w:val="20"/>
          <w:color w:val="auto"/>
        </w:rPr>
      </w:pPr>
      <w:r>
        <w:rPr>
          <w:rFonts w:ascii="Arial" w:cs="Arial" w:eastAsia="Arial" w:hAnsi="Arial"/>
          <w:sz w:val="13"/>
          <w:szCs w:val="13"/>
          <w:color w:val="auto"/>
        </w:rPr>
        <w:t>We write down our inventories if they are considered to be obsolete or at levels in excess of forecasted demand. In these cases, inventory is written down to estimated realizable value based on historical usage and expected demand. Inherent in our estimates of market value in determining inventory valuation are estimates related to economic trends, future demand for our products and technical obsolescence of our products. If future demand or market conditions are less favorable than our projections, additional inventory write-downs could be required and would be reflected in the cost of revenue in the period the revision is made. To date, we have not been required to revise any of our assumptions or estimates used in determining our inventory valuations.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write down our evaluation equipment at the time of shipment to our customers, as it is not probable that the inventory value will be realizable.</w:t>
      </w:r>
    </w:p>
    <w:p>
      <w:pPr>
        <w:spacing w:after="0" w:line="189" w:lineRule="exact"/>
        <w:rPr>
          <w:sz w:val="20"/>
          <w:szCs w:val="20"/>
          <w:color w:val="auto"/>
        </w:rPr>
      </w:pPr>
    </w:p>
    <w:p>
      <w:pPr>
        <w:ind w:firstLine="284"/>
        <w:spacing w:after="0" w:line="266" w:lineRule="auto"/>
        <w:rPr>
          <w:sz w:val="20"/>
          <w:szCs w:val="20"/>
          <w:color w:val="auto"/>
        </w:rPr>
      </w:pPr>
      <w:r>
        <w:rPr>
          <w:rFonts w:ascii="Arial" w:cs="Arial" w:eastAsia="Arial" w:hAnsi="Arial"/>
          <w:sz w:val="14"/>
          <w:szCs w:val="14"/>
          <w:b w:val="1"/>
          <w:bCs w:val="1"/>
          <w:i w:val="1"/>
          <w:iCs w:val="1"/>
          <w:color w:val="auto"/>
        </w:rPr>
        <w:t xml:space="preserve">Loss Contingencies and Reserves. </w:t>
      </w:r>
      <w:r>
        <w:rPr>
          <w:rFonts w:ascii="Arial" w:cs="Arial" w:eastAsia="Arial" w:hAnsi="Arial"/>
          <w:sz w:val="14"/>
          <w:szCs w:val="14"/>
          <w:color w:val="auto"/>
        </w:rPr>
        <w:t>We are subject to ongoing business risks arising in the ordinary course of business that affect the estimation process of the carrying value of assets,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recording of liabilities and the possibility of various loss contingencies.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are subject to various legal claims, including securities litigation. We reserve for legal contingencies and legal fees when the amounts are probable and reasonably estimable. Our director and officer liability insurance policies provide only limited liability protection relating to the securities class action and derivative lawsuits against us and certain of our officers and directors.</w:t>
      </w:r>
    </w:p>
    <w:p>
      <w:pPr>
        <w:spacing w:after="0" w:line="153" w:lineRule="exact"/>
        <w:rPr>
          <w:sz w:val="20"/>
          <w:szCs w:val="20"/>
          <w:color w:val="auto"/>
        </w:rPr>
      </w:pPr>
    </w:p>
    <w:p>
      <w:pPr>
        <w:ind w:right="60" w:firstLine="284"/>
        <w:spacing w:after="0" w:line="289" w:lineRule="auto"/>
        <w:rPr>
          <w:sz w:val="20"/>
          <w:szCs w:val="20"/>
          <w:color w:val="auto"/>
        </w:rPr>
      </w:pPr>
      <w:r>
        <w:rPr>
          <w:rFonts w:ascii="Arial" w:cs="Arial" w:eastAsia="Arial" w:hAnsi="Arial"/>
          <w:sz w:val="14"/>
          <w:szCs w:val="14"/>
          <w:b w:val="1"/>
          <w:bCs w:val="1"/>
          <w:i w:val="1"/>
          <w:iCs w:val="1"/>
          <w:color w:val="auto"/>
        </w:rPr>
        <w:t xml:space="preserve">Stock-Based Compensation. </w:t>
      </w:r>
      <w:r>
        <w:rPr>
          <w:rFonts w:ascii="Arial" w:cs="Arial" w:eastAsia="Arial" w:hAnsi="Arial"/>
          <w:sz w:val="14"/>
          <w:szCs w:val="14"/>
          <w:color w:val="auto"/>
        </w:rPr>
        <w:t>Our stock-based compensation cost is measured at the grant date based on the fair value of the award and is recognized as expense over the requisite service period,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is generally the vesting period.</w:t>
      </w:r>
    </w:p>
    <w:p>
      <w:pPr>
        <w:spacing w:after="0" w:line="137" w:lineRule="exact"/>
        <w:rPr>
          <w:sz w:val="20"/>
          <w:szCs w:val="20"/>
          <w:color w:val="auto"/>
        </w:rPr>
      </w:pPr>
    </w:p>
    <w:p>
      <w:pPr>
        <w:ind w:right="100" w:firstLine="282"/>
        <w:spacing w:after="0" w:line="275" w:lineRule="auto"/>
        <w:rPr>
          <w:sz w:val="20"/>
          <w:szCs w:val="20"/>
          <w:color w:val="auto"/>
        </w:rPr>
      </w:pPr>
      <w:r>
        <w:rPr>
          <w:rFonts w:ascii="Arial" w:cs="Arial" w:eastAsia="Arial" w:hAnsi="Arial"/>
          <w:sz w:val="14"/>
          <w:szCs w:val="14"/>
          <w:color w:val="auto"/>
        </w:rPr>
        <w:t>We use the Black-Scholes valuation model for estimating the fair value on the date of grant of employee stock options. Determining the fair value of stock option awards at the grant date requires judgment regarding certain valuation assumptions, including the volatility of our stock price, expected term of the option, risk-free interest rate and expected dividends. Changes in such assumptions and estimates could result in different fair values and could therefore impact our earnings. Such changes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would not impact our cash flows. The fair value of restricted stock and performance stock awards is based upon our stock price on the grant date.</w:t>
      </w:r>
    </w:p>
    <w:p>
      <w:pPr>
        <w:spacing w:after="0" w:line="189" w:lineRule="exact"/>
        <w:rPr>
          <w:sz w:val="20"/>
          <w:szCs w:val="20"/>
          <w:color w:val="auto"/>
        </w:rPr>
      </w:pPr>
    </w:p>
    <w:p>
      <w:pPr>
        <w:ind w:firstLine="282"/>
        <w:spacing w:after="0" w:line="328" w:lineRule="auto"/>
        <w:rPr>
          <w:sz w:val="20"/>
          <w:szCs w:val="20"/>
          <w:color w:val="auto"/>
        </w:rPr>
      </w:pPr>
      <w:r>
        <w:rPr>
          <w:rFonts w:ascii="Arial" w:cs="Arial" w:eastAsia="Arial" w:hAnsi="Arial"/>
          <w:sz w:val="12"/>
          <w:szCs w:val="12"/>
          <w:color w:val="auto"/>
        </w:rPr>
        <w:t>The amount of stock-based compensation expense recorded in any period for unvested awards requires estimates of the amount of stock-based awards that are expected to be forfeited prior to vesting, as well as assumptions regarding the probability that performance awards will be earned. Assuming it was probable that the performance conditions for all outstanding performance-based stock awards would be satisfied, we would have recognized approximately $500,000 of additional stock-based compensation expense in fiscal 2009. During fiscal 2010, we believed that it was probable that the performance conditions for all outstanding performance-based awards would be satisfied and accordingly, we recognized stock-based compensation expense related to such awards in fiscal 2010.</w:t>
      </w:r>
    </w:p>
    <w:p>
      <w:pPr>
        <w:spacing w:after="0" w:line="120" w:lineRule="exact"/>
        <w:rPr>
          <w:sz w:val="20"/>
          <w:szCs w:val="20"/>
          <w:color w:val="auto"/>
        </w:rPr>
      </w:pPr>
    </w:p>
    <w:p>
      <w:pPr>
        <w:ind w:firstLine="284"/>
        <w:spacing w:after="0" w:line="311" w:lineRule="auto"/>
        <w:rPr>
          <w:sz w:val="20"/>
          <w:szCs w:val="20"/>
          <w:color w:val="auto"/>
        </w:rPr>
      </w:pPr>
      <w:r>
        <w:rPr>
          <w:rFonts w:ascii="Arial" w:cs="Arial" w:eastAsia="Arial" w:hAnsi="Arial"/>
          <w:sz w:val="12"/>
          <w:szCs w:val="12"/>
          <w:b w:val="1"/>
          <w:bCs w:val="1"/>
          <w:i w:val="1"/>
          <w:iCs w:val="1"/>
          <w:color w:val="auto"/>
        </w:rPr>
        <w:t xml:space="preserve">Goodwill and Intangible Assets. </w:t>
      </w:r>
      <w:r>
        <w:rPr>
          <w:rFonts w:ascii="Arial" w:cs="Arial" w:eastAsia="Arial" w:hAnsi="Arial"/>
          <w:sz w:val="12"/>
          <w:szCs w:val="12"/>
          <w:color w:val="auto"/>
        </w:rPr>
        <w:t>Goodwill is not amortized, but instead is tested for impairment at least annually, or if indicators of potential impairment exist. Intangible assets with estimated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lives and other long-lived assets are reviewed for impairment when events or changes in circumstances indicate that the carrying amount of an asset may not be recoverable. Recoverability of intangible assets with estimated lives and other long-lived assets is measured by comparing the carrying amount of the asset to future net undiscounted pretax cash flows expected to be generated by the asset. If these comparisons indicate that an asset is not recoverable, we will recognize an impairment loss for the amount by which the carrying value of the asset exceeds the related estimated fair value. Estimated fair value is based on either discounted future pretax operating cash flows or appraised values, depending on the nature of the asset. Considerable judgment is required to estimate discounted future operating cash flows. Judgment is also required in determining whether an event has occurred that may impair the value of goodwill or identifiable intangible or other long-lived assets. Factors that could indicate an impairment may exist include significant underperformance relative to plan or long-term projections, strategic changes in business strategy, significant negative industry or economic trends, a significant change in circumstances relative to a large customer, a significant decline in our stock price for a sustained period and a decline in our market capitalization to below net book value. We must make assumptions about future cash flows, future operating plans, discount rates and other factors in the models and valuation reports. To the extent these future projections and estimates change, the estimated amounts of impairment could differ from current estimates. Our annual testing for impairment of goodwill is completed as of November 30 of each year. Our testing for fiscal 2010 and fiscal 2009 indicated that no impairment of goodwill existed. At November 30, 2010, the fair value of our reporting unit was well above the carrying value of our reporting unit.</w:t>
      </w:r>
    </w:p>
    <w:p>
      <w:pPr>
        <w:spacing w:after="0" w:line="131" w:lineRule="exact"/>
        <w:rPr>
          <w:sz w:val="20"/>
          <w:szCs w:val="20"/>
          <w:color w:val="auto"/>
        </w:rPr>
      </w:pPr>
    </w:p>
    <w:p>
      <w:pPr>
        <w:jc w:val="both"/>
        <w:ind w:right="120" w:firstLine="279"/>
        <w:spacing w:after="0" w:line="275" w:lineRule="auto"/>
        <w:rPr>
          <w:sz w:val="20"/>
          <w:szCs w:val="20"/>
          <w:color w:val="auto"/>
        </w:rPr>
      </w:pPr>
      <w:r>
        <w:rPr>
          <w:rFonts w:ascii="Arial" w:cs="Arial" w:eastAsia="Arial" w:hAnsi="Arial"/>
          <w:sz w:val="14"/>
          <w:szCs w:val="14"/>
          <w:b w:val="1"/>
          <w:bCs w:val="1"/>
          <w:i w:val="1"/>
          <w:iCs w:val="1"/>
          <w:color w:val="auto"/>
        </w:rPr>
        <w:t xml:space="preserve">Accounting for Income Taxes. </w:t>
      </w:r>
      <w:r>
        <w:rPr>
          <w:rFonts w:ascii="Arial" w:cs="Arial" w:eastAsia="Arial" w:hAnsi="Arial"/>
          <w:sz w:val="14"/>
          <w:szCs w:val="14"/>
          <w:color w:val="auto"/>
        </w:rPr>
        <w:t>Our provision for income taxes is comprised of a current and a deferred portion. The current income tax provision is calculated as the estimated taxes payable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refundable on tax returns for the current year. We provide for deferred income taxes resulting from temporary differences between financial and taxable income. Such differences arise primarily from tax net operating loss and credit carryforwards, depreciation, deferred revenue, stock-based compensation expense, accruals and reserves.</w:t>
      </w:r>
    </w:p>
    <w:p>
      <w:pPr>
        <w:spacing w:after="0" w:line="146" w:lineRule="exact"/>
        <w:rPr>
          <w:sz w:val="20"/>
          <w:szCs w:val="20"/>
          <w:color w:val="auto"/>
        </w:rPr>
      </w:pPr>
    </w:p>
    <w:p>
      <w:pPr>
        <w:ind w:right="40" w:firstLine="282"/>
        <w:spacing w:after="0" w:line="322" w:lineRule="auto"/>
        <w:rPr>
          <w:sz w:val="20"/>
          <w:szCs w:val="20"/>
          <w:color w:val="auto"/>
        </w:rPr>
      </w:pPr>
      <w:r>
        <w:rPr>
          <w:rFonts w:ascii="Arial" w:cs="Arial" w:eastAsia="Arial" w:hAnsi="Arial"/>
          <w:sz w:val="12"/>
          <w:szCs w:val="12"/>
          <w:color w:val="auto"/>
        </w:rPr>
        <w:t>We assess the recoverability of any tax assets recorded on the balance sheet and provide any necessary valuation allowances as required. In evaluating our ability to recover our deferred tax assets, we consider all available positive and negative evidence including our past operating results, the existence of cumulative income in the most recent fiscal years, changes in the business in which we operate and our forecast of future taxable income.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 Such assessment is completed on a jurisdiction by jurisdiction basis.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firstLine="276"/>
        <w:spacing w:after="0" w:line="265" w:lineRule="auto"/>
        <w:rPr>
          <w:sz w:val="20"/>
          <w:szCs w:val="20"/>
          <w:color w:val="auto"/>
        </w:rPr>
      </w:pPr>
      <w:r>
        <w:rPr>
          <w:rFonts w:ascii="Arial" w:cs="Arial" w:eastAsia="Arial" w:hAnsi="Arial"/>
          <w:sz w:val="14"/>
          <w:szCs w:val="14"/>
          <w:color w:val="auto"/>
        </w:rPr>
        <w:t>At December 31, 2010, we had valuation allowances of approximately $103 million to offset deferred tax assets of approximately $105 million. In the event we determine it is more likely than not we will be able to use a deferred tax asset in the future in excess of its net carrying value, the valuation allowance will be reduced, thereby increasing net earnings and increasing equity in the period such determination is made. We have approximately $7 million of deferred tax assets related to compensation expenses for financial reporting purposes that are not deductible for tax purposes until options are exercised or shares vest. As employees will not exercise the underlying options unless the current market price exceeds the option exercise price and our tax deduction for restricted shares is determined as the shares vest, the ultimate realization of this benefit is directly associated with the price of our common stock. At December 31, 2010, the Company's stock price of $2.67 was well below the weighted average exercise price of our common stock options of $4.40. We have recorded net deferred tax assets in some of our international subsidiaries. These amounts could change in future periods based upon our operating results and changes in tax law.</w:t>
      </w:r>
    </w:p>
    <w:p>
      <w:pPr>
        <w:spacing w:after="0" w:line="155" w:lineRule="exact"/>
        <w:rPr>
          <w:sz w:val="20"/>
          <w:szCs w:val="20"/>
          <w:color w:val="auto"/>
        </w:rPr>
      </w:pPr>
    </w:p>
    <w:p>
      <w:pPr>
        <w:ind w:right="120" w:firstLine="282"/>
        <w:spacing w:after="0" w:line="289" w:lineRule="auto"/>
        <w:rPr>
          <w:sz w:val="20"/>
          <w:szCs w:val="20"/>
          <w:color w:val="auto"/>
        </w:rPr>
      </w:pPr>
      <w:r>
        <w:rPr>
          <w:rFonts w:ascii="Arial" w:cs="Arial" w:eastAsia="Arial" w:hAnsi="Arial"/>
          <w:sz w:val="14"/>
          <w:szCs w:val="14"/>
          <w:color w:val="auto"/>
        </w:rPr>
        <w:t>We provide for income taxes during interim periods based on the estimated effective tax rate for the full fiscal year. We record a cumulative adjustment to the tax provision in an interim period in which a change in the estimated annual effective tax rate is determined.</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have not provided for U.S. income taxes on the undistributed earnings of non-U.S. subsidiaries, as we plan to permanently reinvest these amounts and have the ability to do so.</w:t>
      </w:r>
    </w:p>
    <w:p>
      <w:pPr>
        <w:spacing w:after="0" w:line="189" w:lineRule="exact"/>
        <w:rPr>
          <w:sz w:val="20"/>
          <w:szCs w:val="20"/>
          <w:color w:val="auto"/>
        </w:rPr>
      </w:pPr>
    </w:p>
    <w:p>
      <w:pPr>
        <w:ind w:right="40" w:firstLine="282"/>
        <w:spacing w:after="0" w:line="267" w:lineRule="auto"/>
        <w:rPr>
          <w:sz w:val="20"/>
          <w:szCs w:val="20"/>
          <w:color w:val="auto"/>
        </w:rPr>
      </w:pPr>
      <w:r>
        <w:rPr>
          <w:rFonts w:ascii="Arial" w:cs="Arial" w:eastAsia="Arial" w:hAnsi="Arial"/>
          <w:sz w:val="14"/>
          <w:szCs w:val="14"/>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(i) the factors underlying the sustainability assertion have changed and (ii) the amount of recognized tax benefit is still appropriate. The recognition and measurement of tax benefits require significant judgment. Judgments concerning the recognition and measurement of a tax benefit might change as new information becomes available.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Years Ended December 31, 2010 and 2009</w:t>
      </w:r>
    </w:p>
    <w:p>
      <w:pPr>
        <w:spacing w:after="0" w:line="193" w:lineRule="exact"/>
        <w:rPr>
          <w:sz w:val="20"/>
          <w:szCs w:val="20"/>
          <w:color w:val="auto"/>
        </w:rPr>
      </w:pPr>
    </w:p>
    <w:p>
      <w:pPr>
        <w:ind w:left="300"/>
        <w:spacing w:after="0"/>
        <w:tabs>
          <w:tab w:leader="none" w:pos="960" w:val="left"/>
        </w:tabs>
        <w:rPr>
          <w:sz w:val="20"/>
          <w:szCs w:val="20"/>
          <w:color w:val="auto"/>
        </w:rPr>
      </w:pPr>
      <w:r>
        <w:rPr>
          <w:rFonts w:ascii="Arial" w:cs="Arial" w:eastAsia="Arial" w:hAnsi="Arial"/>
          <w:sz w:val="14"/>
          <w:szCs w:val="14"/>
          <w:b w:val="1"/>
          <w:bCs w:val="1"/>
          <w:i w:val="1"/>
          <w:iCs w:val="1"/>
          <w:color w:val="auto"/>
        </w:rPr>
        <w:t>Revenue.</w:t>
      </w:r>
      <w:r>
        <w:rPr>
          <w:sz w:val="20"/>
          <w:szCs w:val="20"/>
          <w:color w:val="auto"/>
        </w:rPr>
        <w:tab/>
      </w:r>
      <w:r>
        <w:rPr>
          <w:rFonts w:ascii="Arial" w:cs="Arial" w:eastAsia="Arial" w:hAnsi="Arial"/>
          <w:sz w:val="12"/>
          <w:szCs w:val="12"/>
          <w:color w:val="auto"/>
        </w:rPr>
        <w:t>Revenue for the years ended December 31, 2010 and 2009 was as follows (in thousands, except percentages):</w:t>
      </w:r>
    </w:p>
    <w:p>
      <w:pPr>
        <w:spacing w:after="0" w:line="179" w:lineRule="exact"/>
        <w:rPr>
          <w:sz w:val="20"/>
          <w:szCs w:val="20"/>
          <w:color w:val="auto"/>
        </w:rPr>
      </w:pPr>
    </w:p>
    <w:tbl>
      <w:tblPr>
        <w:tblLayout w:type="fixed"/>
        <w:tblInd w:w="230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right"/>
              <w:ind w:right="373"/>
              <w:spacing w:after="0"/>
              <w:rPr>
                <w:sz w:val="20"/>
                <w:szCs w:val="20"/>
                <w:color w:val="auto"/>
              </w:rPr>
            </w:pPr>
            <w:r>
              <w:rPr>
                <w:rFonts w:ascii="Arial" w:cs="Arial" w:eastAsia="Arial" w:hAnsi="Arial"/>
                <w:sz w:val="11"/>
                <w:szCs w:val="11"/>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ind w:left="280"/>
              <w:spacing w:after="0"/>
              <w:rPr>
                <w:sz w:val="20"/>
                <w:szCs w:val="20"/>
                <w:color w:val="auto"/>
              </w:rPr>
            </w:pPr>
            <w:r>
              <w:rPr>
                <w:rFonts w:ascii="Arial" w:cs="Arial" w:eastAsia="Arial" w:hAnsi="Arial"/>
                <w:sz w:val="11"/>
                <w:szCs w:val="11"/>
                <w:b w:val="1"/>
                <w:bCs w:val="1"/>
                <w:color w:val="auto"/>
                <w:w w:val="93"/>
              </w:rPr>
              <w:t>Increase</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1"/>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jc w:val="right"/>
              <w:ind w:right="313"/>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from prior year</w:t>
            </w:r>
          </w:p>
        </w:tc>
      </w:tr>
      <w:tr>
        <w:trPr>
          <w:trHeight w:val="111"/>
        </w:trPr>
        <w:tc>
          <w:tcPr>
            <w:tcW w:w="40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7"/>
              <w:spacing w:after="0" w:line="111" w:lineRule="exact"/>
              <w:rPr>
                <w:sz w:val="20"/>
                <w:szCs w:val="20"/>
                <w:color w:val="auto"/>
              </w:rPr>
            </w:pPr>
            <w:r>
              <w:rPr>
                <w:rFonts w:ascii="Arial" w:cs="Arial" w:eastAsia="Arial" w:hAnsi="Arial"/>
                <w:sz w:val="11"/>
                <w:szCs w:val="11"/>
                <w:b w:val="1"/>
                <w:bCs w:val="1"/>
                <w:color w:val="auto"/>
              </w:rPr>
              <w:t>2010</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97"/>
              <w:spacing w:after="0" w:line="111"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9"/>
                <w:szCs w:val="9"/>
                <w:color w:val="auto"/>
              </w:rPr>
            </w:pPr>
          </w:p>
        </w:tc>
      </w:tr>
      <w:tr>
        <w:trPr>
          <w:trHeight w:val="166"/>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Product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146,583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136,276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10,307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4000" w:type="dxa"/>
            <w:vAlign w:val="bottom"/>
          </w:tcPr>
          <w:p>
            <w:pPr>
              <w:spacing w:after="0"/>
              <w:rPr>
                <w:sz w:val="20"/>
                <w:szCs w:val="20"/>
                <w:color w:val="auto"/>
              </w:rPr>
            </w:pPr>
            <w:r>
              <w:rPr>
                <w:rFonts w:ascii="Arial" w:cs="Arial" w:eastAsia="Arial" w:hAnsi="Arial"/>
                <w:sz w:val="14"/>
                <w:szCs w:val="14"/>
                <w:color w:val="auto"/>
              </w:rPr>
              <w:t>Service</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102,724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91,220</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11,504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12.6%</w:t>
            </w:r>
          </w:p>
        </w:tc>
      </w:tr>
      <w:tr>
        <w:trPr>
          <w:trHeight w:val="174"/>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249,307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227,496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21,811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2"/>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284"/>
        <w:spacing w:after="0" w:line="267" w:lineRule="auto"/>
        <w:rPr>
          <w:sz w:val="20"/>
          <w:szCs w:val="20"/>
          <w:color w:val="auto"/>
        </w:rPr>
      </w:pPr>
      <w:r>
        <w:rPr>
          <w:rFonts w:ascii="Arial" w:cs="Arial" w:eastAsia="Arial" w:hAnsi="Arial"/>
          <w:sz w:val="14"/>
          <w:szCs w:val="14"/>
          <w:color w:val="auto"/>
        </w:rPr>
        <w:t xml:space="preserve">Product revenue is comprised of sales of our voice infrastructure products, including our GSX9000 and GSX4000 Open Services Switches, Network Border Switch (including our new NBS5200), PSX Policy &amp; Routing Server, SGX Signaling Gateway, ASX Call Feature Server, IMX Service Delivery Platform, Sonus Insight Management System, ASX Access Gateway Control Function, the Insight </w:t>
      </w:r>
      <w:r>
        <w:rPr>
          <w:rFonts w:ascii="Arial" w:cs="Arial" w:eastAsia="Arial" w:hAnsi="Arial"/>
          <w:sz w:val="14"/>
          <w:szCs w:val="14"/>
          <w:i w:val="1"/>
          <w:iCs w:val="1"/>
          <w:color w:val="auto"/>
        </w:rPr>
        <w:t>x</w:t>
      </w:r>
      <w:r>
        <w:rPr>
          <w:rFonts w:ascii="Arial" w:cs="Arial" w:eastAsia="Arial" w:hAnsi="Arial"/>
          <w:sz w:val="14"/>
          <w:szCs w:val="14"/>
          <w:color w:val="auto"/>
        </w:rPr>
        <w:t>Authority Provisioning System and related product offerings. The increase in product revenue in fiscal 2010 compared to fiscal 2009 resulted from approximately $25 million of additional product revenue from AT&amp;T, partially offset by approximately $15 million of lower product revenue from other customers. Revenue from our trunking and access products increased $9.8 million in fiscal 2010</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compared to fiscal 2009. Revenue from our peering (NBS) products increased $0.5 million in fiscal 2010 compared to fiscal 2009. In fiscal 2010, we recognized $26.0 million of product revenue in the aggregate from 20 new customers. We recognized $16.9 million of product revenue in the aggregate from 7 new customers in fiscal 2009. We expect that our product revenue in fiscal 2011 will increase from 2010 levels.</w:t>
      </w:r>
    </w:p>
    <w:p>
      <w:pPr>
        <w:spacing w:after="0" w:line="146" w:lineRule="exact"/>
        <w:rPr>
          <w:sz w:val="20"/>
          <w:szCs w:val="20"/>
          <w:color w:val="auto"/>
        </w:rPr>
      </w:pPr>
    </w:p>
    <w:p>
      <w:pPr>
        <w:ind w:right="40" w:firstLine="284"/>
        <w:spacing w:after="0" w:line="306" w:lineRule="auto"/>
        <w:rPr>
          <w:sz w:val="20"/>
          <w:szCs w:val="20"/>
          <w:color w:val="auto"/>
        </w:rPr>
      </w:pPr>
      <w:r>
        <w:rPr>
          <w:rFonts w:ascii="Arial" w:cs="Arial" w:eastAsia="Arial" w:hAnsi="Arial"/>
          <w:sz w:val="12"/>
          <w:szCs w:val="12"/>
          <w:color w:val="auto"/>
        </w:rPr>
        <w:t>For orders received after October 1, 2008 from AT&amp;T, we concluded that we no longer had sufficient evidence of VSOE on maintenance services. As a result, all revenue related to multiple element arrangements for this customer entered into beginning in the fourth quarter of fiscal 2008 was recognized ratably over the arrangement's maintenance period, which ended December 31, 2010, provided all other revenue recognition criteria were met. Revenue recognition on multiple arrangements with AT&amp;T began when the only undelivered element of the arrangement was maintenance. We recognized approximately $32 million of such product revenue in fiscal 2010 and approximately $7 million of such product revenue in fiscal 2009 from AT&amp;T. We recognized approximately</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color w:val="auto"/>
        </w:rPr>
        <w:t>$15 million of such maintenance revenue in fiscal 2010 and approximately $9 million of such maintenance revenue in fiscal 2009 from AT&amp;T. The increase in ratably recognized revenue from AT&amp;T in fiscal 2010 compared to fiscal 2009 was due to fiscal 2010 orders being recognized as revenue over a shorter period than orders placed in fiscal 2009. In December 2010, we entered into a new maintenance agreement with AT&amp;T, which covers the period from January 1, 2011 through April 30, 2013.</w:t>
      </w:r>
    </w:p>
    <w:p>
      <w:pPr>
        <w:spacing w:after="0" w:line="150" w:lineRule="exact"/>
        <w:rPr>
          <w:sz w:val="20"/>
          <w:szCs w:val="20"/>
          <w:color w:val="auto"/>
        </w:rPr>
      </w:pPr>
    </w:p>
    <w:p>
      <w:pPr>
        <w:ind w:firstLine="284"/>
        <w:spacing w:after="0" w:line="297" w:lineRule="auto"/>
        <w:rPr>
          <w:sz w:val="20"/>
          <w:szCs w:val="20"/>
          <w:color w:val="auto"/>
        </w:rPr>
      </w:pPr>
      <w:r>
        <w:rPr>
          <w:rFonts w:ascii="Arial" w:cs="Arial" w:eastAsia="Arial" w:hAnsi="Arial"/>
          <w:sz w:val="13"/>
          <w:szCs w:val="13"/>
          <w:color w:val="auto"/>
        </w:rPr>
        <w:t>Service revenue is primarily comprised of hardware and software maintenance and support, network design, installation and other professional services. The increase in service revenue in fiscal 2010 compared to fiscal 2009 is attributable to $9.2 million of higher maintenance revenue and $2.3 million of higher professional services revenue. We recognized $3.1 million of maintenance revenue in the aggregate from 19 new customers in fiscal 2010 and $0.9 million of maintenance revenue in the aggregate from 8 new customers in fiscal 2009. We recognized $7.4 million of professional services revenue in the aggregate from 24 new customers in fiscal 2010 and $4.3 million of professional services revenue in the aggregate from 10 new customers in fiscal 2009.</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fiscal 2010, we had one customer, AT&amp;T, that contributed 10% or more of our revenue. In fiscal 2009, we had no customers that contributed 10% or more of our revenue.</w:t>
      </w:r>
    </w:p>
    <w:p>
      <w:pPr>
        <w:spacing w:after="0" w:line="189" w:lineRule="exact"/>
        <w:rPr>
          <w:sz w:val="20"/>
          <w:szCs w:val="20"/>
          <w:color w:val="auto"/>
        </w:rPr>
      </w:pPr>
    </w:p>
    <w:p>
      <w:pPr>
        <w:ind w:right="360" w:firstLine="284"/>
        <w:spacing w:after="0" w:line="330" w:lineRule="auto"/>
        <w:rPr>
          <w:sz w:val="20"/>
          <w:szCs w:val="20"/>
          <w:color w:val="auto"/>
        </w:rPr>
      </w:pPr>
      <w:r>
        <w:rPr>
          <w:rFonts w:ascii="Arial" w:cs="Arial" w:eastAsia="Arial" w:hAnsi="Arial"/>
          <w:sz w:val="13"/>
          <w:szCs w:val="13"/>
          <w:color w:val="auto"/>
        </w:rPr>
        <w:t>International revenue was approximately 32% of revenue in fiscal 2010 and approximately 30% of revenue in fiscal 2009. Due to the uneven ordering patterns of customers and the timing of project completions, we expect that the domestic and international components as a percentage of our revenue will fluctuate from quarter to quarter and year to year.</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Our deferred product revenue was $39.8 million at December 31, 2010 and $47.7 million at December 31, 2009. Our deferred service revenue was $45.8 million at December 31, 2010 and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$52.3 million at December 31, 2009. Our deferred revenue balance may fluctuate as a result of the timing of revenue recognition, customer payments, maintenance contract renewals, contractual billing</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rights and maintenance revenue deferrals included in multiple element arrangements.</w:t>
      </w:r>
    </w:p>
    <w:p>
      <w:pPr>
        <w:spacing w:after="0" w:line="183" w:lineRule="exact"/>
        <w:rPr>
          <w:sz w:val="20"/>
          <w:szCs w:val="20"/>
          <w:color w:val="auto"/>
        </w:rPr>
      </w:pPr>
    </w:p>
    <w:p>
      <w:pPr>
        <w:ind w:right="700" w:firstLine="284"/>
        <w:spacing w:after="0" w:line="289" w:lineRule="auto"/>
        <w:rPr>
          <w:sz w:val="20"/>
          <w:szCs w:val="20"/>
          <w:color w:val="auto"/>
        </w:rPr>
      </w:pPr>
      <w:r>
        <w:rPr>
          <w:rFonts w:ascii="Arial" w:cs="Arial" w:eastAsia="Arial" w:hAnsi="Arial"/>
          <w:sz w:val="14"/>
          <w:szCs w:val="14"/>
          <w:b w:val="1"/>
          <w:bCs w:val="1"/>
          <w:i w:val="1"/>
          <w:iCs w:val="1"/>
          <w:color w:val="auto"/>
        </w:rPr>
        <w:t xml:space="preserve">Cost of Revenue/Gross Profit. </w:t>
      </w:r>
      <w:r>
        <w:rPr>
          <w:rFonts w:ascii="Arial" w:cs="Arial" w:eastAsia="Arial" w:hAnsi="Arial"/>
          <w:sz w:val="14"/>
          <w:szCs w:val="14"/>
          <w:color w:val="auto"/>
        </w:rPr>
        <w:t>Our cost of revenue consists primarily of amounts paid to third-party manufacturers for purchased materials and services, royalties, manufacturing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professional services personnel and related costs and provision for inventory obsolescence. Cost of revenue and gross profit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as a percentage of revenue ("gross margin") for the years ended December 31, 2010 and 2009 were as follows (in thousands, except percentages):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ind w:left="260"/>
              <w:spacing w:after="0"/>
              <w:rPr>
                <w:sz w:val="20"/>
                <w:szCs w:val="20"/>
                <w:color w:val="auto"/>
              </w:rPr>
            </w:pPr>
            <w:r>
              <w:rPr>
                <w:rFonts w:ascii="Arial" w:cs="Arial" w:eastAsia="Arial" w:hAnsi="Arial"/>
                <w:sz w:val="11"/>
                <w:szCs w:val="11"/>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ind w:left="280"/>
              <w:spacing w:after="0"/>
              <w:rPr>
                <w:sz w:val="20"/>
                <w:szCs w:val="20"/>
                <w:color w:val="auto"/>
              </w:rPr>
            </w:pPr>
            <w:r>
              <w:rPr>
                <w:rFonts w:ascii="Arial" w:cs="Arial" w:eastAsia="Arial" w:hAnsi="Arial"/>
                <w:sz w:val="11"/>
                <w:szCs w:val="11"/>
                <w:b w:val="1"/>
                <w:bCs w:val="1"/>
                <w:color w:val="auto"/>
                <w:w w:val="93"/>
              </w:rPr>
              <w:t>Increase</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from prior year</w:t>
            </w:r>
          </w:p>
        </w:tc>
        <w:tc>
          <w:tcPr>
            <w:tcW w:w="0" w:type="dxa"/>
            <w:vAlign w:val="bottom"/>
          </w:tcPr>
          <w:p>
            <w:pPr>
              <w:spacing w:after="0"/>
              <w:rPr>
                <w:sz w:val="1"/>
                <w:szCs w:val="1"/>
                <w:color w:val="auto"/>
              </w:rPr>
            </w:pPr>
          </w:p>
        </w:tc>
      </w:tr>
      <w:tr>
        <w:trPr>
          <w:trHeight w:val="111"/>
        </w:trPr>
        <w:tc>
          <w:tcPr>
            <w:tcW w:w="64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ind w:left="60"/>
              <w:spacing w:after="0" w:line="111" w:lineRule="exact"/>
              <w:rPr>
                <w:sz w:val="20"/>
                <w:szCs w:val="20"/>
                <w:color w:val="auto"/>
              </w:rPr>
            </w:pPr>
            <w:r>
              <w:rPr>
                <w:rFonts w:ascii="Arial" w:cs="Arial" w:eastAsia="Arial" w:hAnsi="Arial"/>
                <w:sz w:val="11"/>
                <w:szCs w:val="11"/>
                <w:b w:val="1"/>
                <w:bCs w:val="1"/>
                <w:color w:val="auto"/>
              </w:rPr>
              <w:t>2010</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ind w:left="60"/>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77"/>
              <w:spacing w:after="0" w:line="111"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100"/>
              <w:spacing w:after="0"/>
              <w:rPr>
                <w:sz w:val="20"/>
                <w:szCs w:val="20"/>
                <w:color w:val="auto"/>
              </w:rPr>
            </w:pPr>
            <w:r>
              <w:rPr>
                <w:rFonts w:ascii="Arial" w:cs="Arial" w:eastAsia="Arial" w:hAnsi="Arial"/>
                <w:sz w:val="14"/>
                <w:szCs w:val="14"/>
                <w:color w:val="auto"/>
              </w:rPr>
              <w:t>Product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ind w:left="60"/>
              <w:spacing w:after="0"/>
              <w:rPr>
                <w:sz w:val="20"/>
                <w:szCs w:val="20"/>
                <w:color w:val="auto"/>
              </w:rPr>
            </w:pPr>
            <w:r>
              <w:rPr>
                <w:rFonts w:ascii="Arial" w:cs="Arial" w:eastAsia="Arial" w:hAnsi="Arial"/>
                <w:sz w:val="14"/>
                <w:szCs w:val="14"/>
                <w:color w:val="auto"/>
                <w:w w:val="83"/>
              </w:rPr>
              <w:t>48,163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60"/>
              <w:spacing w:after="0"/>
              <w:rPr>
                <w:sz w:val="20"/>
                <w:szCs w:val="20"/>
                <w:color w:val="auto"/>
              </w:rPr>
            </w:pPr>
            <w:r>
              <w:rPr>
                <w:rFonts w:ascii="Arial" w:cs="Arial" w:eastAsia="Arial" w:hAnsi="Arial"/>
                <w:sz w:val="14"/>
                <w:szCs w:val="14"/>
                <w:color w:val="auto"/>
                <w:w w:val="83"/>
              </w:rPr>
              <w:t>38,893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9,270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5"/>
        </w:trPr>
        <w:tc>
          <w:tcPr>
            <w:tcW w:w="6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4"/>
                <w:szCs w:val="14"/>
                <w:color w:val="auto"/>
                <w:w w:val="83"/>
              </w:rPr>
              <w:t>47,992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4"/>
                <w:szCs w:val="14"/>
                <w:color w:val="auto"/>
                <w:w w:val="83"/>
              </w:rPr>
              <w:t>44,467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2"/>
        </w:trPr>
        <w:tc>
          <w:tcPr>
            <w:tcW w:w="6420" w:type="dxa"/>
            <w:vAlign w:val="bottom"/>
            <w:vMerge w:val="restart"/>
          </w:tcPr>
          <w:p>
            <w:pPr>
              <w:ind w:left="22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72"/>
        </w:trPr>
        <w:tc>
          <w:tcPr>
            <w:tcW w:w="6420" w:type="dxa"/>
            <w:vAlign w:val="bottom"/>
            <w:vMerge w:val="continue"/>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3"/>
              </w:rPr>
              <w:t>96,155</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3"/>
              </w:rPr>
              <w:t>83,360</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12,795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40"/>
        </w:trPr>
        <w:tc>
          <w:tcPr>
            <w:tcW w:w="642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r>
      <w:tr>
        <w:trPr>
          <w:trHeight w:val="144"/>
        </w:trPr>
        <w:tc>
          <w:tcPr>
            <w:tcW w:w="64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Gross margin</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75"/>
        </w:trPr>
        <w:tc>
          <w:tcPr>
            <w:tcW w:w="6420" w:type="dxa"/>
            <w:vAlign w:val="bottom"/>
          </w:tcPr>
          <w:p>
            <w:pPr>
              <w:ind w:left="100"/>
              <w:spacing w:after="0"/>
              <w:rPr>
                <w:sz w:val="20"/>
                <w:szCs w:val="20"/>
                <w:color w:val="auto"/>
              </w:rPr>
            </w:pPr>
            <w:r>
              <w:rPr>
                <w:rFonts w:ascii="Arial" w:cs="Arial" w:eastAsia="Arial" w:hAnsi="Arial"/>
                <w:sz w:val="14"/>
                <w:szCs w:val="14"/>
                <w:color w:val="auto"/>
              </w:rPr>
              <w:t>Product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67.1%</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71.5%</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6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51.3%</w:t>
            </w: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1"/>
        </w:trPr>
        <w:tc>
          <w:tcPr>
            <w:tcW w:w="6420" w:type="dxa"/>
            <w:vAlign w:val="bottom"/>
          </w:tcPr>
          <w:p>
            <w:pPr>
              <w:ind w:left="220"/>
              <w:spacing w:after="0"/>
              <w:rPr>
                <w:sz w:val="20"/>
                <w:szCs w:val="20"/>
                <w:color w:val="auto"/>
              </w:rPr>
            </w:pPr>
            <w:r>
              <w:rPr>
                <w:rFonts w:ascii="Arial" w:cs="Arial" w:eastAsia="Arial" w:hAnsi="Arial"/>
                <w:sz w:val="14"/>
                <w:szCs w:val="14"/>
                <w:color w:val="auto"/>
              </w:rPr>
              <w:t>Total gross margin</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61.4%</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63.4%</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162" w:lineRule="exact"/>
        <w:rPr>
          <w:sz w:val="20"/>
          <w:szCs w:val="20"/>
          <w:color w:val="auto"/>
        </w:rPr>
      </w:pPr>
    </w:p>
    <w:p>
      <w:pPr>
        <w:ind w:right="360" w:firstLine="282"/>
        <w:spacing w:after="0" w:line="330" w:lineRule="auto"/>
        <w:rPr>
          <w:sz w:val="20"/>
          <w:szCs w:val="20"/>
          <w:color w:val="auto"/>
        </w:rPr>
      </w:pPr>
      <w:r>
        <w:rPr>
          <w:rFonts w:ascii="Arial" w:cs="Arial" w:eastAsia="Arial" w:hAnsi="Arial"/>
          <w:sz w:val="13"/>
          <w:szCs w:val="13"/>
          <w:color w:val="auto"/>
        </w:rPr>
        <w:t>The decrease in product gross margin in fiscal 2010 compared to fiscal 2009 is primarily due to changes in product and customer mix, including the completion in fiscal 2009 of a multi-year project for which the majority of costs had been recorded as period expense in fiscal 2008. These factors decreased our product gross margin by approximately four percentage points.</w:t>
      </w:r>
    </w:p>
    <w:p>
      <w:pPr>
        <w:spacing w:after="0" w:line="113" w:lineRule="exact"/>
        <w:rPr>
          <w:sz w:val="20"/>
          <w:szCs w:val="20"/>
          <w:color w:val="auto"/>
        </w:rPr>
      </w:pPr>
    </w:p>
    <w:p>
      <w:pPr>
        <w:ind w:right="200" w:firstLine="282"/>
        <w:spacing w:after="0" w:line="270" w:lineRule="auto"/>
        <w:rPr>
          <w:sz w:val="20"/>
          <w:szCs w:val="20"/>
          <w:color w:val="auto"/>
        </w:rPr>
      </w:pPr>
      <w:r>
        <w:rPr>
          <w:rFonts w:ascii="Arial" w:cs="Arial" w:eastAsia="Arial" w:hAnsi="Arial"/>
          <w:sz w:val="14"/>
          <w:szCs w:val="14"/>
          <w:color w:val="auto"/>
        </w:rPr>
        <w:t>The increase in service gross margin in fiscal 2010 compared to fiscal 2009 is primarily attributable to higher service revenue against our relatively fixed cost base, which increased our service gross margin by approximately two percentage points, partially offset by higher third-party costs, which reduced our service gross margin by approximately one-half of one percentage point. Our service cost of revenue is relatively fixed in advance of any particular quarter and therefore, changes in service revenue will have a significant impact on service gross margins. Our higher fixed cost base in fiscal 2010 compared to fiscal 2009 is primarily related to our employee incentive program.</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believe that our gross margin over time will remain in our long-term financial model of 58% to 62%.</w:t>
      </w:r>
    </w:p>
    <w:p>
      <w:pPr>
        <w:spacing w:after="0" w:line="189" w:lineRule="exact"/>
        <w:rPr>
          <w:sz w:val="20"/>
          <w:szCs w:val="20"/>
          <w:color w:val="auto"/>
        </w:rPr>
      </w:pPr>
    </w:p>
    <w:p>
      <w:pPr>
        <w:ind w:right="100" w:firstLine="284"/>
        <w:spacing w:after="0" w:line="378" w:lineRule="auto"/>
        <w:rPr>
          <w:sz w:val="20"/>
          <w:szCs w:val="20"/>
          <w:color w:val="auto"/>
        </w:rPr>
      </w:pPr>
      <w:r>
        <w:rPr>
          <w:rFonts w:ascii="Arial" w:cs="Arial" w:eastAsia="Arial" w:hAnsi="Arial"/>
          <w:sz w:val="12"/>
          <w:szCs w:val="12"/>
          <w:b w:val="1"/>
          <w:bCs w:val="1"/>
          <w:i w:val="1"/>
          <w:iCs w:val="1"/>
          <w:color w:val="auto"/>
        </w:rPr>
        <w:t xml:space="preserve">Research and Development Expenses. </w:t>
      </w:r>
      <w:r>
        <w:rPr>
          <w:rFonts w:ascii="Arial" w:cs="Arial" w:eastAsia="Arial" w:hAnsi="Arial"/>
          <w:sz w:val="12"/>
          <w:szCs w:val="12"/>
          <w:color w:val="auto"/>
        </w:rPr>
        <w:t>Research and development expenses consist primarily of salaries and related personnel expenses and prototype costs related to the design, development,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testing and enhancement of our products. Research and development expenses for the years ended December 31, 2010 and 2009 were as follows (in thousands, except percentages):</w:t>
      </w:r>
    </w:p>
    <w:p>
      <w:pPr>
        <w:spacing w:after="0" w:line="80" w:lineRule="exact"/>
        <w:rPr>
          <w:sz w:val="20"/>
          <w:szCs w:val="20"/>
          <w:color w:val="auto"/>
        </w:rPr>
      </w:pPr>
    </w:p>
    <w:tbl>
      <w:tblPr>
        <w:tblLayout w:type="fixed"/>
        <w:tblInd w:w="3440" w:type="dxa"/>
        <w:tblCellMar>
          <w:top w:w="0" w:type="dxa"/>
          <w:left w:w="0" w:type="dxa"/>
          <w:bottom w:w="0" w:type="dxa"/>
          <w:right w:w="0" w:type="dxa"/>
        </w:tblCellMar>
      </w:tblPr>
      <w:tr>
        <w:trPr>
          <w:trHeight w:val="126"/>
        </w:trPr>
        <w:tc>
          <w:tcPr>
            <w:tcW w:w="128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Year ended</w:t>
            </w: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Increase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1"/>
        </w:trPr>
        <w:tc>
          <w:tcPr>
            <w:tcW w:w="12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4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1"/>
                <w:szCs w:val="11"/>
                <w:b w:val="1"/>
                <w:bCs w:val="1"/>
                <w:color w:val="auto"/>
                <w:w w:val="91"/>
              </w:rPr>
              <w:t>from prior year</w:t>
            </w: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1"/>
        </w:trPr>
        <w:tc>
          <w:tcPr>
            <w:tcW w:w="660" w:type="dxa"/>
            <w:vAlign w:val="bottom"/>
            <w:tcBorders>
              <w:bottom w:val="single" w:sz="8" w:color="auto"/>
            </w:tcBorders>
          </w:tcPr>
          <w:p>
            <w:pPr>
              <w:jc w:val="right"/>
              <w:ind w:right="161"/>
              <w:spacing w:after="0" w:line="111" w:lineRule="exact"/>
              <w:rPr>
                <w:sz w:val="20"/>
                <w:szCs w:val="20"/>
                <w:color w:val="auto"/>
              </w:rPr>
            </w:pPr>
            <w:r>
              <w:rPr>
                <w:rFonts w:ascii="Arial" w:cs="Arial" w:eastAsia="Arial" w:hAnsi="Arial"/>
                <w:sz w:val="11"/>
                <w:szCs w:val="11"/>
                <w:b w:val="1"/>
                <w:bCs w:val="1"/>
                <w:color w:val="auto"/>
              </w:rPr>
              <w:t>2010</w:t>
            </w: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7"/>
              <w:spacing w:after="0" w:line="111" w:lineRule="exact"/>
              <w:rPr>
                <w:sz w:val="20"/>
                <w:szCs w:val="20"/>
                <w:color w:val="auto"/>
              </w:rPr>
            </w:pPr>
            <w:r>
              <w:rPr>
                <w:rFonts w:ascii="Arial" w:cs="Arial" w:eastAsia="Arial" w:hAnsi="Arial"/>
                <w:sz w:val="11"/>
                <w:szCs w:val="11"/>
                <w:b w:val="1"/>
                <w:bCs w:val="1"/>
                <w:color w:val="auto"/>
              </w:rPr>
              <w:t>2009</w:t>
            </w:r>
          </w:p>
        </w:tc>
        <w:tc>
          <w:tcPr>
            <w:tcW w:w="1020" w:type="dxa"/>
            <w:vAlign w:val="bottom"/>
          </w:tcPr>
          <w:p>
            <w:pPr>
              <w:spacing w:after="0"/>
              <w:rPr>
                <w:sz w:val="9"/>
                <w:szCs w:val="9"/>
                <w:color w:val="auto"/>
              </w:rPr>
            </w:pPr>
          </w:p>
        </w:tc>
        <w:tc>
          <w:tcPr>
            <w:tcW w:w="580" w:type="dxa"/>
            <w:vAlign w:val="bottom"/>
            <w:tcBorders>
              <w:bottom w:val="single" w:sz="8" w:color="auto"/>
            </w:tcBorders>
          </w:tcPr>
          <w:p>
            <w:pPr>
              <w:jc w:val="right"/>
              <w:ind w:right="200"/>
              <w:spacing w:after="0" w:line="111" w:lineRule="exact"/>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77"/>
              <w:spacing w:after="0" w:line="11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r>
      <w:tr>
        <w:trPr>
          <w:trHeight w:val="166"/>
        </w:trPr>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   62,786</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59,864</w:t>
            </w:r>
          </w:p>
        </w:tc>
        <w:tc>
          <w:tcPr>
            <w:tcW w:w="1040" w:type="dxa"/>
            <w:vAlign w:val="bottom"/>
            <w:gridSpan w:val="2"/>
            <w:shd w:val="clear" w:color="auto" w:fill="CCEEFF"/>
          </w:tcPr>
          <w:p>
            <w:pPr>
              <w:jc w:val="right"/>
              <w:ind w:right="385"/>
              <w:spacing w:after="0"/>
              <w:rPr>
                <w:sz w:val="20"/>
                <w:szCs w:val="20"/>
                <w:color w:val="auto"/>
              </w:rPr>
            </w:pPr>
            <w:r>
              <w:rPr>
                <w:rFonts w:ascii="Arial" w:cs="Arial" w:eastAsia="Arial" w:hAnsi="Arial"/>
                <w:sz w:val="14"/>
                <w:szCs w:val="14"/>
                <w:color w:val="auto"/>
              </w:rPr>
              <w:t>$   2,922</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w:t>
            </w:r>
          </w:p>
        </w:tc>
      </w:tr>
    </w:tbl>
    <w:p>
      <w:pPr>
        <w:spacing w:after="0" w:line="167" w:lineRule="exact"/>
        <w:rPr>
          <w:sz w:val="20"/>
          <w:szCs w:val="20"/>
          <w:color w:val="auto"/>
        </w:rPr>
      </w:pPr>
    </w:p>
    <w:p>
      <w:pPr>
        <w:ind w:firstLine="282"/>
        <w:spacing w:after="0" w:line="290" w:lineRule="auto"/>
        <w:rPr>
          <w:sz w:val="20"/>
          <w:szCs w:val="20"/>
          <w:color w:val="auto"/>
        </w:rPr>
      </w:pPr>
      <w:r>
        <w:rPr>
          <w:rFonts w:ascii="Arial" w:cs="Arial" w:eastAsia="Arial" w:hAnsi="Arial"/>
          <w:sz w:val="13"/>
          <w:szCs w:val="13"/>
          <w:color w:val="auto"/>
        </w:rPr>
        <w:t>The increase in research and development expenses in fiscal 2010 compared to fiscal 2009 is primarily attributable to $4.7 million of increased expense for product development (third-party development costs and prototype costs) for both our new and existing product offerings and $2.1 million of higher facilities costs. These increases were partially offset by $3.1 million of lower employee-related costs and $0.7 million of lower depreciation expense. Our higher facilities costs are primarily related to our expanded research and development facilities in fiscal 2010 compared to fiscal 2009. The reduction in our employee-related costs is primarily related to the relocation of our research and development activities to our development center in India, coupled with a net reduction in our worldwide research and development headcount of approximately 25 employees. This reduction is the net result of the actions taken through our 2009 and 2008 restructuring initiatives, partially offset by an increase of approximately 115 employees at our development center in India compared to such number of employees at December 31, 2009.</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120" w:firstLine="284"/>
        <w:spacing w:after="0" w:line="275" w:lineRule="auto"/>
        <w:rPr>
          <w:sz w:val="20"/>
          <w:szCs w:val="20"/>
          <w:color w:val="auto"/>
        </w:rPr>
      </w:pPr>
      <w:r>
        <w:rPr>
          <w:rFonts w:ascii="Arial" w:cs="Arial" w:eastAsia="Arial" w:hAnsi="Arial"/>
          <w:sz w:val="14"/>
          <w:szCs w:val="14"/>
          <w:color w:val="auto"/>
        </w:rPr>
        <w:t>Some aspects of our research and development efforts require significant short-term expenditures, the timing of which can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2011 will increase from 2010 levels due to our increased focus on new product development.</w:t>
      </w:r>
    </w:p>
    <w:p>
      <w:pPr>
        <w:spacing w:after="0" w:line="146" w:lineRule="exact"/>
        <w:rPr>
          <w:sz w:val="20"/>
          <w:szCs w:val="20"/>
          <w:color w:val="auto"/>
        </w:rPr>
      </w:pPr>
    </w:p>
    <w:p>
      <w:pPr>
        <w:jc w:val="both"/>
        <w:ind w:right="180" w:firstLine="284"/>
        <w:spacing w:after="0" w:line="275" w:lineRule="auto"/>
        <w:rPr>
          <w:sz w:val="20"/>
          <w:szCs w:val="20"/>
          <w:color w:val="auto"/>
        </w:rPr>
      </w:pPr>
      <w:r>
        <w:rPr>
          <w:rFonts w:ascii="Arial" w:cs="Arial" w:eastAsia="Arial" w:hAnsi="Arial"/>
          <w:sz w:val="14"/>
          <w:szCs w:val="14"/>
          <w:b w:val="1"/>
          <w:bCs w:val="1"/>
          <w:i w:val="1"/>
          <w:iCs w:val="1"/>
          <w:color w:val="auto"/>
        </w:rPr>
        <w:t xml:space="preserve">Sales and Marketing Expenses. </w:t>
      </w:r>
      <w:r>
        <w:rPr>
          <w:rFonts w:ascii="Arial" w:cs="Arial" w:eastAsia="Arial" w:hAnsi="Arial"/>
          <w:sz w:val="14"/>
          <w:szCs w:val="14"/>
          <w:color w:val="auto"/>
        </w:rPr>
        <w:t>Sales and marketing expenses consist primarily of salaries and related personnel costs, commissions, travel and entertainment expenses, promotions, customer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trial and evaluations inventory and other marketing and sales support expenses. Sales and marketing expenses for the years ended December 31, 2010 and 2009 were as follows (in thousands, except percentages):</w:t>
      </w:r>
    </w:p>
    <w:p>
      <w:pPr>
        <w:spacing w:after="0" w:line="136" w:lineRule="exact"/>
        <w:rPr>
          <w:sz w:val="20"/>
          <w:szCs w:val="20"/>
          <w:color w:val="auto"/>
        </w:rPr>
      </w:pPr>
    </w:p>
    <w:tbl>
      <w:tblPr>
        <w:tblLayout w:type="fixed"/>
        <w:tblInd w:w="3440" w:type="dxa"/>
        <w:tblCellMar>
          <w:top w:w="0" w:type="dxa"/>
          <w:left w:w="0" w:type="dxa"/>
          <w:bottom w:w="0" w:type="dxa"/>
          <w:right w:w="0" w:type="dxa"/>
        </w:tblCellMar>
      </w:tblPr>
      <w:tr>
        <w:trPr>
          <w:trHeight w:val="126"/>
        </w:trPr>
        <w:tc>
          <w:tcPr>
            <w:tcW w:w="128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Year ended</w:t>
            </w: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Increase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1"/>
        </w:trPr>
        <w:tc>
          <w:tcPr>
            <w:tcW w:w="12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4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1"/>
                <w:szCs w:val="11"/>
                <w:b w:val="1"/>
                <w:bCs w:val="1"/>
                <w:color w:val="auto"/>
                <w:w w:val="91"/>
              </w:rPr>
              <w:t>from prior year</w:t>
            </w: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1"/>
        </w:trPr>
        <w:tc>
          <w:tcPr>
            <w:tcW w:w="660" w:type="dxa"/>
            <w:vAlign w:val="bottom"/>
            <w:tcBorders>
              <w:bottom w:val="single" w:sz="8" w:color="auto"/>
            </w:tcBorders>
          </w:tcPr>
          <w:p>
            <w:pPr>
              <w:jc w:val="right"/>
              <w:ind w:right="161"/>
              <w:spacing w:after="0" w:line="111" w:lineRule="exact"/>
              <w:rPr>
                <w:sz w:val="20"/>
                <w:szCs w:val="20"/>
                <w:color w:val="auto"/>
              </w:rPr>
            </w:pPr>
            <w:r>
              <w:rPr>
                <w:rFonts w:ascii="Arial" w:cs="Arial" w:eastAsia="Arial" w:hAnsi="Arial"/>
                <w:sz w:val="11"/>
                <w:szCs w:val="11"/>
                <w:b w:val="1"/>
                <w:bCs w:val="1"/>
                <w:color w:val="auto"/>
              </w:rPr>
              <w:t>2010</w:t>
            </w: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7"/>
              <w:spacing w:after="0" w:line="111" w:lineRule="exact"/>
              <w:rPr>
                <w:sz w:val="20"/>
                <w:szCs w:val="20"/>
                <w:color w:val="auto"/>
              </w:rPr>
            </w:pPr>
            <w:r>
              <w:rPr>
                <w:rFonts w:ascii="Arial" w:cs="Arial" w:eastAsia="Arial" w:hAnsi="Arial"/>
                <w:sz w:val="11"/>
                <w:szCs w:val="11"/>
                <w:b w:val="1"/>
                <w:bCs w:val="1"/>
                <w:color w:val="auto"/>
              </w:rPr>
              <w:t>2009</w:t>
            </w:r>
          </w:p>
        </w:tc>
        <w:tc>
          <w:tcPr>
            <w:tcW w:w="1020" w:type="dxa"/>
            <w:vAlign w:val="bottom"/>
          </w:tcPr>
          <w:p>
            <w:pPr>
              <w:spacing w:after="0"/>
              <w:rPr>
                <w:sz w:val="9"/>
                <w:szCs w:val="9"/>
                <w:color w:val="auto"/>
              </w:rPr>
            </w:pPr>
          </w:p>
        </w:tc>
        <w:tc>
          <w:tcPr>
            <w:tcW w:w="580" w:type="dxa"/>
            <w:vAlign w:val="bottom"/>
            <w:tcBorders>
              <w:bottom w:val="single" w:sz="8" w:color="auto"/>
            </w:tcBorders>
          </w:tcPr>
          <w:p>
            <w:pPr>
              <w:jc w:val="right"/>
              <w:ind w:right="200"/>
              <w:spacing w:after="0" w:line="111" w:lineRule="exact"/>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77"/>
              <w:spacing w:after="0" w:line="11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r>
      <w:tr>
        <w:trPr>
          <w:trHeight w:val="166"/>
        </w:trPr>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   51,033</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48,929</w:t>
            </w:r>
          </w:p>
        </w:tc>
        <w:tc>
          <w:tcPr>
            <w:tcW w:w="1040" w:type="dxa"/>
            <w:vAlign w:val="bottom"/>
            <w:gridSpan w:val="2"/>
            <w:shd w:val="clear" w:color="auto" w:fill="CCEEFF"/>
          </w:tcPr>
          <w:p>
            <w:pPr>
              <w:jc w:val="right"/>
              <w:ind w:right="385"/>
              <w:spacing w:after="0"/>
              <w:rPr>
                <w:sz w:val="20"/>
                <w:szCs w:val="20"/>
                <w:color w:val="auto"/>
              </w:rPr>
            </w:pPr>
            <w:r>
              <w:rPr>
                <w:rFonts w:ascii="Arial" w:cs="Arial" w:eastAsia="Arial" w:hAnsi="Arial"/>
                <w:sz w:val="14"/>
                <w:szCs w:val="14"/>
                <w:color w:val="auto"/>
              </w:rPr>
              <w:t>$   2,104</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r>
    </w:tbl>
    <w:p>
      <w:pPr>
        <w:spacing w:after="0" w:line="167" w:lineRule="exact"/>
        <w:rPr>
          <w:sz w:val="20"/>
          <w:szCs w:val="20"/>
          <w:color w:val="auto"/>
        </w:rPr>
      </w:pPr>
    </w:p>
    <w:p>
      <w:pPr>
        <w:ind w:right="20" w:firstLine="282"/>
        <w:spacing w:after="0" w:line="322" w:lineRule="auto"/>
        <w:rPr>
          <w:sz w:val="20"/>
          <w:szCs w:val="20"/>
          <w:color w:val="auto"/>
        </w:rPr>
      </w:pPr>
      <w:r>
        <w:rPr>
          <w:rFonts w:ascii="Arial" w:cs="Arial" w:eastAsia="Arial" w:hAnsi="Arial"/>
          <w:sz w:val="12"/>
          <w:szCs w:val="12"/>
          <w:color w:val="auto"/>
        </w:rPr>
        <w:t>The increase in sales and marketing expenses in fiscal 2010 compared to fiscal 2009 is primarily attributable to $1.3 million of increased employee-related expenses, $0.9 million of higher expense related to increased new product trial and evaluation equipment activity and $0.8 million of higher sales subcontractor fees related primarily to our entry into new geographies. These increases were partially offset by $0.5 million of lower trade show expenses and $0.4 million of lower other expenses. The increase in employee-related expenses is primarily comprised of $2.1 million of higher commission expense related to our higher revenue levels in fiscal 2010 and $0.6 million of incremental expense related to our employee incentive program, partially offset by $1.6 million of lower stock-based compensation expense. We believe that our sales and marketing expenses will increase in fiscal 2011 from fiscal 2010 levels, primarily attributable to higher personnel and related costs.</w:t>
      </w:r>
    </w:p>
    <w:p>
      <w:pPr>
        <w:spacing w:after="0" w:line="123" w:lineRule="exact"/>
        <w:rPr>
          <w:sz w:val="20"/>
          <w:szCs w:val="20"/>
          <w:color w:val="auto"/>
        </w:rPr>
      </w:pPr>
    </w:p>
    <w:p>
      <w:pPr>
        <w:ind w:right="420" w:firstLine="284"/>
        <w:spacing w:after="0" w:line="275" w:lineRule="auto"/>
        <w:rPr>
          <w:sz w:val="20"/>
          <w:szCs w:val="20"/>
          <w:color w:val="auto"/>
        </w:rPr>
      </w:pPr>
      <w:r>
        <w:rPr>
          <w:rFonts w:ascii="Arial" w:cs="Arial" w:eastAsia="Arial" w:hAnsi="Arial"/>
          <w:sz w:val="14"/>
          <w:szCs w:val="14"/>
          <w:b w:val="1"/>
          <w:bCs w:val="1"/>
          <w:i w:val="1"/>
          <w:iCs w:val="1"/>
          <w:color w:val="auto"/>
        </w:rPr>
        <w:t xml:space="preserve">General and Administrative Expenses. </w:t>
      </w:r>
      <w:r>
        <w:rPr>
          <w:rFonts w:ascii="Arial" w:cs="Arial" w:eastAsia="Arial" w:hAnsi="Arial"/>
          <w:sz w:val="14"/>
          <w:szCs w:val="14"/>
          <w:color w:val="auto"/>
        </w:rPr>
        <w:t>General and administrative expenses consist primarily of salaries and related personnel costs for executive and administrative personnel, recruiting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expenses, allowance for doubtful accounts and professional fees. General and administrative expenses for the years ended December 31, 2010 and 2009 were as follows (in thousands, except percentages):</w:t>
      </w:r>
    </w:p>
    <w:p>
      <w:pPr>
        <w:spacing w:after="0" w:line="136" w:lineRule="exact"/>
        <w:rPr>
          <w:sz w:val="20"/>
          <w:szCs w:val="20"/>
          <w:color w:val="auto"/>
        </w:rPr>
      </w:pPr>
    </w:p>
    <w:tbl>
      <w:tblPr>
        <w:tblLayout w:type="fixed"/>
        <w:tblInd w:w="3440" w:type="dxa"/>
        <w:tblCellMar>
          <w:top w:w="0" w:type="dxa"/>
          <w:left w:w="0" w:type="dxa"/>
          <w:bottom w:w="0" w:type="dxa"/>
          <w:right w:w="0" w:type="dxa"/>
        </w:tblCellMar>
      </w:tblPr>
      <w:tr>
        <w:trPr>
          <w:trHeight w:val="126"/>
        </w:trPr>
        <w:tc>
          <w:tcPr>
            <w:tcW w:w="128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Year ended</w:t>
            </w: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Increase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1"/>
        </w:trPr>
        <w:tc>
          <w:tcPr>
            <w:tcW w:w="12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4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1"/>
                <w:szCs w:val="11"/>
                <w:b w:val="1"/>
                <w:bCs w:val="1"/>
                <w:color w:val="auto"/>
                <w:w w:val="91"/>
              </w:rPr>
              <w:t>from prior year</w:t>
            </w: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1"/>
        </w:trPr>
        <w:tc>
          <w:tcPr>
            <w:tcW w:w="660" w:type="dxa"/>
            <w:vAlign w:val="bottom"/>
            <w:tcBorders>
              <w:bottom w:val="single" w:sz="8" w:color="auto"/>
            </w:tcBorders>
          </w:tcPr>
          <w:p>
            <w:pPr>
              <w:jc w:val="right"/>
              <w:ind w:right="161"/>
              <w:spacing w:after="0" w:line="111" w:lineRule="exact"/>
              <w:rPr>
                <w:sz w:val="20"/>
                <w:szCs w:val="20"/>
                <w:color w:val="auto"/>
              </w:rPr>
            </w:pPr>
            <w:r>
              <w:rPr>
                <w:rFonts w:ascii="Arial" w:cs="Arial" w:eastAsia="Arial" w:hAnsi="Arial"/>
                <w:sz w:val="11"/>
                <w:szCs w:val="11"/>
                <w:b w:val="1"/>
                <w:bCs w:val="1"/>
                <w:color w:val="auto"/>
              </w:rPr>
              <w:t>2010</w:t>
            </w: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7"/>
              <w:spacing w:after="0" w:line="111" w:lineRule="exact"/>
              <w:rPr>
                <w:sz w:val="20"/>
                <w:szCs w:val="20"/>
                <w:color w:val="auto"/>
              </w:rPr>
            </w:pPr>
            <w:r>
              <w:rPr>
                <w:rFonts w:ascii="Arial" w:cs="Arial" w:eastAsia="Arial" w:hAnsi="Arial"/>
                <w:sz w:val="11"/>
                <w:szCs w:val="11"/>
                <w:b w:val="1"/>
                <w:bCs w:val="1"/>
                <w:color w:val="auto"/>
              </w:rPr>
              <w:t>2009</w:t>
            </w:r>
          </w:p>
        </w:tc>
        <w:tc>
          <w:tcPr>
            <w:tcW w:w="1020" w:type="dxa"/>
            <w:vAlign w:val="bottom"/>
          </w:tcPr>
          <w:p>
            <w:pPr>
              <w:spacing w:after="0"/>
              <w:rPr>
                <w:sz w:val="9"/>
                <w:szCs w:val="9"/>
                <w:color w:val="auto"/>
              </w:rPr>
            </w:pPr>
          </w:p>
        </w:tc>
        <w:tc>
          <w:tcPr>
            <w:tcW w:w="580" w:type="dxa"/>
            <w:vAlign w:val="bottom"/>
            <w:tcBorders>
              <w:bottom w:val="single" w:sz="8" w:color="auto"/>
            </w:tcBorders>
          </w:tcPr>
          <w:p>
            <w:pPr>
              <w:jc w:val="right"/>
              <w:ind w:right="200"/>
              <w:spacing w:after="0" w:line="111" w:lineRule="exact"/>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77"/>
              <w:spacing w:after="0" w:line="111"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r>
      <w:tr>
        <w:trPr>
          <w:trHeight w:val="166"/>
        </w:trPr>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   49,391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43,217</w:t>
            </w:r>
          </w:p>
        </w:tc>
        <w:tc>
          <w:tcPr>
            <w:tcW w:w="1040" w:type="dxa"/>
            <w:vAlign w:val="bottom"/>
            <w:gridSpan w:val="2"/>
            <w:shd w:val="clear" w:color="auto" w:fill="CCEEFF"/>
          </w:tcPr>
          <w:p>
            <w:pPr>
              <w:jc w:val="right"/>
              <w:ind w:right="385"/>
              <w:spacing w:after="0"/>
              <w:rPr>
                <w:sz w:val="20"/>
                <w:szCs w:val="20"/>
                <w:color w:val="auto"/>
              </w:rPr>
            </w:pPr>
            <w:r>
              <w:rPr>
                <w:rFonts w:ascii="Arial" w:cs="Arial" w:eastAsia="Arial" w:hAnsi="Arial"/>
                <w:sz w:val="14"/>
                <w:szCs w:val="14"/>
                <w:color w:val="auto"/>
              </w:rPr>
              <w:t>$   6,174</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14.3%</w:t>
            </w:r>
          </w:p>
        </w:tc>
      </w:tr>
    </w:tbl>
    <w:p>
      <w:pPr>
        <w:spacing w:after="0" w:line="167" w:lineRule="exact"/>
        <w:rPr>
          <w:sz w:val="20"/>
          <w:szCs w:val="20"/>
          <w:color w:val="auto"/>
        </w:rPr>
      </w:pPr>
    </w:p>
    <w:p>
      <w:pPr>
        <w:ind w:firstLine="282"/>
        <w:spacing w:after="0" w:line="293" w:lineRule="auto"/>
        <w:rPr>
          <w:sz w:val="20"/>
          <w:szCs w:val="20"/>
          <w:color w:val="auto"/>
        </w:rPr>
      </w:pPr>
      <w:r>
        <w:rPr>
          <w:rFonts w:ascii="Arial" w:cs="Arial" w:eastAsia="Arial" w:hAnsi="Arial"/>
          <w:sz w:val="13"/>
          <w:szCs w:val="13"/>
          <w:color w:val="auto"/>
        </w:rPr>
        <w:t>The increase in general and administrative expenses in fiscal 2010 compared to fiscal 2009 is primarily attributable to $10.6 million of higher employee-related expense and $0.4 million of net increases in other costs, partially offset by lower expenses that include $3.9 million of lower legal-related and professional fees, $0.6 million of lower bad debt expense and $0.4 million of lower foreign currency translation expense. The increase in employee-related expense includes $7.9 million resulting from the departures of Dr. Nottenburg and Mr. Pai discussed below and $4.2 million related to our employee incentive program, partially offset by $1.5 million of net decreases in other employee-related costs, primarily salary expense. We believe that our general and administrative expenses will decrease in fiscal 2011 from fiscal 2010 levels, primarily due to lower expected professional fees and other consulting costs and personnel-related expenses.</w:t>
      </w:r>
    </w:p>
    <w:p>
      <w:pPr>
        <w:spacing w:after="0" w:line="137" w:lineRule="exact"/>
        <w:rPr>
          <w:sz w:val="20"/>
          <w:szCs w:val="20"/>
          <w:color w:val="auto"/>
        </w:rPr>
      </w:pPr>
    </w:p>
    <w:p>
      <w:pPr>
        <w:ind w:right="20" w:firstLine="284"/>
        <w:spacing w:after="0" w:line="378" w:lineRule="auto"/>
        <w:rPr>
          <w:sz w:val="20"/>
          <w:szCs w:val="20"/>
          <w:color w:val="auto"/>
        </w:rPr>
      </w:pPr>
      <w:r>
        <w:rPr>
          <w:rFonts w:ascii="Arial" w:cs="Arial" w:eastAsia="Arial" w:hAnsi="Arial"/>
          <w:sz w:val="12"/>
          <w:szCs w:val="12"/>
          <w:color w:val="auto"/>
        </w:rPr>
        <w:t>On May 18, 2010, Dr. Nottenburg and the Company entered into a letter agreement (the "Retention Agreement") pursuant to which Dr. Nottenburg agreed to stay with the Company while assisting the Company with an orderly transition of his duties and responsibilities. On October 8, 2010, Mr. Dolan accepted an offer of employment as our President and Chief Executive Officer, effective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October 12, 2010, and joined our Board of Directors by action of the Board of Directors, effective October 12, 2010, succeeding Dr. Nottenburg. We accelerated the recognition of expense for both the stock-based awards and cash payments related to Dr. Nottenburg's departure pursuant to the terms of the Retention Agreement and as a result, recorded $6.7 million of incremental expense in fiscal 2010, comprised of $4.6 million of stock-based compensation expense and $2.1 million of expense related to cash payments to Dr. Nottenburg.</w:t>
      </w:r>
    </w:p>
    <w:p>
      <w:pPr>
        <w:spacing w:after="0" w:line="146" w:lineRule="exact"/>
        <w:rPr>
          <w:sz w:val="20"/>
          <w:szCs w:val="20"/>
          <w:color w:val="auto"/>
        </w:rPr>
      </w:pPr>
    </w:p>
    <w:p>
      <w:pPr>
        <w:ind w:right="460" w:firstLine="284"/>
        <w:spacing w:after="0" w:line="275" w:lineRule="auto"/>
        <w:rPr>
          <w:sz w:val="20"/>
          <w:szCs w:val="20"/>
          <w:color w:val="auto"/>
        </w:rPr>
      </w:pPr>
      <w:r>
        <w:rPr>
          <w:rFonts w:ascii="Arial" w:cs="Arial" w:eastAsia="Arial" w:hAnsi="Arial"/>
          <w:sz w:val="14"/>
          <w:szCs w:val="14"/>
          <w:color w:val="auto"/>
        </w:rPr>
        <w:t>On December 30, 2010, we announced that Mr. Pai was stepping down as Executive Vice President and Chief Operating Officer of the Company, effective immediately. We accelerated the recognition of expense for certain stock-based awards previously granted to Mr. Pai and recorded incremental expense for cash payments related to Mr. Pai's departure in fiscal 2010 totaling $1.2 million, comprised of $0.5 million of stock-based compensation expense and $0.7 million of expense related to cash payments to Mr. Pai.</w:t>
      </w:r>
    </w:p>
    <w:p>
      <w:pPr>
        <w:spacing w:after="0" w:line="146" w:lineRule="exact"/>
        <w:rPr>
          <w:sz w:val="20"/>
          <w:szCs w:val="20"/>
          <w:color w:val="auto"/>
        </w:rPr>
      </w:pPr>
    </w:p>
    <w:p>
      <w:pPr>
        <w:ind w:right="60" w:firstLine="284"/>
        <w:spacing w:after="0" w:line="293" w:lineRule="auto"/>
        <w:rPr>
          <w:sz w:val="20"/>
          <w:szCs w:val="20"/>
          <w:color w:val="auto"/>
        </w:rPr>
      </w:pPr>
      <w:r>
        <w:rPr>
          <w:rFonts w:ascii="Arial" w:cs="Arial" w:eastAsia="Arial" w:hAnsi="Arial"/>
          <w:sz w:val="13"/>
          <w:szCs w:val="13"/>
          <w:b w:val="1"/>
          <w:bCs w:val="1"/>
          <w:i w:val="1"/>
          <w:iCs w:val="1"/>
          <w:color w:val="auto"/>
        </w:rPr>
        <w:t xml:space="preserve">Restructuring. </w:t>
      </w:r>
      <w:r>
        <w:rPr>
          <w:rFonts w:ascii="Arial" w:cs="Arial" w:eastAsia="Arial" w:hAnsi="Arial"/>
          <w:sz w:val="13"/>
          <w:szCs w:val="13"/>
          <w:color w:val="auto"/>
        </w:rPr>
        <w:t>On August 24, 2010, we announced a restructuring initiative to close our offices in Ottawa, Canada and in Darmstadt, Germany, to relocate our Freehold, New Jersey facility to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smaller, more cost-effective space in the same area, and to reduce our workforce by 12 people, or approximately 1% of employees worldwide. We recorded $1.5 million of restructuring expense in fiscal 2010, of which $0.4 million was recorded in the fourth quarter and $1.1 million was recorded in the third quarter. During the fourth quarter of fiscal 2010, as a result of changing business circumstances in certain geographic areas, including the availability of suitable replacement facilities and certain customer relationships, we elected not to close our office in Darmstadt, Germany, or to relocate our Freehold, New Jersey facility. As a result, we do not expect to record restructuring expense related to either of these facilities.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recorded $3.5 million of restructuring expense in fiscal 2009 related to three restructuring initiatives, which reduced our workforce by approximately 190 employees in the aggregate.</w:t>
      </w:r>
    </w:p>
    <w:p>
      <w:pPr>
        <w:spacing w:after="0" w:line="200"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b w:val="1"/>
          <w:bCs w:val="1"/>
          <w:i w:val="1"/>
          <w:iCs w:val="1"/>
          <w:color w:val="auto"/>
        </w:rPr>
        <w:t>Interest Income, net.</w:t>
      </w:r>
      <w:r>
        <w:rPr>
          <w:sz w:val="20"/>
          <w:szCs w:val="20"/>
          <w:color w:val="auto"/>
        </w:rPr>
        <w:tab/>
      </w:r>
      <w:r>
        <w:rPr>
          <w:rFonts w:ascii="Arial" w:cs="Arial" w:eastAsia="Arial" w:hAnsi="Arial"/>
          <w:sz w:val="12"/>
          <w:szCs w:val="12"/>
          <w:color w:val="auto"/>
        </w:rPr>
        <w:t>Interest income and interest expense for the years ended December 31, 2010 and 2009 were as follows (in thousands, except percentages):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Year ended</w:t>
            </w:r>
          </w:p>
        </w:tc>
        <w:tc>
          <w:tcPr>
            <w:tcW w:w="120" w:type="dxa"/>
            <w:vAlign w:val="bottom"/>
          </w:tcPr>
          <w:p>
            <w:pPr>
              <w:spacing w:after="0"/>
              <w:rPr>
                <w:sz w:val="10"/>
                <w:szCs w:val="10"/>
                <w:color w:val="auto"/>
              </w:rPr>
            </w:pPr>
          </w:p>
        </w:tc>
        <w:tc>
          <w:tcPr>
            <w:tcW w:w="1960" w:type="dxa"/>
            <w:vAlign w:val="bottom"/>
            <w:gridSpan w:val="4"/>
          </w:tcPr>
          <w:p>
            <w:pPr>
              <w:jc w:val="right"/>
              <w:ind w:right="1040"/>
              <w:spacing w:after="0"/>
              <w:rPr>
                <w:sz w:val="20"/>
                <w:szCs w:val="20"/>
                <w:color w:val="auto"/>
              </w:rPr>
            </w:pPr>
            <w:r>
              <w:rPr>
                <w:rFonts w:ascii="Arial" w:cs="Arial" w:eastAsia="Arial" w:hAnsi="Arial"/>
                <w:sz w:val="11"/>
                <w:szCs w:val="11"/>
                <w:b w:val="1"/>
                <w:bCs w:val="1"/>
                <w:color w:val="auto"/>
                <w:w w:val="87"/>
              </w:rPr>
              <w:t>Increase (decrease)</w:t>
            </w:r>
          </w:p>
        </w:tc>
      </w:tr>
      <w:tr>
        <w:trPr>
          <w:trHeight w:val="131"/>
        </w:trPr>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11"/>
                <w:szCs w:val="11"/>
                <w:color w:val="auto"/>
              </w:rPr>
            </w:pPr>
          </w:p>
        </w:tc>
        <w:tc>
          <w:tcPr>
            <w:tcW w:w="1960" w:type="dxa"/>
            <w:vAlign w:val="bottom"/>
            <w:gridSpan w:val="4"/>
          </w:tcPr>
          <w:p>
            <w:pPr>
              <w:jc w:val="right"/>
              <w:ind w:right="1120"/>
              <w:spacing w:after="0"/>
              <w:rPr>
                <w:sz w:val="20"/>
                <w:szCs w:val="20"/>
                <w:color w:val="auto"/>
              </w:rPr>
            </w:pPr>
            <w:r>
              <w:rPr>
                <w:rFonts w:ascii="Arial" w:cs="Arial" w:eastAsia="Arial" w:hAnsi="Arial"/>
                <w:sz w:val="11"/>
                <w:szCs w:val="11"/>
                <w:b w:val="1"/>
                <w:bCs w:val="1"/>
                <w:color w:val="auto"/>
              </w:rPr>
              <w:t>from prior year</w:t>
            </w:r>
          </w:p>
        </w:tc>
      </w:tr>
      <w:tr>
        <w:trPr>
          <w:trHeight w:val="111"/>
        </w:trPr>
        <w:tc>
          <w:tcPr>
            <w:tcW w:w="58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77"/>
              <w:spacing w:after="0" w:line="111" w:lineRule="exact"/>
              <w:rPr>
                <w:sz w:val="20"/>
                <w:szCs w:val="20"/>
                <w:color w:val="auto"/>
              </w:rPr>
            </w:pPr>
            <w:r>
              <w:rPr>
                <w:rFonts w:ascii="Arial" w:cs="Arial" w:eastAsia="Arial" w:hAnsi="Arial"/>
                <w:sz w:val="11"/>
                <w:szCs w:val="11"/>
                <w:b w:val="1"/>
                <w:bCs w:val="1"/>
                <w:color w:val="auto"/>
                <w:w w:val="97"/>
              </w:rPr>
              <w:t>2010</w:t>
            </w: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73"/>
              <w:spacing w:after="0" w:line="111" w:lineRule="exact"/>
              <w:rPr>
                <w:sz w:val="20"/>
                <w:szCs w:val="20"/>
                <w:color w:val="auto"/>
              </w:rPr>
            </w:pPr>
            <w:r>
              <w:rPr>
                <w:rFonts w:ascii="Arial" w:cs="Arial" w:eastAsia="Arial" w:hAnsi="Arial"/>
                <w:sz w:val="11"/>
                <w:szCs w:val="11"/>
                <w:b w:val="1"/>
                <w:bCs w:val="1"/>
                <w:color w:val="auto"/>
                <w:w w:val="97"/>
              </w:rPr>
              <w:t>2009</w:t>
            </w:r>
          </w:p>
        </w:tc>
        <w:tc>
          <w:tcPr>
            <w:tcW w:w="1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77"/>
              <w:spacing w:after="0" w:line="111"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rPr>
              <w:t>%</w:t>
            </w:r>
          </w:p>
        </w:tc>
        <w:tc>
          <w:tcPr>
            <w:tcW w:w="880" w:type="dxa"/>
            <w:vAlign w:val="bottom"/>
          </w:tcPr>
          <w:p>
            <w:pPr>
              <w:spacing w:after="0"/>
              <w:rPr>
                <w:sz w:val="9"/>
                <w:szCs w:val="9"/>
                <w:color w:val="auto"/>
              </w:rPr>
            </w:pPr>
          </w:p>
        </w:tc>
      </w:tr>
      <w:tr>
        <w:trPr>
          <w:trHeight w:val="166"/>
        </w:trPr>
        <w:tc>
          <w:tcPr>
            <w:tcW w:w="58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(2,365)</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(57.6)%</w:t>
            </w:r>
          </w:p>
        </w:tc>
      </w:tr>
      <w:tr>
        <w:trPr>
          <w:trHeight w:val="189"/>
        </w:trPr>
        <w:tc>
          <w:tcPr>
            <w:tcW w:w="582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rPr>
              <w:t>4.4%</w:t>
            </w:r>
          </w:p>
        </w:tc>
      </w:tr>
      <w:tr>
        <w:trPr>
          <w:trHeight w:val="20"/>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4"/>
        </w:trPr>
        <w:tc>
          <w:tcPr>
            <w:tcW w:w="5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(2,373)</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color w:val="auto"/>
              </w:rPr>
              <w:t>(60.5)%</w:t>
            </w:r>
          </w:p>
        </w:tc>
      </w:tr>
      <w:tr>
        <w:trPr>
          <w:trHeight w:val="22"/>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Interest income consists of interest earned on our cash equivalents, marketable debt securities and long-term investments. Interest expense in both fiscal 2010 and fiscal 2009 relates to capital lease obligations. The reduction in interest income, net, in the current year is primarily attributable to a lower average portfolio yield, coupled with slightly lower amounts invested in cash equivalents and marketable securities in fiscal 2010 compared to fiscal 2009 as a result of the economic environment.</w:t>
      </w:r>
    </w:p>
    <w:p>
      <w:pPr>
        <w:spacing w:after="0" w:line="146" w:lineRule="exact"/>
        <w:rPr>
          <w:sz w:val="20"/>
          <w:szCs w:val="20"/>
          <w:color w:val="auto"/>
        </w:rPr>
      </w:pPr>
    </w:p>
    <w:p>
      <w:pPr>
        <w:ind w:right="20" w:firstLine="284"/>
        <w:spacing w:after="0" w:line="270"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The income tax provision/benefit is computed on the basis of the various tax jurisdictions' income or loss before income taxes. Deferred income taxes reflect the tax effects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differences between the carrying amounts of assets and liabilities for financial reporting purposes and the amounts used for income tax purposes. The Company uses judgment and assumptions to determine whether valuation allowances for deferred income tax assets are required if realization is not likely by considering future market growth, forecasted operations, future taxable income, and the amounts of earnings in the tax jurisdictions in which it operates.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40" w:firstLine="284"/>
        <w:spacing w:after="0" w:line="285" w:lineRule="auto"/>
        <w:rPr>
          <w:sz w:val="20"/>
          <w:szCs w:val="20"/>
          <w:color w:val="auto"/>
        </w:rPr>
      </w:pPr>
      <w:r>
        <w:rPr>
          <w:rFonts w:ascii="Arial" w:cs="Arial" w:eastAsia="Arial" w:hAnsi="Arial"/>
          <w:sz w:val="13"/>
          <w:szCs w:val="13"/>
          <w:color w:val="auto"/>
        </w:rPr>
        <w:t>For the year ended December 31, 2010, we recognized income tax expense of $0.7 million, primarily related to foreign operations. The income tax benefits from the deferred tax assets recorded in connection with our current year domestic losses have been offset by an increase in the valuation allowance. For the year ended December 31, 2009, we recognized an income tax benefit of</w:t>
      </w:r>
    </w:p>
    <w:p>
      <w:pPr>
        <w:ind w:right="60"/>
        <w:spacing w:after="0" w:line="265" w:lineRule="auto"/>
        <w:rPr>
          <w:sz w:val="20"/>
          <w:szCs w:val="20"/>
          <w:color w:val="auto"/>
        </w:rPr>
      </w:pPr>
      <w:r>
        <w:rPr>
          <w:rFonts w:ascii="Arial" w:cs="Arial" w:eastAsia="Arial" w:hAnsi="Arial"/>
          <w:sz w:val="14"/>
          <w:szCs w:val="14"/>
          <w:color w:val="auto"/>
        </w:rPr>
        <w:t>$2.5 million. This benefit is comprised of a recovery of prior year domestic tax payments as a result of tax law changes and a foreign tax benefit of $1.1 million impacted by international settlements. During fiscal 2010 and fiscal 2009, we performed an analysis to determine if, based on all available evidence, we considered it more likely than not that some portion or all of the recorded deferred tax assets will not be realized in a future period. As a result of our evaluations, we concluded that there was insufficient positive evidence to overcome the more objective negative evidence related to our cumulative losses and other factors. Accordingly, we maintained a valuation against our domestic deferred tax asset amounting to $117.4 million at December 31, 2010 and $117.8 million at December 31, 2009.</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Years Ended December 31, 2009 and 2008</w:t>
      </w:r>
    </w:p>
    <w:p>
      <w:pPr>
        <w:spacing w:after="0" w:line="193" w:lineRule="exact"/>
        <w:rPr>
          <w:sz w:val="20"/>
          <w:szCs w:val="20"/>
          <w:color w:val="auto"/>
        </w:rPr>
      </w:pPr>
    </w:p>
    <w:p>
      <w:pPr>
        <w:ind w:left="300"/>
        <w:spacing w:after="0"/>
        <w:tabs>
          <w:tab w:leader="none" w:pos="960" w:val="left"/>
        </w:tabs>
        <w:rPr>
          <w:sz w:val="20"/>
          <w:szCs w:val="20"/>
          <w:color w:val="auto"/>
        </w:rPr>
      </w:pPr>
      <w:r>
        <w:rPr>
          <w:rFonts w:ascii="Arial" w:cs="Arial" w:eastAsia="Arial" w:hAnsi="Arial"/>
          <w:sz w:val="14"/>
          <w:szCs w:val="14"/>
          <w:b w:val="1"/>
          <w:bCs w:val="1"/>
          <w:i w:val="1"/>
          <w:iCs w:val="1"/>
          <w:color w:val="auto"/>
        </w:rPr>
        <w:t>Revenue.</w:t>
      </w:r>
      <w:r>
        <w:rPr>
          <w:sz w:val="20"/>
          <w:szCs w:val="20"/>
          <w:color w:val="auto"/>
        </w:rPr>
        <w:tab/>
      </w:r>
      <w:r>
        <w:rPr>
          <w:rFonts w:ascii="Arial" w:cs="Arial" w:eastAsia="Arial" w:hAnsi="Arial"/>
          <w:sz w:val="12"/>
          <w:szCs w:val="12"/>
          <w:color w:val="auto"/>
        </w:rPr>
        <w:t>Revenue for the years ended December 31, 2009 and 2008 was as follows (in thousands, except percentages):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4"/>
          </w:tcPr>
          <w:p>
            <w:pPr>
              <w:jc w:val="right"/>
              <w:ind w:right="373"/>
              <w:spacing w:after="0"/>
              <w:rPr>
                <w:sz w:val="20"/>
                <w:szCs w:val="20"/>
                <w:color w:val="auto"/>
              </w:rPr>
            </w:pPr>
            <w:r>
              <w:rPr>
                <w:rFonts w:ascii="Arial" w:cs="Arial" w:eastAsia="Arial" w:hAnsi="Arial"/>
                <w:sz w:val="11"/>
                <w:szCs w:val="11"/>
                <w:b w:val="1"/>
                <w:bCs w:val="1"/>
                <w:color w:val="auto"/>
              </w:rPr>
              <w:t>Year ended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tcPr>
          <w:p>
            <w:pPr>
              <w:jc w:val="right"/>
              <w:ind w:right="1300"/>
              <w:spacing w:after="0"/>
              <w:rPr>
                <w:sz w:val="20"/>
                <w:szCs w:val="20"/>
                <w:color w:val="auto"/>
              </w:rPr>
            </w:pPr>
            <w:r>
              <w:rPr>
                <w:rFonts w:ascii="Arial" w:cs="Arial" w:eastAsia="Arial" w:hAnsi="Arial"/>
                <w:sz w:val="11"/>
                <w:szCs w:val="11"/>
                <w:b w:val="1"/>
                <w:bCs w:val="1"/>
                <w:color w:val="auto"/>
                <w:w w:val="87"/>
              </w:rPr>
              <w:t>Increase (decrease)</w:t>
            </w:r>
          </w:p>
        </w:tc>
      </w:tr>
      <w:tr>
        <w:trPr>
          <w:trHeight w:val="131"/>
        </w:trPr>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4"/>
          </w:tcPr>
          <w:p>
            <w:pPr>
              <w:jc w:val="right"/>
              <w:ind w:right="313"/>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4"/>
          </w:tcPr>
          <w:p>
            <w:pPr>
              <w:jc w:val="right"/>
              <w:ind w:right="1380"/>
              <w:spacing w:after="0"/>
              <w:rPr>
                <w:sz w:val="20"/>
                <w:szCs w:val="20"/>
                <w:color w:val="auto"/>
              </w:rPr>
            </w:pPr>
            <w:r>
              <w:rPr>
                <w:rFonts w:ascii="Arial" w:cs="Arial" w:eastAsia="Arial" w:hAnsi="Arial"/>
                <w:sz w:val="11"/>
                <w:szCs w:val="11"/>
                <w:b w:val="1"/>
                <w:bCs w:val="1"/>
                <w:color w:val="auto"/>
              </w:rPr>
              <w:t>from prior year</w:t>
            </w:r>
          </w:p>
        </w:tc>
      </w:tr>
      <w:tr>
        <w:trPr>
          <w:trHeight w:val="111"/>
        </w:trPr>
        <w:tc>
          <w:tcPr>
            <w:tcW w:w="53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7"/>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217"/>
              <w:spacing w:after="0" w:line="111"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73"/>
              <w:spacing w:after="0" w:line="111" w:lineRule="exact"/>
              <w:rPr>
                <w:sz w:val="20"/>
                <w:szCs w:val="20"/>
                <w:color w:val="auto"/>
              </w:rPr>
            </w:pPr>
            <w:r>
              <w:rPr>
                <w:rFonts w:ascii="Arial" w:cs="Arial" w:eastAsia="Arial" w:hAnsi="Arial"/>
                <w:sz w:val="11"/>
                <w:szCs w:val="11"/>
                <w:b w:val="1"/>
                <w:bCs w:val="1"/>
                <w:color w:val="auto"/>
              </w:rPr>
              <w:t>%</w:t>
            </w:r>
          </w:p>
        </w:tc>
        <w:tc>
          <w:tcPr>
            <w:tcW w:w="1160" w:type="dxa"/>
            <w:vAlign w:val="bottom"/>
          </w:tcPr>
          <w:p>
            <w:pPr>
              <w:spacing w:after="0"/>
              <w:rPr>
                <w:sz w:val="9"/>
                <w:szCs w:val="9"/>
                <w:color w:val="auto"/>
              </w:rPr>
            </w:pPr>
          </w:p>
        </w:tc>
      </w:tr>
      <w:tr>
        <w:trPr>
          <w:trHeight w:val="166"/>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Product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136,276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203,387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(67,111)</w:t>
            </w:r>
          </w:p>
        </w:tc>
        <w:tc>
          <w:tcPr>
            <w:tcW w:w="1560" w:type="dxa"/>
            <w:vAlign w:val="bottom"/>
            <w:gridSpan w:val="2"/>
            <w:shd w:val="clear" w:color="auto" w:fill="CCEEFF"/>
          </w:tcPr>
          <w:p>
            <w:pPr>
              <w:jc w:val="right"/>
              <w:ind w:right="980"/>
              <w:spacing w:after="0"/>
              <w:rPr>
                <w:sz w:val="20"/>
                <w:szCs w:val="20"/>
                <w:color w:val="auto"/>
              </w:rPr>
            </w:pPr>
            <w:r>
              <w:rPr>
                <w:rFonts w:ascii="Arial" w:cs="Arial" w:eastAsia="Arial" w:hAnsi="Arial"/>
                <w:sz w:val="14"/>
                <w:szCs w:val="14"/>
                <w:color w:val="auto"/>
              </w:rPr>
              <w:t>(33.0)%</w:t>
            </w:r>
          </w:p>
        </w:tc>
      </w:tr>
      <w:tr>
        <w:trPr>
          <w:trHeight w:val="189"/>
        </w:trPr>
        <w:tc>
          <w:tcPr>
            <w:tcW w:w="5300" w:type="dxa"/>
            <w:vAlign w:val="bottom"/>
          </w:tcPr>
          <w:p>
            <w:pPr>
              <w:spacing w:after="0"/>
              <w:rPr>
                <w:sz w:val="20"/>
                <w:szCs w:val="20"/>
                <w:color w:val="auto"/>
              </w:rPr>
            </w:pPr>
            <w:r>
              <w:rPr>
                <w:rFonts w:ascii="Arial" w:cs="Arial" w:eastAsia="Arial" w:hAnsi="Arial"/>
                <w:sz w:val="14"/>
                <w:szCs w:val="14"/>
                <w:color w:val="auto"/>
              </w:rPr>
              <w:t>Service</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91,220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109,758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(18,538)</w:t>
            </w:r>
          </w:p>
        </w:tc>
        <w:tc>
          <w:tcPr>
            <w:tcW w:w="1560" w:type="dxa"/>
            <w:vAlign w:val="bottom"/>
            <w:gridSpan w:val="2"/>
          </w:tcPr>
          <w:p>
            <w:pPr>
              <w:jc w:val="right"/>
              <w:ind w:right="980"/>
              <w:spacing w:after="0"/>
              <w:rPr>
                <w:sz w:val="20"/>
                <w:szCs w:val="20"/>
                <w:color w:val="auto"/>
              </w:rPr>
            </w:pPr>
            <w:r>
              <w:rPr>
                <w:rFonts w:ascii="Arial" w:cs="Arial" w:eastAsia="Arial" w:hAnsi="Arial"/>
                <w:sz w:val="14"/>
                <w:szCs w:val="14"/>
                <w:color w:val="auto"/>
              </w:rPr>
              <w:t>(16.9)%</w:t>
            </w:r>
          </w:p>
        </w:tc>
      </w:tr>
      <w:tr>
        <w:trPr>
          <w:trHeight w:val="20"/>
        </w:trPr>
        <w:tc>
          <w:tcPr>
            <w:tcW w:w="5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4"/>
        </w:trPr>
        <w:tc>
          <w:tcPr>
            <w:tcW w:w="5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227,496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313,145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(85,649)</w:t>
            </w:r>
          </w:p>
        </w:tc>
        <w:tc>
          <w:tcPr>
            <w:tcW w:w="1560" w:type="dxa"/>
            <w:vAlign w:val="bottom"/>
            <w:gridSpan w:val="2"/>
            <w:shd w:val="clear" w:color="auto" w:fill="CCEEFF"/>
          </w:tcPr>
          <w:p>
            <w:pPr>
              <w:jc w:val="right"/>
              <w:ind w:right="980"/>
              <w:spacing w:after="0"/>
              <w:rPr>
                <w:sz w:val="20"/>
                <w:szCs w:val="20"/>
                <w:color w:val="auto"/>
              </w:rPr>
            </w:pPr>
            <w:r>
              <w:rPr>
                <w:rFonts w:ascii="Arial" w:cs="Arial" w:eastAsia="Arial" w:hAnsi="Arial"/>
                <w:sz w:val="14"/>
                <w:szCs w:val="14"/>
                <w:color w:val="auto"/>
              </w:rPr>
              <w:t>(27.4)%</w:t>
            </w:r>
          </w:p>
        </w:tc>
      </w:tr>
      <w:tr>
        <w:trPr>
          <w:trHeight w:val="22"/>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82"/>
        <w:spacing w:after="0" w:line="293" w:lineRule="auto"/>
        <w:rPr>
          <w:sz w:val="20"/>
          <w:szCs w:val="20"/>
          <w:color w:val="auto"/>
        </w:rPr>
      </w:pPr>
      <w:r>
        <w:rPr>
          <w:rFonts w:ascii="Arial" w:cs="Arial" w:eastAsia="Arial" w:hAnsi="Arial"/>
          <w:sz w:val="13"/>
          <w:szCs w:val="13"/>
          <w:color w:val="auto"/>
        </w:rPr>
        <w:t>The decrease in product revenue in fiscal 2009 compared to fiscal 2008 was primarily attributable to $76.4 million of lower revenue from our trunking and access products, partially offset by an increase of $9.3 million of revenue from our peering (NBS) products. The lower sales of our trunking and access products principally resulted from the then-current macroeconomic environment, coupled with a change in the fourth quarter of fiscal 2008 to ratable recognition of revenue from AT&amp;T over a two-year contractual maintenance period, which impacted the timing of the recognition of product revenue from this customer. Revenue from AT&amp;T decreased approximately $61 million in fiscal 2009 compared to fiscal 2008. We recognized $16.9 million of product revenue in the aggregate from 7 new customers in fiscal 2009 and $12.0 million of product revenue in the aggregate from 11 new customers in fiscal 2008.</w:t>
      </w:r>
    </w:p>
    <w:p>
      <w:pPr>
        <w:spacing w:after="0" w:line="137" w:lineRule="exact"/>
        <w:rPr>
          <w:sz w:val="20"/>
          <w:szCs w:val="20"/>
          <w:color w:val="auto"/>
        </w:rPr>
      </w:pPr>
    </w:p>
    <w:p>
      <w:pPr>
        <w:ind w:right="100" w:firstLine="282"/>
        <w:spacing w:after="0" w:line="270" w:lineRule="auto"/>
        <w:rPr>
          <w:sz w:val="20"/>
          <w:szCs w:val="20"/>
          <w:color w:val="auto"/>
        </w:rPr>
      </w:pPr>
      <w:r>
        <w:rPr>
          <w:rFonts w:ascii="Arial" w:cs="Arial" w:eastAsia="Arial" w:hAnsi="Arial"/>
          <w:sz w:val="14"/>
          <w:szCs w:val="14"/>
          <w:color w:val="auto"/>
        </w:rPr>
        <w:t>The decrease in service revenue in fiscal 2009 compared to fiscal 2008 is attributable to $9.8 million of lower maintenance revenue and $8.7 million of lower professional services revenue. We recognized $0.9 million of maintenance revenue in the aggregate from 8 new customers in fiscal 2009 and $1.0 million of maintenance revenue in the aggregate from 15 new customers in fiscal 2008. We recognized $4.3 million of professional services revenue in the aggregate from 10 new customers in fiscal 2009 and $2.9 million of professional services revenue in the aggregate from 17 new customers in fiscal 2008.</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fiscal 2009, we had no customers that contributed 10% or more of our revenue. In fiscal 2008, one customer, AT&amp;T, contributed 10% or more of our revenue.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International revenue was approximately 30% of revenue in both fiscal 2009 and fiscal 2008.</w:t>
      </w:r>
    </w:p>
    <w:p>
      <w:pPr>
        <w:spacing w:after="0" w:line="189" w:lineRule="exact"/>
        <w:rPr>
          <w:sz w:val="20"/>
          <w:szCs w:val="20"/>
          <w:color w:val="auto"/>
        </w:rPr>
      </w:pPr>
    </w:p>
    <w:p>
      <w:pPr>
        <w:ind w:right="480" w:firstLine="284"/>
        <w:spacing w:after="0" w:line="289" w:lineRule="auto"/>
        <w:rPr>
          <w:sz w:val="20"/>
          <w:szCs w:val="20"/>
          <w:color w:val="auto"/>
        </w:rPr>
      </w:pPr>
      <w:r>
        <w:rPr>
          <w:rFonts w:ascii="Arial" w:cs="Arial" w:eastAsia="Arial" w:hAnsi="Arial"/>
          <w:sz w:val="14"/>
          <w:szCs w:val="14"/>
          <w:color w:val="auto"/>
        </w:rPr>
        <w:t>Our deferred product revenue was $47.7 million at December 31, 2009 and $30.7 million at December 31, 2008. Our deferred service revenue was $52.3 million at December 31, 2009 and $48.3 million at December 31, 2008.</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left="300"/>
        <w:spacing w:after="0"/>
        <w:tabs>
          <w:tab w:leader="none" w:pos="2160" w:val="left"/>
        </w:tabs>
        <w:rPr>
          <w:sz w:val="20"/>
          <w:szCs w:val="20"/>
          <w:color w:val="auto"/>
        </w:rPr>
      </w:pPr>
      <w:r>
        <w:rPr>
          <w:rFonts w:ascii="Arial" w:cs="Arial" w:eastAsia="Arial" w:hAnsi="Arial"/>
          <w:sz w:val="14"/>
          <w:szCs w:val="14"/>
          <w:b w:val="1"/>
          <w:bCs w:val="1"/>
          <w:i w:val="1"/>
          <w:iCs w:val="1"/>
          <w:color w:val="auto"/>
        </w:rPr>
        <w:t>Cost of Revenue/Gross Profit.</w:t>
      </w:r>
      <w:r>
        <w:rPr>
          <w:sz w:val="20"/>
          <w:szCs w:val="20"/>
          <w:color w:val="auto"/>
        </w:rPr>
        <w:tab/>
      </w:r>
      <w:r>
        <w:rPr>
          <w:rFonts w:ascii="Arial" w:cs="Arial" w:eastAsia="Arial" w:hAnsi="Arial"/>
          <w:sz w:val="12"/>
          <w:szCs w:val="12"/>
          <w:color w:val="auto"/>
        </w:rPr>
        <w:t>Our gross margins for the years ended December 31, 2009 and 2008 were as follows (in thousands, except percentages):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tcPr>
          <w:p>
            <w:pPr>
              <w:jc w:val="center"/>
              <w:ind w:right="53"/>
              <w:spacing w:after="0"/>
              <w:rPr>
                <w:sz w:val="20"/>
                <w:szCs w:val="20"/>
                <w:color w:val="auto"/>
              </w:rPr>
            </w:pPr>
            <w:r>
              <w:rPr>
                <w:rFonts w:ascii="Arial" w:cs="Arial" w:eastAsia="Arial" w:hAnsi="Arial"/>
                <w:sz w:val="11"/>
                <w:szCs w:val="11"/>
                <w:b w:val="1"/>
                <w:bCs w:val="1"/>
                <w:color w:val="auto"/>
                <w:w w:val="87"/>
              </w:rPr>
              <w:t>Year ended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4"/>
          </w:tcPr>
          <w:p>
            <w:pPr>
              <w:jc w:val="center"/>
              <w:ind w:right="900"/>
              <w:spacing w:after="0"/>
              <w:rPr>
                <w:sz w:val="20"/>
                <w:szCs w:val="20"/>
                <w:color w:val="auto"/>
              </w:rPr>
            </w:pPr>
            <w:r>
              <w:rPr>
                <w:rFonts w:ascii="Arial" w:cs="Arial" w:eastAsia="Arial" w:hAnsi="Arial"/>
                <w:sz w:val="11"/>
                <w:szCs w:val="11"/>
                <w:b w:val="1"/>
                <w:bCs w:val="1"/>
                <w:color w:val="auto"/>
                <w:w w:val="85"/>
              </w:rPr>
              <w:t>Increase (decrease)</w:t>
            </w: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jc w:val="center"/>
              <w:ind w:right="53"/>
              <w:spacing w:after="0"/>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4"/>
          </w:tcPr>
          <w:p>
            <w:pPr>
              <w:jc w:val="center"/>
              <w:ind w:right="900"/>
              <w:spacing w:after="0"/>
              <w:rPr>
                <w:sz w:val="20"/>
                <w:szCs w:val="20"/>
                <w:color w:val="auto"/>
              </w:rPr>
            </w:pPr>
            <w:r>
              <w:rPr>
                <w:rFonts w:ascii="Arial" w:cs="Arial" w:eastAsia="Arial" w:hAnsi="Arial"/>
                <w:sz w:val="11"/>
                <w:szCs w:val="11"/>
                <w:b w:val="1"/>
                <w:bCs w:val="1"/>
                <w:color w:val="auto"/>
                <w:w w:val="91"/>
              </w:rPr>
              <w:t>from prior year</w:t>
            </w:r>
          </w:p>
        </w:tc>
        <w:tc>
          <w:tcPr>
            <w:tcW w:w="0" w:type="dxa"/>
            <w:vAlign w:val="bottom"/>
          </w:tcPr>
          <w:p>
            <w:pPr>
              <w:spacing w:after="0"/>
              <w:rPr>
                <w:sz w:val="1"/>
                <w:szCs w:val="1"/>
                <w:color w:val="auto"/>
              </w:rPr>
            </w:pPr>
          </w:p>
        </w:tc>
      </w:tr>
      <w:tr>
        <w:trPr>
          <w:trHeight w:val="111"/>
        </w:trPr>
        <w:tc>
          <w:tcPr>
            <w:tcW w:w="574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ind w:left="40"/>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217"/>
              <w:spacing w:after="0" w:line="111" w:lineRule="exact"/>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73"/>
              <w:spacing w:after="0" w:line="111" w:lineRule="exact"/>
              <w:rPr>
                <w:sz w:val="20"/>
                <w:szCs w:val="20"/>
                <w:color w:val="auto"/>
              </w:rPr>
            </w:pPr>
            <w:r>
              <w:rPr>
                <w:rFonts w:ascii="Arial" w:cs="Arial" w:eastAsia="Arial" w:hAnsi="Arial"/>
                <w:sz w:val="11"/>
                <w:szCs w:val="11"/>
                <w:b w:val="1"/>
                <w:bCs w:val="1"/>
                <w:color w:val="auto"/>
              </w:rPr>
              <w: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100"/>
              <w:spacing w:after="0"/>
              <w:rPr>
                <w:sz w:val="20"/>
                <w:szCs w:val="20"/>
                <w:color w:val="auto"/>
              </w:rPr>
            </w:pPr>
            <w:r>
              <w:rPr>
                <w:rFonts w:ascii="Arial" w:cs="Arial" w:eastAsia="Arial" w:hAnsi="Arial"/>
                <w:sz w:val="14"/>
                <w:szCs w:val="14"/>
                <w:color w:val="auto"/>
              </w:rPr>
              <w:t>Product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tcPr>
          <w:p>
            <w:pPr>
              <w:ind w:left="40"/>
              <w:spacing w:after="0"/>
              <w:rPr>
                <w:sz w:val="20"/>
                <w:szCs w:val="20"/>
                <w:color w:val="auto"/>
              </w:rPr>
            </w:pPr>
            <w:r>
              <w:rPr>
                <w:rFonts w:ascii="Arial" w:cs="Arial" w:eastAsia="Arial" w:hAnsi="Arial"/>
                <w:sz w:val="14"/>
                <w:szCs w:val="14"/>
                <w:color w:val="auto"/>
                <w:w w:val="88"/>
              </w:rPr>
              <w:t>38,893</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74,274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(35,381)</w:t>
            </w: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75"/>
        </w:trPr>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8"/>
              </w:rPr>
              <w:t>44,467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(11,553)</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2"/>
        </w:trPr>
        <w:tc>
          <w:tcPr>
            <w:tcW w:w="5740" w:type="dxa"/>
            <w:vAlign w:val="bottom"/>
            <w:vMerge w:val="restart"/>
          </w:tcPr>
          <w:p>
            <w:pPr>
              <w:ind w:left="220"/>
              <w:spacing w:after="0"/>
              <w:rPr>
                <w:sz w:val="20"/>
                <w:szCs w:val="20"/>
                <w:color w:val="auto"/>
              </w:rPr>
            </w:pPr>
            <w:r>
              <w:rPr>
                <w:rFonts w:ascii="Arial" w:cs="Arial" w:eastAsia="Arial" w:hAnsi="Arial"/>
                <w:sz w:val="14"/>
                <w:szCs w:val="14"/>
                <w:color w:val="auto"/>
              </w:rPr>
              <w:t>Total cost of revenue</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72"/>
        </w:trPr>
        <w:tc>
          <w:tcPr>
            <w:tcW w:w="5740" w:type="dxa"/>
            <w:vAlign w:val="bottom"/>
            <w:vMerge w:val="continue"/>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8"/>
              </w:rPr>
              <w:t>83,360</w:t>
            </w:r>
          </w:p>
        </w:tc>
        <w:tc>
          <w:tcPr>
            <w:tcW w:w="140" w:type="dxa"/>
            <w:vAlign w:val="bottom"/>
          </w:tcPr>
          <w:p>
            <w:pPr>
              <w:spacing w:after="0"/>
              <w:rPr>
                <w:sz w:val="14"/>
                <w:szCs w:val="14"/>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130,294</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w w:val="80"/>
              </w:rPr>
              <w:t>(46,934)</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40"/>
        </w:trPr>
        <w:tc>
          <w:tcPr>
            <w:tcW w:w="5740" w:type="dxa"/>
            <w:vAlign w:val="bottom"/>
            <w:tcBorders>
              <w:bottom w:val="single" w:sz="8" w:color="CCEEFF"/>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r>
      <w:tr>
        <w:trPr>
          <w:trHeight w:val="144"/>
        </w:trPr>
        <w:tc>
          <w:tcPr>
            <w:tcW w:w="57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Gross margin</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75"/>
        </w:trPr>
        <w:tc>
          <w:tcPr>
            <w:tcW w:w="5740" w:type="dxa"/>
            <w:vAlign w:val="bottom"/>
          </w:tcPr>
          <w:p>
            <w:pPr>
              <w:ind w:left="100"/>
              <w:spacing w:after="0"/>
              <w:rPr>
                <w:sz w:val="20"/>
                <w:szCs w:val="20"/>
                <w:color w:val="auto"/>
              </w:rPr>
            </w:pPr>
            <w:r>
              <w:rPr>
                <w:rFonts w:ascii="Arial" w:cs="Arial" w:eastAsia="Arial" w:hAnsi="Arial"/>
                <w:sz w:val="14"/>
                <w:szCs w:val="14"/>
                <w:color w:val="auto"/>
              </w:rPr>
              <w:t>Product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71.5%</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63.5%</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49.0%</w:t>
            </w:r>
          </w:p>
        </w:tc>
        <w:tc>
          <w:tcPr>
            <w:tcW w:w="6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1"/>
        </w:trPr>
        <w:tc>
          <w:tcPr>
            <w:tcW w:w="5740" w:type="dxa"/>
            <w:vAlign w:val="bottom"/>
          </w:tcPr>
          <w:p>
            <w:pPr>
              <w:ind w:left="220"/>
              <w:spacing w:after="0"/>
              <w:rPr>
                <w:sz w:val="20"/>
                <w:szCs w:val="20"/>
                <w:color w:val="auto"/>
              </w:rPr>
            </w:pPr>
            <w:r>
              <w:rPr>
                <w:rFonts w:ascii="Arial" w:cs="Arial" w:eastAsia="Arial" w:hAnsi="Arial"/>
                <w:sz w:val="14"/>
                <w:szCs w:val="14"/>
                <w:color w:val="auto"/>
              </w:rPr>
              <w:t>Total gross margin</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63.4%</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58.4%</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62" w:lineRule="exact"/>
        <w:rPr>
          <w:sz w:val="20"/>
          <w:szCs w:val="20"/>
          <w:color w:val="auto"/>
        </w:rPr>
      </w:pPr>
    </w:p>
    <w:p>
      <w:pPr>
        <w:ind w:right="40" w:firstLine="282"/>
        <w:spacing w:after="0" w:line="270" w:lineRule="auto"/>
        <w:rPr>
          <w:sz w:val="20"/>
          <w:szCs w:val="20"/>
          <w:color w:val="auto"/>
        </w:rPr>
      </w:pPr>
      <w:r>
        <w:rPr>
          <w:rFonts w:ascii="Arial" w:cs="Arial" w:eastAsia="Arial" w:hAnsi="Arial"/>
          <w:sz w:val="14"/>
          <w:szCs w:val="14"/>
          <w:color w:val="auto"/>
        </w:rPr>
        <w:t>The increase in product gross margin in fiscal 2009 compared to fiscal 2008 was primarily due to product and customer mix. Two key contributors to the higher product gross margin in fiscal 2009 compared to fiscal 2008 were the completion in fiscal 2009 of a multi-year project for which the majority of costs had been recorded as period expense in fiscal 2008 and the completion in the fourth quarter of fiscal 2008 of a low-margin multi-year project. These factors increased our product gross margin by approximately nine percentage points. This increase was partially offset by higher manufacturing-related costs, which decreased our product gross margin by approximately one percentage point.</w:t>
      </w:r>
    </w:p>
    <w:p>
      <w:pPr>
        <w:spacing w:after="0" w:line="150" w:lineRule="exact"/>
        <w:rPr>
          <w:sz w:val="20"/>
          <w:szCs w:val="20"/>
          <w:color w:val="auto"/>
        </w:rPr>
      </w:pPr>
    </w:p>
    <w:p>
      <w:pPr>
        <w:ind w:right="280" w:firstLine="282"/>
        <w:spacing w:after="0" w:line="289" w:lineRule="auto"/>
        <w:rPr>
          <w:sz w:val="20"/>
          <w:szCs w:val="20"/>
          <w:color w:val="auto"/>
        </w:rPr>
      </w:pPr>
      <w:r>
        <w:rPr>
          <w:rFonts w:ascii="Arial" w:cs="Arial" w:eastAsia="Arial" w:hAnsi="Arial"/>
          <w:sz w:val="14"/>
          <w:szCs w:val="14"/>
          <w:color w:val="auto"/>
        </w:rPr>
        <w:t>The increase in service gross margin was primarily due to lower third-party costs, which increased our service gross margin by approximately seven percentage points, partially offset by lower service revenue against our relatively fixed service cost base, which decreased our service gross margin by approximately five percentage points.</w:t>
      </w:r>
    </w:p>
    <w:p>
      <w:pPr>
        <w:spacing w:after="0" w:line="13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4"/>
          <w:szCs w:val="14"/>
          <w:b w:val="1"/>
          <w:bCs w:val="1"/>
          <w:i w:val="1"/>
          <w:iCs w:val="1"/>
          <w:color w:val="auto"/>
        </w:rPr>
        <w:t>Research and Development Expenses.</w:t>
      </w:r>
      <w:r>
        <w:rPr>
          <w:sz w:val="20"/>
          <w:szCs w:val="20"/>
          <w:color w:val="auto"/>
        </w:rPr>
        <w:tab/>
      </w:r>
      <w:r>
        <w:rPr>
          <w:rFonts w:ascii="Arial" w:cs="Arial" w:eastAsia="Arial" w:hAnsi="Arial"/>
          <w:sz w:val="12"/>
          <w:szCs w:val="12"/>
          <w:color w:val="auto"/>
        </w:rPr>
        <w:t>Research and development expenses for the years ended December 31, 2009 and 2008 were as follows (in thousands, except percentages):</w:t>
      </w:r>
    </w:p>
    <w:p>
      <w:pPr>
        <w:spacing w:after="0" w:line="179" w:lineRule="exact"/>
        <w:rPr>
          <w:sz w:val="20"/>
          <w:szCs w:val="20"/>
          <w:color w:val="auto"/>
        </w:rPr>
      </w:pPr>
    </w:p>
    <w:tbl>
      <w:tblPr>
        <w:tblLayout w:type="fixed"/>
        <w:tblInd w:w="3440" w:type="dxa"/>
        <w:tblCellMar>
          <w:top w:w="0" w:type="dxa"/>
          <w:left w:w="0" w:type="dxa"/>
          <w:bottom w:w="0" w:type="dxa"/>
          <w:right w:w="0" w:type="dxa"/>
        </w:tblCellMar>
      </w:tblPr>
      <w:tr>
        <w:trPr>
          <w:trHeight w:val="126"/>
        </w:trPr>
        <w:tc>
          <w:tcPr>
            <w:tcW w:w="1120" w:type="dxa"/>
            <w:vAlign w:val="bottom"/>
            <w:gridSpan w:val="3"/>
          </w:tcPr>
          <w:p>
            <w:pPr>
              <w:jc w:val="center"/>
              <w:ind w:left="361"/>
              <w:spacing w:after="0"/>
              <w:rPr>
                <w:sz w:val="20"/>
                <w:szCs w:val="20"/>
                <w:color w:val="auto"/>
              </w:rPr>
            </w:pPr>
            <w:r>
              <w:rPr>
                <w:rFonts w:ascii="Arial" w:cs="Arial" w:eastAsia="Arial" w:hAnsi="Arial"/>
                <w:sz w:val="11"/>
                <w:szCs w:val="11"/>
                <w:b w:val="1"/>
                <w:bCs w:val="1"/>
                <w:color w:val="auto"/>
                <w:w w:val="90"/>
              </w:rPr>
              <w:t>Year ended</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5"/>
              </w:rPr>
              <w:t>Increase (decrease)</w:t>
            </w:r>
          </w:p>
        </w:tc>
      </w:tr>
      <w:tr>
        <w:trPr>
          <w:trHeight w:val="131"/>
        </w:trPr>
        <w:tc>
          <w:tcPr>
            <w:tcW w:w="11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1"/>
                <w:szCs w:val="11"/>
                <w:b w:val="1"/>
                <w:bCs w:val="1"/>
                <w:color w:val="auto"/>
                <w:w w:val="86"/>
              </w:rPr>
              <w:t>December 31,</w:t>
            </w:r>
          </w:p>
        </w:tc>
        <w:tc>
          <w:tcPr>
            <w:tcW w:w="4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1"/>
                <w:szCs w:val="11"/>
                <w:b w:val="1"/>
                <w:bCs w:val="1"/>
                <w:color w:val="auto"/>
                <w:w w:val="94"/>
              </w:rPr>
              <w:t>from prior year</w:t>
            </w: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11"/>
        </w:trPr>
        <w:tc>
          <w:tcPr>
            <w:tcW w:w="560" w:type="dxa"/>
            <w:vAlign w:val="bottom"/>
            <w:tcBorders>
              <w:bottom w:val="single" w:sz="8" w:color="auto"/>
            </w:tcBorders>
          </w:tcPr>
          <w:p>
            <w:pPr>
              <w:jc w:val="right"/>
              <w:ind w:right="101"/>
              <w:spacing w:after="0" w:line="11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ind w:left="20"/>
              <w:spacing w:after="0" w:line="111" w:lineRule="exact"/>
              <w:rPr>
                <w:sz w:val="20"/>
                <w:szCs w:val="20"/>
                <w:color w:val="auto"/>
              </w:rPr>
            </w:pPr>
            <w:r>
              <w:rPr>
                <w:rFonts w:ascii="Arial" w:cs="Arial" w:eastAsia="Arial" w:hAnsi="Arial"/>
                <w:sz w:val="11"/>
                <w:szCs w:val="11"/>
                <w:b w:val="1"/>
                <w:bCs w:val="1"/>
                <w:color w:val="auto"/>
              </w:rPr>
              <w:t>2008</w:t>
            </w:r>
          </w:p>
        </w:tc>
        <w:tc>
          <w:tcPr>
            <w:tcW w:w="1020" w:type="dxa"/>
            <w:vAlign w:val="bottom"/>
          </w:tcPr>
          <w:p>
            <w:pPr>
              <w:spacing w:after="0"/>
              <w:rPr>
                <w:sz w:val="9"/>
                <w:szCs w:val="9"/>
                <w:color w:val="auto"/>
              </w:rPr>
            </w:pPr>
          </w:p>
        </w:tc>
        <w:tc>
          <w:tcPr>
            <w:tcW w:w="620" w:type="dxa"/>
            <w:vAlign w:val="bottom"/>
            <w:tcBorders>
              <w:bottom w:val="single" w:sz="8" w:color="auto"/>
            </w:tcBorders>
          </w:tcPr>
          <w:p>
            <w:pPr>
              <w:jc w:val="right"/>
              <w:ind w:right="221"/>
              <w:spacing w:after="0" w:line="111"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77"/>
              <w:spacing w:after="0" w:line="111"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9"/>
                <w:szCs w:val="9"/>
                <w:color w:val="auto"/>
              </w:rPr>
            </w:pPr>
          </w:p>
        </w:tc>
      </w:tr>
      <w:tr>
        <w:trPr>
          <w:trHeight w:val="172"/>
        </w:trPr>
        <w:tc>
          <w:tcPr>
            <w:tcW w:w="560" w:type="dxa"/>
            <w:vAlign w:val="bottom"/>
          </w:tcPr>
          <w:p>
            <w:pPr>
              <w:jc w:val="right"/>
              <w:spacing w:after="0"/>
              <w:rPr>
                <w:sz w:val="20"/>
                <w:szCs w:val="20"/>
                <w:color w:val="auto"/>
              </w:rPr>
            </w:pPr>
            <w:r>
              <w:rPr>
                <w:rFonts w:ascii="Arial" w:cs="Arial" w:eastAsia="Arial" w:hAnsi="Arial"/>
                <w:sz w:val="14"/>
                <w:szCs w:val="14"/>
                <w:color w:val="auto"/>
                <w:w w:val="92"/>
              </w:rPr>
              <w:t>$  59,864</w:t>
            </w:r>
          </w:p>
        </w:tc>
        <w:tc>
          <w:tcPr>
            <w:tcW w:w="4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20"/>
              <w:spacing w:after="0"/>
              <w:rPr>
                <w:sz w:val="20"/>
                <w:szCs w:val="20"/>
                <w:color w:val="auto"/>
              </w:rPr>
            </w:pPr>
            <w:r>
              <w:rPr>
                <w:rFonts w:ascii="Arial" w:cs="Arial" w:eastAsia="Arial" w:hAnsi="Arial"/>
                <w:sz w:val="14"/>
                <w:szCs w:val="14"/>
                <w:color w:val="auto"/>
                <w:w w:val="83"/>
              </w:rPr>
              <w:t>73,098</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8"/>
              </w:rPr>
              <w:t>$  (13,234)</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7"/>
              </w:rPr>
              <w:t>(18.1)%</w:t>
            </w:r>
          </w:p>
        </w:tc>
      </w:tr>
    </w:tbl>
    <w:p>
      <w:pPr>
        <w:spacing w:after="0" w:line="162" w:lineRule="exact"/>
        <w:rPr>
          <w:sz w:val="20"/>
          <w:szCs w:val="20"/>
          <w:color w:val="auto"/>
        </w:rPr>
      </w:pPr>
    </w:p>
    <w:p>
      <w:pPr>
        <w:ind w:right="180" w:firstLine="282"/>
        <w:spacing w:after="0" w:line="275" w:lineRule="auto"/>
        <w:rPr>
          <w:sz w:val="20"/>
          <w:szCs w:val="20"/>
          <w:color w:val="auto"/>
        </w:rPr>
      </w:pPr>
      <w:r>
        <w:rPr>
          <w:rFonts w:ascii="Arial" w:cs="Arial" w:eastAsia="Arial" w:hAnsi="Arial"/>
          <w:sz w:val="14"/>
          <w:szCs w:val="14"/>
          <w:color w:val="auto"/>
        </w:rPr>
        <w:t>The decrease in research and development expenses in fiscal 2009 compared to fiscal 2008 was primarily due to $13.6 million of lower employee-related costs and $0.3 million of lower product development costs. These reductions were partially offset by $0.4 million of higher facilities costs and $0.3 million of higher depreciation expense. The reduction in employee-related costs was primarily comprised of $8.9 million of salary and benefit expenses and $4.6 million of stock-based compensation expense.</w:t>
      </w:r>
    </w:p>
    <w:p>
      <w:pPr>
        <w:spacing w:after="0" w:line="146" w:lineRule="exact"/>
        <w:rPr>
          <w:sz w:val="20"/>
          <w:szCs w:val="20"/>
          <w:color w:val="auto"/>
        </w:rPr>
      </w:pPr>
    </w:p>
    <w:p>
      <w:pPr>
        <w:ind w:left="300"/>
        <w:spacing w:after="0"/>
        <w:tabs>
          <w:tab w:leader="none" w:pos="2260" w:val="left"/>
        </w:tabs>
        <w:rPr>
          <w:sz w:val="20"/>
          <w:szCs w:val="20"/>
          <w:color w:val="auto"/>
        </w:rPr>
      </w:pPr>
      <w:r>
        <w:rPr>
          <w:rFonts w:ascii="Arial" w:cs="Arial" w:eastAsia="Arial" w:hAnsi="Arial"/>
          <w:sz w:val="14"/>
          <w:szCs w:val="14"/>
          <w:b w:val="1"/>
          <w:bCs w:val="1"/>
          <w:i w:val="1"/>
          <w:iCs w:val="1"/>
          <w:color w:val="auto"/>
        </w:rPr>
        <w:t>Sales and Marketing Expenses.</w:t>
      </w:r>
      <w:r>
        <w:rPr>
          <w:sz w:val="20"/>
          <w:szCs w:val="20"/>
          <w:color w:val="auto"/>
        </w:rPr>
        <w:tab/>
      </w:r>
      <w:r>
        <w:rPr>
          <w:rFonts w:ascii="Arial" w:cs="Arial" w:eastAsia="Arial" w:hAnsi="Arial"/>
          <w:sz w:val="12"/>
          <w:szCs w:val="12"/>
          <w:color w:val="auto"/>
        </w:rPr>
        <w:t>Sales and marketing expenses for the years ended December 31, 2009 and 2008 were as follows (in thousands, except percentages):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120" w:type="dxa"/>
            <w:vAlign w:val="bottom"/>
            <w:gridSpan w:val="3"/>
          </w:tcPr>
          <w:p>
            <w:pPr>
              <w:jc w:val="center"/>
              <w:ind w:left="361"/>
              <w:spacing w:after="0"/>
              <w:rPr>
                <w:sz w:val="20"/>
                <w:szCs w:val="20"/>
                <w:color w:val="auto"/>
              </w:rPr>
            </w:pPr>
            <w:r>
              <w:rPr>
                <w:rFonts w:ascii="Arial" w:cs="Arial" w:eastAsia="Arial" w:hAnsi="Arial"/>
                <w:sz w:val="11"/>
                <w:szCs w:val="11"/>
                <w:b w:val="1"/>
                <w:bCs w:val="1"/>
                <w:color w:val="auto"/>
                <w:w w:val="90"/>
              </w:rPr>
              <w:t>Year ended</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80" w:type="dxa"/>
            <w:vAlign w:val="bottom"/>
            <w:gridSpan w:val="5"/>
          </w:tcPr>
          <w:p>
            <w:pPr>
              <w:jc w:val="center"/>
              <w:ind w:right="4040"/>
              <w:spacing w:after="0"/>
              <w:rPr>
                <w:sz w:val="20"/>
                <w:szCs w:val="20"/>
                <w:color w:val="auto"/>
              </w:rPr>
            </w:pPr>
            <w:r>
              <w:rPr>
                <w:rFonts w:ascii="Arial" w:cs="Arial" w:eastAsia="Arial" w:hAnsi="Arial"/>
                <w:sz w:val="11"/>
                <w:szCs w:val="11"/>
                <w:b w:val="1"/>
                <w:bCs w:val="1"/>
                <w:color w:val="auto"/>
                <w:w w:val="85"/>
              </w:rPr>
              <w:t>Increase (decrease)</w:t>
            </w:r>
          </w:p>
        </w:tc>
      </w:tr>
      <w:tr>
        <w:trPr>
          <w:trHeight w:val="131"/>
        </w:trPr>
        <w:tc>
          <w:tcPr>
            <w:tcW w:w="3440" w:type="dxa"/>
            <w:vAlign w:val="bottom"/>
          </w:tcPr>
          <w:p>
            <w:pPr>
              <w:spacing w:after="0"/>
              <w:rPr>
                <w:sz w:val="11"/>
                <w:szCs w:val="11"/>
                <w:color w:val="auto"/>
              </w:rPr>
            </w:pPr>
          </w:p>
        </w:tc>
        <w:tc>
          <w:tcPr>
            <w:tcW w:w="11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1"/>
                <w:szCs w:val="11"/>
                <w:b w:val="1"/>
                <w:bCs w:val="1"/>
                <w:color w:val="auto"/>
                <w:w w:val="86"/>
              </w:rPr>
              <w:t>December 31,</w:t>
            </w: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1"/>
                <w:szCs w:val="11"/>
                <w:b w:val="1"/>
                <w:bCs w:val="1"/>
                <w:color w:val="auto"/>
                <w:w w:val="94"/>
              </w:rPr>
              <w:t>from prior year</w:t>
            </w:r>
          </w:p>
        </w:tc>
        <w:tc>
          <w:tcPr>
            <w:tcW w:w="32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r>
      <w:tr>
        <w:trPr>
          <w:trHeight w:val="111"/>
        </w:trPr>
        <w:tc>
          <w:tcPr>
            <w:tcW w:w="3440" w:type="dxa"/>
            <w:vAlign w:val="bottom"/>
          </w:tcPr>
          <w:p>
            <w:pPr>
              <w:spacing w:after="0"/>
              <w:rPr>
                <w:sz w:val="9"/>
                <w:szCs w:val="9"/>
                <w:color w:val="auto"/>
              </w:rPr>
            </w:pPr>
          </w:p>
        </w:tc>
        <w:tc>
          <w:tcPr>
            <w:tcW w:w="560" w:type="dxa"/>
            <w:vAlign w:val="bottom"/>
            <w:tcBorders>
              <w:bottom w:val="single" w:sz="8" w:color="auto"/>
            </w:tcBorders>
          </w:tcPr>
          <w:p>
            <w:pPr>
              <w:jc w:val="right"/>
              <w:ind w:right="101"/>
              <w:spacing w:after="0" w:line="11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ind w:left="20"/>
              <w:spacing w:after="0" w:line="111" w:lineRule="exact"/>
              <w:rPr>
                <w:sz w:val="20"/>
                <w:szCs w:val="20"/>
                <w:color w:val="auto"/>
              </w:rPr>
            </w:pPr>
            <w:r>
              <w:rPr>
                <w:rFonts w:ascii="Arial" w:cs="Arial" w:eastAsia="Arial" w:hAnsi="Arial"/>
                <w:sz w:val="11"/>
                <w:szCs w:val="11"/>
                <w:b w:val="1"/>
                <w:bCs w:val="1"/>
                <w:color w:val="auto"/>
              </w:rPr>
              <w:t>2008</w:t>
            </w: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jc w:val="right"/>
              <w:ind w:right="221"/>
              <w:spacing w:after="0" w:line="111"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77"/>
              <w:spacing w:after="0" w:line="111" w:lineRule="exact"/>
              <w:rPr>
                <w:sz w:val="20"/>
                <w:szCs w:val="20"/>
                <w:color w:val="auto"/>
              </w:rPr>
            </w:pPr>
            <w:r>
              <w:rPr>
                <w:rFonts w:ascii="Arial" w:cs="Arial" w:eastAsia="Arial" w:hAnsi="Arial"/>
                <w:sz w:val="11"/>
                <w:szCs w:val="11"/>
                <w:b w:val="1"/>
                <w:bCs w:val="1"/>
                <w:color w:val="auto"/>
              </w:rPr>
              <w:t>%</w:t>
            </w:r>
          </w:p>
        </w:tc>
        <w:tc>
          <w:tcPr>
            <w:tcW w:w="4060" w:type="dxa"/>
            <w:vAlign w:val="bottom"/>
          </w:tcPr>
          <w:p>
            <w:pPr>
              <w:spacing w:after="0"/>
              <w:rPr>
                <w:sz w:val="9"/>
                <w:szCs w:val="9"/>
                <w:color w:val="auto"/>
              </w:rPr>
            </w:pPr>
          </w:p>
        </w:tc>
      </w:tr>
      <w:tr>
        <w:trPr>
          <w:trHeight w:val="172"/>
        </w:trPr>
        <w:tc>
          <w:tcPr>
            <w:tcW w:w="3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2"/>
              </w:rPr>
              <w:t>$  48,929</w:t>
            </w:r>
          </w:p>
        </w:tc>
        <w:tc>
          <w:tcPr>
            <w:tcW w:w="4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20"/>
              <w:spacing w:after="0"/>
              <w:rPr>
                <w:sz w:val="20"/>
                <w:szCs w:val="20"/>
                <w:color w:val="auto"/>
              </w:rPr>
            </w:pPr>
            <w:r>
              <w:rPr>
                <w:rFonts w:ascii="Arial" w:cs="Arial" w:eastAsia="Arial" w:hAnsi="Arial"/>
                <w:sz w:val="14"/>
                <w:szCs w:val="14"/>
                <w:color w:val="auto"/>
                <w:w w:val="83"/>
              </w:rPr>
              <w:t>74,364</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8"/>
              </w:rPr>
              <w:t>$  (25,435)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gridSpan w:val="2"/>
          </w:tcPr>
          <w:p>
            <w:pPr>
              <w:jc w:val="right"/>
              <w:ind w:right="3880"/>
              <w:spacing w:after="0"/>
              <w:rPr>
                <w:sz w:val="20"/>
                <w:szCs w:val="20"/>
                <w:color w:val="auto"/>
              </w:rPr>
            </w:pPr>
            <w:r>
              <w:rPr>
                <w:rFonts w:ascii="Arial" w:cs="Arial" w:eastAsia="Arial" w:hAnsi="Arial"/>
                <w:sz w:val="14"/>
                <w:szCs w:val="14"/>
                <w:color w:val="auto"/>
                <w:w w:val="97"/>
              </w:rPr>
              <w:t>(34.2)%</w:t>
            </w:r>
          </w:p>
        </w:tc>
      </w:tr>
      <w:tr>
        <w:trPr>
          <w:trHeight w:val="342"/>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47</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83"/>
        </w:trPr>
        <w:tc>
          <w:tcPr>
            <w:tcW w:w="344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66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06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ind w:right="20" w:firstLine="282"/>
        <w:spacing w:after="0" w:line="270" w:lineRule="auto"/>
        <w:rPr>
          <w:sz w:val="20"/>
          <w:szCs w:val="20"/>
          <w:color w:val="auto"/>
        </w:rPr>
      </w:pPr>
      <w:r>
        <w:rPr>
          <w:rFonts w:ascii="Arial" w:cs="Arial" w:eastAsia="Arial" w:hAnsi="Arial"/>
          <w:sz w:val="14"/>
          <w:szCs w:val="14"/>
          <w:color w:val="auto"/>
        </w:rPr>
        <w:t>The decrease in sales and marketing expenses in fiscal 2009 compared to fiscal 2008 was primarily attributable to $22.7 million of lower employee-related expenses, $1.7 million of lower depreciation expense, $1.0 million of lower trade show and marketing expense, $0.5 million of lower expense for evaluation equipment and $0.5 million of lower facilities costs. These amounts were partially offset by $1.0 million of increases in other expenses. The reduction in employee-related expenses was primarily comprised of $12.0 million of salary and fringe benefit expense, $4.2 million of employee travel and related expenses, $3.8 million of commissions expense and $1.4 million of stock-based compensation expense.</w:t>
      </w:r>
    </w:p>
    <w:p>
      <w:pPr>
        <w:spacing w:after="0" w:line="150" w:lineRule="exact"/>
        <w:rPr>
          <w:sz w:val="20"/>
          <w:szCs w:val="20"/>
          <w:color w:val="auto"/>
        </w:rPr>
      </w:pPr>
    </w:p>
    <w:p>
      <w:pPr>
        <w:ind w:left="300"/>
        <w:spacing w:after="0"/>
        <w:tabs>
          <w:tab w:leader="none" w:pos="2660" w:val="left"/>
        </w:tabs>
        <w:rPr>
          <w:sz w:val="20"/>
          <w:szCs w:val="20"/>
          <w:color w:val="auto"/>
        </w:rPr>
      </w:pPr>
      <w:r>
        <w:rPr>
          <w:rFonts w:ascii="Arial" w:cs="Arial" w:eastAsia="Arial" w:hAnsi="Arial"/>
          <w:sz w:val="14"/>
          <w:szCs w:val="14"/>
          <w:b w:val="1"/>
          <w:bCs w:val="1"/>
          <w:i w:val="1"/>
          <w:iCs w:val="1"/>
          <w:color w:val="auto"/>
        </w:rPr>
        <w:t>General and Administrative Expenses.</w:t>
      </w:r>
      <w:r>
        <w:rPr>
          <w:sz w:val="20"/>
          <w:szCs w:val="20"/>
          <w:color w:val="auto"/>
        </w:rPr>
        <w:tab/>
      </w:r>
      <w:r>
        <w:rPr>
          <w:rFonts w:ascii="Arial" w:cs="Arial" w:eastAsia="Arial" w:hAnsi="Arial"/>
          <w:sz w:val="12"/>
          <w:szCs w:val="12"/>
          <w:color w:val="auto"/>
        </w:rPr>
        <w:t>General and administrative expenses for the years ended December 31, 2009 and 2008 were as follows (in thousands, except percentages):</w:t>
      </w:r>
    </w:p>
    <w:p>
      <w:pPr>
        <w:spacing w:after="0" w:line="179" w:lineRule="exact"/>
        <w:rPr>
          <w:sz w:val="20"/>
          <w:szCs w:val="20"/>
          <w:color w:val="auto"/>
        </w:rPr>
      </w:pPr>
    </w:p>
    <w:tbl>
      <w:tblPr>
        <w:tblLayout w:type="fixed"/>
        <w:tblInd w:w="3440" w:type="dxa"/>
        <w:tblCellMar>
          <w:top w:w="0" w:type="dxa"/>
          <w:left w:w="0" w:type="dxa"/>
          <w:bottom w:w="0" w:type="dxa"/>
          <w:right w:w="0" w:type="dxa"/>
        </w:tblCellMar>
      </w:tblPr>
      <w:tr>
        <w:trPr>
          <w:trHeight w:val="126"/>
        </w:trPr>
        <w:tc>
          <w:tcPr>
            <w:tcW w:w="1120" w:type="dxa"/>
            <w:vAlign w:val="bottom"/>
            <w:gridSpan w:val="3"/>
          </w:tcPr>
          <w:p>
            <w:pPr>
              <w:jc w:val="center"/>
              <w:ind w:left="361"/>
              <w:spacing w:after="0"/>
              <w:rPr>
                <w:sz w:val="20"/>
                <w:szCs w:val="20"/>
                <w:color w:val="auto"/>
              </w:rPr>
            </w:pPr>
            <w:r>
              <w:rPr>
                <w:rFonts w:ascii="Arial" w:cs="Arial" w:eastAsia="Arial" w:hAnsi="Arial"/>
                <w:sz w:val="11"/>
                <w:szCs w:val="11"/>
                <w:b w:val="1"/>
                <w:bCs w:val="1"/>
                <w:color w:val="auto"/>
                <w:w w:val="90"/>
              </w:rPr>
              <w:t>Year ended</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5"/>
              </w:rPr>
              <w:t>Increase (decrease)</w:t>
            </w:r>
          </w:p>
        </w:tc>
      </w:tr>
      <w:tr>
        <w:trPr>
          <w:trHeight w:val="131"/>
        </w:trPr>
        <w:tc>
          <w:tcPr>
            <w:tcW w:w="11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1"/>
                <w:szCs w:val="11"/>
                <w:b w:val="1"/>
                <w:bCs w:val="1"/>
                <w:color w:val="auto"/>
                <w:w w:val="86"/>
              </w:rPr>
              <w:t>December 31,</w:t>
            </w:r>
          </w:p>
        </w:tc>
        <w:tc>
          <w:tcPr>
            <w:tcW w:w="4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1"/>
                <w:szCs w:val="11"/>
                <w:b w:val="1"/>
                <w:bCs w:val="1"/>
                <w:color w:val="auto"/>
                <w:w w:val="94"/>
              </w:rPr>
              <w:t>from prior year</w:t>
            </w: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11"/>
        </w:trPr>
        <w:tc>
          <w:tcPr>
            <w:tcW w:w="560" w:type="dxa"/>
            <w:vAlign w:val="bottom"/>
            <w:tcBorders>
              <w:bottom w:val="single" w:sz="8" w:color="auto"/>
            </w:tcBorders>
          </w:tcPr>
          <w:p>
            <w:pPr>
              <w:jc w:val="right"/>
              <w:ind w:right="101"/>
              <w:spacing w:after="0" w:line="11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ind w:left="20"/>
              <w:spacing w:after="0" w:line="111" w:lineRule="exact"/>
              <w:rPr>
                <w:sz w:val="20"/>
                <w:szCs w:val="20"/>
                <w:color w:val="auto"/>
              </w:rPr>
            </w:pPr>
            <w:r>
              <w:rPr>
                <w:rFonts w:ascii="Arial" w:cs="Arial" w:eastAsia="Arial" w:hAnsi="Arial"/>
                <w:sz w:val="11"/>
                <w:szCs w:val="11"/>
                <w:b w:val="1"/>
                <w:bCs w:val="1"/>
                <w:color w:val="auto"/>
              </w:rPr>
              <w:t>2008</w:t>
            </w:r>
          </w:p>
        </w:tc>
        <w:tc>
          <w:tcPr>
            <w:tcW w:w="1020" w:type="dxa"/>
            <w:vAlign w:val="bottom"/>
          </w:tcPr>
          <w:p>
            <w:pPr>
              <w:spacing w:after="0"/>
              <w:rPr>
                <w:sz w:val="9"/>
                <w:szCs w:val="9"/>
                <w:color w:val="auto"/>
              </w:rPr>
            </w:pPr>
          </w:p>
        </w:tc>
        <w:tc>
          <w:tcPr>
            <w:tcW w:w="620" w:type="dxa"/>
            <w:vAlign w:val="bottom"/>
            <w:tcBorders>
              <w:bottom w:val="single" w:sz="8" w:color="auto"/>
            </w:tcBorders>
          </w:tcPr>
          <w:p>
            <w:pPr>
              <w:jc w:val="right"/>
              <w:ind w:right="221"/>
              <w:spacing w:after="0" w:line="111"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77"/>
              <w:spacing w:after="0" w:line="111"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9"/>
                <w:szCs w:val="9"/>
                <w:color w:val="auto"/>
              </w:rPr>
            </w:pPr>
          </w:p>
        </w:tc>
      </w:tr>
      <w:tr>
        <w:trPr>
          <w:trHeight w:val="172"/>
        </w:trPr>
        <w:tc>
          <w:tcPr>
            <w:tcW w:w="560" w:type="dxa"/>
            <w:vAlign w:val="bottom"/>
          </w:tcPr>
          <w:p>
            <w:pPr>
              <w:jc w:val="right"/>
              <w:spacing w:after="0"/>
              <w:rPr>
                <w:sz w:val="20"/>
                <w:szCs w:val="20"/>
                <w:color w:val="auto"/>
              </w:rPr>
            </w:pPr>
            <w:r>
              <w:rPr>
                <w:rFonts w:ascii="Arial" w:cs="Arial" w:eastAsia="Arial" w:hAnsi="Arial"/>
                <w:sz w:val="14"/>
                <w:szCs w:val="14"/>
                <w:color w:val="auto"/>
                <w:w w:val="92"/>
              </w:rPr>
              <w:t>$  43,217</w:t>
            </w:r>
          </w:p>
        </w:tc>
        <w:tc>
          <w:tcPr>
            <w:tcW w:w="4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400" w:type="dxa"/>
            <w:vAlign w:val="bottom"/>
          </w:tcPr>
          <w:p>
            <w:pPr>
              <w:ind w:left="20"/>
              <w:spacing w:after="0"/>
              <w:rPr>
                <w:sz w:val="20"/>
                <w:szCs w:val="20"/>
                <w:color w:val="auto"/>
              </w:rPr>
            </w:pPr>
            <w:r>
              <w:rPr>
                <w:rFonts w:ascii="Arial" w:cs="Arial" w:eastAsia="Arial" w:hAnsi="Arial"/>
                <w:sz w:val="14"/>
                <w:szCs w:val="14"/>
                <w:color w:val="auto"/>
                <w:w w:val="83"/>
              </w:rPr>
              <w:t>62,045</w:t>
            </w:r>
          </w:p>
        </w:tc>
        <w:tc>
          <w:tcPr>
            <w:tcW w:w="10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8"/>
              </w:rPr>
              <w:t>$  (18,828)</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7"/>
              </w:rPr>
              <w:t>(30.3)%</w:t>
            </w:r>
          </w:p>
        </w:tc>
      </w:tr>
    </w:tbl>
    <w:p>
      <w:pPr>
        <w:spacing w:after="0" w:line="162" w:lineRule="exact"/>
        <w:rPr>
          <w:sz w:val="20"/>
          <w:szCs w:val="20"/>
          <w:color w:val="auto"/>
        </w:rPr>
      </w:pPr>
    </w:p>
    <w:p>
      <w:pPr>
        <w:ind w:right="280" w:firstLine="282"/>
        <w:spacing w:after="0" w:line="275" w:lineRule="auto"/>
        <w:rPr>
          <w:sz w:val="20"/>
          <w:szCs w:val="20"/>
          <w:color w:val="auto"/>
        </w:rPr>
      </w:pPr>
      <w:r>
        <w:rPr>
          <w:rFonts w:ascii="Arial" w:cs="Arial" w:eastAsia="Arial" w:hAnsi="Arial"/>
          <w:sz w:val="14"/>
          <w:szCs w:val="14"/>
          <w:color w:val="auto"/>
        </w:rPr>
        <w:t>The decrease in fiscal 2009 compared to fiscal 2008 was primarily attributable to $5.9 million of lower legal, audit and other consulting fees, $5.6 million of lower losses on foreign currency exchange and $5.0 million of lower stock-based compensation expense. The reduction in legal, audit and other consulting fees was primarily the result of reduced legal costs in fiscal 2009 resulting from our settlement in 2008 of litigation.</w:t>
      </w:r>
    </w:p>
    <w:p>
      <w:pPr>
        <w:spacing w:after="0" w:line="146" w:lineRule="exact"/>
        <w:rPr>
          <w:sz w:val="20"/>
          <w:szCs w:val="20"/>
          <w:color w:val="auto"/>
        </w:rPr>
      </w:pPr>
    </w:p>
    <w:p>
      <w:pPr>
        <w:ind w:firstLine="284"/>
        <w:spacing w:after="0" w:line="286" w:lineRule="auto"/>
        <w:rPr>
          <w:sz w:val="20"/>
          <w:szCs w:val="20"/>
          <w:color w:val="auto"/>
        </w:rPr>
      </w:pPr>
      <w:r>
        <w:rPr>
          <w:rFonts w:ascii="Arial" w:cs="Arial" w:eastAsia="Arial" w:hAnsi="Arial"/>
          <w:sz w:val="13"/>
          <w:szCs w:val="13"/>
          <w:b w:val="1"/>
          <w:bCs w:val="1"/>
          <w:i w:val="1"/>
          <w:iCs w:val="1"/>
          <w:color w:val="auto"/>
        </w:rPr>
        <w:t xml:space="preserve">Litigation Settlements, Net of Insurance Recovery. </w:t>
      </w:r>
      <w:r>
        <w:rPr>
          <w:rFonts w:ascii="Arial" w:cs="Arial" w:eastAsia="Arial" w:hAnsi="Arial"/>
          <w:sz w:val="13"/>
          <w:szCs w:val="13"/>
          <w:color w:val="auto"/>
        </w:rPr>
        <w:t>We recorded $19.1 million of expense reported as Litigation settlements, net of insurance recovery in fiscal 2008. On September 16, 2008,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reached an agreement to settle the litigation by C2 Communications against certain of our customers alleging patent infringement of U.S. Patent No. 6,243,373 entitled "Method and Apparatus for Implementing a Computer Network Internet Telephone System (the "C2 Patent Litigation"). The parties entered into a settlement and license agreement that provided for the payment of $9.5 million in full settlement of all claims against our customers as well as fully paid licenses to us and our customers. The settlement was paid on September 24, 2008. On September 23, 2008, we reached a tentative agreement to settle the Consolidated Amended Complaint alleging that we made false and misleading statements about our products and business (the "2002 Securities Litigation"). Pursuant to the settlement, we paid $9.5 million to the shareholder class in the case, as well as $0.1 million toward the cost of the class notice process. At December 31, 2008, we had accrued $10.0 million for the settlement and class notice process. This amount includes $0.4 million for costs related to the confirmatory discovery process, which is included as a component of General and administrative expense. On February 17, 2009, we placed $9.5 million into escrow related to this settlement. On July 16, 2009, the escrow amount was released to the plaintiff. We did not record any expense for litigation settlements reported as Litigation settlements, net of insurance recovery in fiscal 2009.</w:t>
      </w:r>
    </w:p>
    <w:p>
      <w:pPr>
        <w:spacing w:after="0" w:line="145" w:lineRule="exact"/>
        <w:rPr>
          <w:sz w:val="20"/>
          <w:szCs w:val="20"/>
          <w:color w:val="auto"/>
        </w:rPr>
      </w:pPr>
    </w:p>
    <w:p>
      <w:pPr>
        <w:ind w:right="240" w:firstLine="284"/>
        <w:spacing w:after="0" w:line="289" w:lineRule="auto"/>
        <w:rPr>
          <w:sz w:val="20"/>
          <w:szCs w:val="20"/>
          <w:color w:val="auto"/>
        </w:rPr>
      </w:pPr>
      <w:r>
        <w:rPr>
          <w:rFonts w:ascii="Arial" w:cs="Arial" w:eastAsia="Arial" w:hAnsi="Arial"/>
          <w:sz w:val="14"/>
          <w:szCs w:val="14"/>
          <w:b w:val="1"/>
          <w:bCs w:val="1"/>
          <w:i w:val="1"/>
          <w:iCs w:val="1"/>
          <w:color w:val="auto"/>
        </w:rPr>
        <w:t xml:space="preserve">Restructuring. </w:t>
      </w:r>
      <w:r>
        <w:rPr>
          <w:rFonts w:ascii="Arial" w:cs="Arial" w:eastAsia="Arial" w:hAnsi="Arial"/>
          <w:sz w:val="14"/>
          <w:szCs w:val="14"/>
          <w:color w:val="auto"/>
        </w:rPr>
        <w:t>We recorded $3.5 million of restructuring expense in fiscal 2009 related to three restructuring initiatives, which reduced our workforce by approximately 190 employees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aggregate. We recorded $0.7 million of restructuring expense in fiscal 2008 related to a restructuring initiative that affected approximately 50 employees.</w:t>
      </w:r>
    </w:p>
    <w:p>
      <w:pPr>
        <w:spacing w:after="0" w:line="137" w:lineRule="exact"/>
        <w:rPr>
          <w:sz w:val="20"/>
          <w:szCs w:val="20"/>
          <w:color w:val="auto"/>
        </w:rPr>
      </w:pPr>
    </w:p>
    <w:p>
      <w:pPr>
        <w:ind w:left="300"/>
        <w:spacing w:after="0"/>
        <w:tabs>
          <w:tab w:leader="none" w:pos="2340" w:val="left"/>
        </w:tabs>
        <w:rPr>
          <w:sz w:val="20"/>
          <w:szCs w:val="20"/>
          <w:color w:val="auto"/>
        </w:rPr>
      </w:pPr>
      <w:r>
        <w:rPr>
          <w:rFonts w:ascii="Arial" w:cs="Arial" w:eastAsia="Arial" w:hAnsi="Arial"/>
          <w:sz w:val="14"/>
          <w:szCs w:val="14"/>
          <w:b w:val="1"/>
          <w:bCs w:val="1"/>
          <w:i w:val="1"/>
          <w:iCs w:val="1"/>
          <w:color w:val="auto"/>
        </w:rPr>
        <w:t>Impairment of Intangible Assets.</w:t>
      </w:r>
      <w:r>
        <w:rPr>
          <w:sz w:val="20"/>
          <w:szCs w:val="20"/>
          <w:color w:val="auto"/>
        </w:rPr>
        <w:tab/>
      </w:r>
      <w:r>
        <w:rPr>
          <w:rFonts w:ascii="Arial" w:cs="Arial" w:eastAsia="Arial" w:hAnsi="Arial"/>
          <w:sz w:val="13"/>
          <w:szCs w:val="13"/>
          <w:color w:val="auto"/>
        </w:rPr>
        <w:t>In the fourth quarter of fiscal 2008 we recorded $2.7 million of expense for the write-down of intangible assets related to our acquisition of Atreus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Systems, Inc. (collectively with its subsidiaries, "Atreus"). In the second quarter of fiscal 2008 we recorded $3.6 million of expense for the write-down of intangible assets and goodwill related to our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acquisition of Zynetix Ltd. ("Zynetix") intangible assets and goodwill, which is included as a component of Loss from discontinued operations, net of tax, in our consolidated statement of operations for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ended December 31, 2008. We did not record any expense for the impairment of intangible assets in fiscal 2009.</w:t>
      </w:r>
    </w:p>
    <w:p>
      <w:pPr>
        <w:spacing w:after="0" w:line="189"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4"/>
          <w:szCs w:val="14"/>
          <w:b w:val="1"/>
          <w:bCs w:val="1"/>
          <w:i w:val="1"/>
          <w:iCs w:val="1"/>
          <w:color w:val="auto"/>
        </w:rPr>
        <w:t>Interest Income, net.</w:t>
      </w:r>
      <w:r>
        <w:rPr>
          <w:sz w:val="20"/>
          <w:szCs w:val="20"/>
          <w:color w:val="auto"/>
        </w:rPr>
        <w:tab/>
      </w:r>
      <w:r>
        <w:rPr>
          <w:rFonts w:ascii="Arial" w:cs="Arial" w:eastAsia="Arial" w:hAnsi="Arial"/>
          <w:sz w:val="12"/>
          <w:szCs w:val="12"/>
          <w:color w:val="auto"/>
        </w:rPr>
        <w:t>Interest income and interest expense for the years ended December 31, 2009 and 2008 were as follows (in thousands, except percentages):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w w:val="87"/>
              </w:rPr>
              <w:t>Year ended</w:t>
            </w:r>
          </w:p>
        </w:tc>
        <w:tc>
          <w:tcPr>
            <w:tcW w:w="120" w:type="dxa"/>
            <w:vAlign w:val="bottom"/>
          </w:tcPr>
          <w:p>
            <w:pPr>
              <w:spacing w:after="0"/>
              <w:rPr>
                <w:sz w:val="10"/>
                <w:szCs w:val="10"/>
                <w:color w:val="auto"/>
              </w:rPr>
            </w:pPr>
          </w:p>
        </w:tc>
        <w:tc>
          <w:tcPr>
            <w:tcW w:w="1940" w:type="dxa"/>
            <w:vAlign w:val="bottom"/>
            <w:gridSpan w:val="4"/>
          </w:tcPr>
          <w:p>
            <w:pPr>
              <w:jc w:val="center"/>
              <w:ind w:right="1000"/>
              <w:spacing w:after="0"/>
              <w:rPr>
                <w:sz w:val="20"/>
                <w:szCs w:val="20"/>
                <w:color w:val="auto"/>
              </w:rPr>
            </w:pPr>
            <w:r>
              <w:rPr>
                <w:rFonts w:ascii="Arial" w:cs="Arial" w:eastAsia="Arial" w:hAnsi="Arial"/>
                <w:sz w:val="11"/>
                <w:szCs w:val="11"/>
                <w:b w:val="1"/>
                <w:bCs w:val="1"/>
                <w:color w:val="auto"/>
                <w:w w:val="87"/>
              </w:rPr>
              <w:t>Increase (decrease)</w:t>
            </w:r>
          </w:p>
        </w:tc>
      </w:tr>
      <w:tr>
        <w:trPr>
          <w:trHeight w:val="131"/>
        </w:trPr>
        <w:tc>
          <w:tcPr>
            <w:tcW w:w="5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w w:val="89"/>
              </w:rPr>
              <w:t>December 31,</w:t>
            </w:r>
          </w:p>
        </w:tc>
        <w:tc>
          <w:tcPr>
            <w:tcW w:w="120" w:type="dxa"/>
            <w:vAlign w:val="bottom"/>
          </w:tcPr>
          <w:p>
            <w:pPr>
              <w:spacing w:after="0"/>
              <w:rPr>
                <w:sz w:val="11"/>
                <w:szCs w:val="11"/>
                <w:color w:val="auto"/>
              </w:rPr>
            </w:pPr>
          </w:p>
        </w:tc>
        <w:tc>
          <w:tcPr>
            <w:tcW w:w="1940" w:type="dxa"/>
            <w:vAlign w:val="bottom"/>
            <w:gridSpan w:val="4"/>
          </w:tcPr>
          <w:p>
            <w:pPr>
              <w:jc w:val="center"/>
              <w:ind w:right="1000"/>
              <w:spacing w:after="0"/>
              <w:rPr>
                <w:sz w:val="20"/>
                <w:szCs w:val="20"/>
                <w:color w:val="auto"/>
              </w:rPr>
            </w:pPr>
            <w:r>
              <w:rPr>
                <w:rFonts w:ascii="Arial" w:cs="Arial" w:eastAsia="Arial" w:hAnsi="Arial"/>
                <w:sz w:val="11"/>
                <w:szCs w:val="11"/>
                <w:b w:val="1"/>
                <w:bCs w:val="1"/>
                <w:color w:val="auto"/>
                <w:w w:val="94"/>
              </w:rPr>
              <w:t>from prior year</w:t>
            </w:r>
          </w:p>
        </w:tc>
      </w:tr>
      <w:tr>
        <w:trPr>
          <w:trHeight w:val="111"/>
        </w:trPr>
        <w:tc>
          <w:tcPr>
            <w:tcW w:w="576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77"/>
              <w:spacing w:after="0" w:line="111" w:lineRule="exact"/>
              <w:rPr>
                <w:sz w:val="20"/>
                <w:szCs w:val="20"/>
                <w:color w:val="auto"/>
              </w:rPr>
            </w:pPr>
            <w:r>
              <w:rPr>
                <w:rFonts w:ascii="Arial" w:cs="Arial" w:eastAsia="Arial" w:hAnsi="Arial"/>
                <w:sz w:val="11"/>
                <w:szCs w:val="11"/>
                <w:b w:val="1"/>
                <w:bCs w:val="1"/>
                <w:color w:val="auto"/>
                <w:w w:val="89"/>
              </w:rPr>
              <w:t>2009</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ind w:left="60"/>
              <w:spacing w:after="0" w:line="11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97"/>
              <w:spacing w:after="0" w:line="111" w:lineRule="exact"/>
              <w:rPr>
                <w:sz w:val="20"/>
                <w:szCs w:val="20"/>
                <w:color w:val="auto"/>
              </w:rPr>
            </w:pPr>
            <w:r>
              <w:rPr>
                <w:rFonts w:ascii="Arial" w:cs="Arial" w:eastAsia="Arial" w:hAnsi="Arial"/>
                <w:sz w:val="11"/>
                <w:szCs w:val="11"/>
                <w:b w:val="1"/>
                <w:bCs w:val="1"/>
                <w:color w:val="auto"/>
              </w:rPr>
              <w:t>$</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ind w:left="200"/>
              <w:spacing w:after="0" w:line="111" w:lineRule="exact"/>
              <w:rPr>
                <w:sz w:val="20"/>
                <w:szCs w:val="20"/>
                <w:color w:val="auto"/>
              </w:rPr>
            </w:pPr>
            <w:r>
              <w:rPr>
                <w:rFonts w:ascii="Arial" w:cs="Arial" w:eastAsia="Arial" w:hAnsi="Arial"/>
                <w:sz w:val="11"/>
                <w:szCs w:val="11"/>
                <w:b w:val="1"/>
                <w:bCs w:val="1"/>
                <w:color w:val="auto"/>
              </w:rPr>
              <w:t>%</w:t>
            </w:r>
          </w:p>
        </w:tc>
        <w:tc>
          <w:tcPr>
            <w:tcW w:w="880" w:type="dxa"/>
            <w:vAlign w:val="bottom"/>
          </w:tcPr>
          <w:p>
            <w:pPr>
              <w:spacing w:after="0"/>
              <w:rPr>
                <w:sz w:val="9"/>
                <w:szCs w:val="9"/>
                <w:color w:val="auto"/>
              </w:rPr>
            </w:pPr>
          </w:p>
        </w:tc>
      </w:tr>
      <w:tr>
        <w:trPr>
          <w:trHeight w:val="166"/>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4"/>
                <w:szCs w:val="14"/>
                <w:color w:val="auto"/>
                <w:w w:val="83"/>
              </w:rPr>
              <w:t>12,643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(8,538)</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(67.5)%</w:t>
            </w:r>
          </w:p>
        </w:tc>
      </w:tr>
      <w:tr>
        <w:trPr>
          <w:trHeight w:val="189"/>
        </w:trPr>
        <w:tc>
          <w:tcPr>
            <w:tcW w:w="576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(108)</w:t>
            </w:r>
          </w:p>
        </w:tc>
        <w:tc>
          <w:tcPr>
            <w:tcW w:w="1380" w:type="dxa"/>
            <w:vAlign w:val="bottom"/>
            <w:gridSpan w:val="2"/>
          </w:tcPr>
          <w:p>
            <w:pPr>
              <w:ind w:left="220"/>
              <w:spacing w:after="0"/>
              <w:rPr>
                <w:sz w:val="20"/>
                <w:szCs w:val="20"/>
                <w:color w:val="auto"/>
              </w:rPr>
            </w:pPr>
            <w:r>
              <w:rPr>
                <w:rFonts w:ascii="Arial" w:cs="Arial" w:eastAsia="Arial" w:hAnsi="Arial"/>
                <w:sz w:val="14"/>
                <w:szCs w:val="14"/>
                <w:color w:val="auto"/>
              </w:rPr>
              <w:t>(37.1)%</w:t>
            </w: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4"/>
        </w:trPr>
        <w:tc>
          <w:tcPr>
            <w:tcW w:w="5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4"/>
                <w:szCs w:val="14"/>
                <w:color w:val="auto"/>
                <w:w w:val="83"/>
              </w:rPr>
              <w:t>12,352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(8,430)</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(68.2)%</w:t>
            </w:r>
          </w:p>
        </w:tc>
      </w:tr>
      <w:tr>
        <w:trPr>
          <w:trHeight w:val="22"/>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Interest expense in both fiscal 2009 and fiscal 2008 relates to capital lease obligations. The reduction in interest income, net, in the current year is primarily attributable to a lower average portfolio yield compared to fiscal 2008 as a result of the current economic environment.</w:t>
      </w:r>
    </w:p>
    <w:p>
      <w:pPr>
        <w:spacing w:after="0" w:line="137"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The income tax provision/benefit is computed on the basis of the various tax jurisdictions' income or loss before income taxes. Deferred income taxes reflect the tax effects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differences between the carrying amounts of assets and liabilities for financial reporting purposes and the amounts used for income tax purposes. The Company uses judgment and assumptions to determine whether valuation allowances for deferred income tax assets are required if realization is not likely by considering future market growth, forecasted operations, future taxable income, and the amounts of earnings in the tax jurisdictions in which it operates.</w:t>
      </w:r>
    </w:p>
    <w:p>
      <w:pPr>
        <w:spacing w:after="0" w:line="150" w:lineRule="exact"/>
        <w:rPr>
          <w:sz w:val="20"/>
          <w:szCs w:val="20"/>
          <w:color w:val="auto"/>
        </w:rPr>
      </w:pPr>
    </w:p>
    <w:p>
      <w:pPr>
        <w:ind w:firstLine="284"/>
        <w:spacing w:after="0" w:line="266" w:lineRule="auto"/>
        <w:rPr>
          <w:sz w:val="20"/>
          <w:szCs w:val="20"/>
          <w:color w:val="auto"/>
        </w:rPr>
      </w:pPr>
      <w:r>
        <w:rPr>
          <w:rFonts w:ascii="Arial" w:cs="Arial" w:eastAsia="Arial" w:hAnsi="Arial"/>
          <w:sz w:val="14"/>
          <w:szCs w:val="14"/>
          <w:color w:val="auto"/>
        </w:rPr>
        <w:t>For the year ended December 31, 2009, we recognized an income tax benefit of $2.5 million. This benefit is comprised of a recovery of prior year domestic tax payments as a result of tax law changes and a foreign tax benefit of $1.1 million impacted by international settlements. For the year ended December 31, 2008, we recognized income tax expense of $79.7 million, comprised of a tax benefit of $8.7 million, offset by an increase to our income tax expense of $88.4 million related to an increase in the valuation allowance on substantially all of our net deferred tax assets after considering all positive and negative factors as to the recoverability of these assets. This determination was based on many factors, including the severity of the current and prior year losses, cumulative three years of losses, the severe economic recession, a significant decrease to taxable income forecasted in future periods and other relevant factors. We maintained a full valuation allowance in fiscal 2009.</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Discontinued Operations</w:t>
      </w:r>
    </w:p>
    <w:p>
      <w:pPr>
        <w:spacing w:after="0" w:line="193" w:lineRule="exact"/>
        <w:rPr>
          <w:sz w:val="20"/>
          <w:szCs w:val="20"/>
          <w:color w:val="auto"/>
        </w:rPr>
      </w:pPr>
    </w:p>
    <w:p>
      <w:pPr>
        <w:ind w:right="40" w:firstLine="284"/>
        <w:spacing w:after="0" w:line="275" w:lineRule="auto"/>
        <w:rPr>
          <w:sz w:val="20"/>
          <w:szCs w:val="20"/>
          <w:color w:val="auto"/>
        </w:rPr>
      </w:pPr>
      <w:r>
        <w:rPr>
          <w:rFonts w:ascii="Arial" w:cs="Arial" w:eastAsia="Arial" w:hAnsi="Arial"/>
          <w:sz w:val="14"/>
          <w:szCs w:val="14"/>
          <w:b w:val="1"/>
          <w:bCs w:val="1"/>
          <w:i w:val="1"/>
          <w:iCs w:val="1"/>
          <w:color w:val="auto"/>
        </w:rPr>
        <w:t xml:space="preserve">Loss from discontinued operations, net of tax. </w:t>
      </w:r>
      <w:r>
        <w:rPr>
          <w:rFonts w:ascii="Arial" w:cs="Arial" w:eastAsia="Arial" w:hAnsi="Arial"/>
          <w:sz w:val="14"/>
          <w:szCs w:val="14"/>
          <w:color w:val="auto"/>
        </w:rPr>
        <w:t>In the third quarter of 2008, we committed to a plan to sell our Zynetix subsidiary, which we completed on November 26, 2008. We had acquired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Zynetix on April 13, 2007. Accordingly, the results of operations of Zynetix are included in discontinued operations for the periods subsequent to its acquisition. These results are reported under the caption Loss from discontinued operations, net of tax.</w:t>
      </w:r>
    </w:p>
    <w:p>
      <w:pPr>
        <w:spacing w:after="0" w:line="146" w:lineRule="exact"/>
        <w:rPr>
          <w:sz w:val="20"/>
          <w:szCs w:val="20"/>
          <w:color w:val="auto"/>
        </w:rPr>
      </w:pPr>
    </w:p>
    <w:p>
      <w:pPr>
        <w:ind w:right="40" w:firstLine="284"/>
        <w:spacing w:after="0" w:line="267" w:lineRule="auto"/>
        <w:rPr>
          <w:sz w:val="20"/>
          <w:szCs w:val="20"/>
          <w:color w:val="auto"/>
        </w:rPr>
      </w:pPr>
      <w:r>
        <w:rPr>
          <w:rFonts w:ascii="Arial" w:cs="Arial" w:eastAsia="Arial" w:hAnsi="Arial"/>
          <w:sz w:val="14"/>
          <w:szCs w:val="14"/>
          <w:color w:val="auto"/>
        </w:rPr>
        <w:t>In connection with the preparation of our financial statements for the second quarter of fiscal 2008 and the update of our sales forecast for the second half of the fiscal year, we conducted a review of intangible assets and goodwill for impairment indicators, during which we determined that there were no impairment indicators related to the intangible assets and goodwill allocated to the Sonus reporting unit. However, this review identified several indicators related to the intangible assets and goodwill allocated to the Zynetix reporting unit, including significant underperformance relative to plan or long-term projections. In response, we performed an assessment of the carrying value of our intangible assets and goodwill. As a result, we recorded a charge to operations of $3.6 million for the write-down of intangible assets and goodwill. Of this charge, $1.5 million related to intangible assets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$2.1 million related to goodwill. As a result, the net book values of the intangible assets and goodwill attributable to the Zynetix reporting unit were reduced to zero at June 30, 2008. The write-down of these assets is included in the results of discontinued operations for the year ended December 31, 2008.</w:t>
      </w:r>
    </w:p>
    <w:p>
      <w:pPr>
        <w:spacing w:after="0" w:line="137" w:lineRule="exact"/>
        <w:rPr>
          <w:sz w:val="20"/>
          <w:szCs w:val="20"/>
          <w:color w:val="auto"/>
        </w:rPr>
      </w:pPr>
    </w:p>
    <w:p>
      <w:pPr>
        <w:ind w:left="300"/>
        <w:spacing w:after="0"/>
        <w:tabs>
          <w:tab w:leader="none" w:pos="3380" w:val="left"/>
        </w:tabs>
        <w:rPr>
          <w:sz w:val="20"/>
          <w:szCs w:val="20"/>
          <w:color w:val="auto"/>
        </w:rPr>
      </w:pPr>
      <w:r>
        <w:rPr>
          <w:rFonts w:ascii="Arial" w:cs="Arial" w:eastAsia="Arial" w:hAnsi="Arial"/>
          <w:sz w:val="14"/>
          <w:szCs w:val="14"/>
          <w:b w:val="1"/>
          <w:bCs w:val="1"/>
          <w:i w:val="1"/>
          <w:iCs w:val="1"/>
          <w:color w:val="auto"/>
        </w:rPr>
        <w:t>Loss on sale of discontinued operations, net of tax.</w:t>
      </w:r>
      <w:r>
        <w:rPr>
          <w:sz w:val="20"/>
          <w:szCs w:val="20"/>
          <w:color w:val="auto"/>
        </w:rPr>
        <w:tab/>
      </w:r>
      <w:r>
        <w:rPr>
          <w:rFonts w:ascii="Arial" w:cs="Arial" w:eastAsia="Arial" w:hAnsi="Arial"/>
          <w:sz w:val="13"/>
          <w:szCs w:val="13"/>
          <w:color w:val="auto"/>
        </w:rPr>
        <w:t>On November 26, 2008, we completed the sale of Zynetix. In consideration for all of the equity of Zynetix we received a cash payment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 (approximately U.S. $2 at November 26, 2008); all cash on the books of Zynetix at the time of closing, the intellectual property we acquired at the time we purchased Zynetix that we subsequently</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included in certain of our products and the buyer's assumption of all contingent liabilities related to the Zynetix business, including but not limited to any customer and product support obligations. Prior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to November 26, 2008, we had entered into intellectual property agreements between our subsidiary in the United Kingdom and Zynetix. These agreements allow for perpetual licenses between us and</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Zynetix for intellectual property used in both parties' respective products. We recorded a loss of $0.7 million, net of tax, on the sale of Zynetix.</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did not have any discontinued operations in fiscal 2009.</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93" w:lineRule="exact"/>
        <w:rPr>
          <w:sz w:val="20"/>
          <w:szCs w:val="20"/>
          <w:color w:val="auto"/>
        </w:rPr>
      </w:pPr>
    </w:p>
    <w:p>
      <w:pPr>
        <w:ind w:right="540" w:firstLine="282"/>
        <w:spacing w:after="0" w:line="289" w:lineRule="auto"/>
        <w:rPr>
          <w:sz w:val="20"/>
          <w:szCs w:val="20"/>
          <w:color w:val="auto"/>
        </w:rPr>
      </w:pPr>
      <w:r>
        <w:rPr>
          <w:rFonts w:ascii="Arial" w:cs="Arial" w:eastAsia="Arial" w:hAnsi="Arial"/>
          <w:sz w:val="14"/>
          <w:szCs w:val="14"/>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consolidated statements of cash flows are summarized as follows (in thousands):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6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5"/>
          </w:tcPr>
          <w:p>
            <w:pPr>
              <w:jc w:val="right"/>
              <w:ind w:right="560"/>
              <w:spacing w:after="0"/>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11"/>
                <w:szCs w:val="11"/>
                <w:color w:val="auto"/>
              </w:rPr>
            </w:pPr>
          </w:p>
        </w:tc>
        <w:tc>
          <w:tcPr>
            <w:tcW w:w="520" w:type="dxa"/>
            <w:vAlign w:val="bottom"/>
            <w:vMerge w:val="restart"/>
          </w:tcPr>
          <w:p>
            <w:pPr>
              <w:jc w:val="right"/>
              <w:ind w:right="71"/>
              <w:spacing w:after="0"/>
              <w:rPr>
                <w:sz w:val="20"/>
                <w:szCs w:val="20"/>
                <w:color w:val="auto"/>
              </w:rPr>
            </w:pPr>
            <w:r>
              <w:rPr>
                <w:rFonts w:ascii="Arial" w:cs="Arial" w:eastAsia="Arial" w:hAnsi="Arial"/>
                <w:sz w:val="11"/>
                <w:szCs w:val="11"/>
                <w:b w:val="1"/>
                <w:bCs w:val="1"/>
                <w:color w:val="auto"/>
                <w:w w:val="89"/>
              </w:rPr>
              <w:t>Change</w:t>
            </w:r>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9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4"/>
              <w:spacing w:after="0" w:line="111" w:lineRule="exact"/>
              <w:rPr>
                <w:sz w:val="20"/>
                <w:szCs w:val="20"/>
                <w:color w:val="auto"/>
              </w:rPr>
            </w:pPr>
            <w:r>
              <w:rPr>
                <w:rFonts w:ascii="Arial" w:cs="Arial" w:eastAsia="Arial" w:hAnsi="Arial"/>
                <w:sz w:val="11"/>
                <w:szCs w:val="11"/>
                <w:b w:val="1"/>
                <w:bCs w:val="1"/>
                <w:color w:val="auto"/>
              </w:rPr>
              <w:t>2010</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31"/>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(10,691)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(4,932)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(5,759)</w:t>
            </w:r>
          </w:p>
        </w:tc>
        <w:tc>
          <w:tcPr>
            <w:tcW w:w="0" w:type="dxa"/>
            <w:vAlign w:val="bottom"/>
          </w:tcPr>
          <w:p>
            <w:pPr>
              <w:spacing w:after="0"/>
              <w:rPr>
                <w:sz w:val="1"/>
                <w:szCs w:val="1"/>
                <w:color w:val="auto"/>
              </w:rPr>
            </w:pPr>
          </w:p>
        </w:tc>
      </w:tr>
      <w:tr>
        <w:trPr>
          <w:trHeight w:val="175"/>
        </w:trPr>
        <w:tc>
          <w:tcPr>
            <w:tcW w:w="6900" w:type="dxa"/>
            <w:vAlign w:val="bottom"/>
          </w:tcPr>
          <w:p>
            <w:pPr>
              <w:spacing w:after="0"/>
              <w:rPr>
                <w:sz w:val="20"/>
                <w:szCs w:val="20"/>
                <w:color w:val="auto"/>
              </w:rPr>
            </w:pPr>
            <w:r>
              <w:rPr>
                <w:rFonts w:ascii="Arial" w:cs="Arial" w:eastAsia="Arial" w:hAnsi="Arial"/>
                <w:sz w:val="14"/>
                <w:szCs w:val="14"/>
                <w:color w:val="auto"/>
              </w:rPr>
              <w:t>Adjustments to reconcile net loss to cash flows provided by operating activities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27,743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23,836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0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(13,398)</w:t>
            </w:r>
          </w:p>
        </w:tc>
        <w:tc>
          <w:tcPr>
            <w:tcW w:w="0" w:type="dxa"/>
            <w:vAlign w:val="bottom"/>
          </w:tcPr>
          <w:p>
            <w:pPr>
              <w:spacing w:after="0"/>
              <w:rPr>
                <w:sz w:val="1"/>
                <w:szCs w:val="1"/>
                <w:color w:val="auto"/>
              </w:rPr>
            </w:pPr>
          </w:p>
        </w:tc>
      </w:tr>
      <w:tr>
        <w:trPr>
          <w:trHeight w:val="22"/>
        </w:trPr>
        <w:tc>
          <w:tcPr>
            <w:tcW w:w="6900" w:type="dxa"/>
            <w:vAlign w:val="bottom"/>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900" w:type="dxa"/>
            <w:vAlign w:val="bottom"/>
            <w:vMerge w:val="continue"/>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33,757</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(15,250)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w w:val="99"/>
              </w:rPr>
              <w:t>(81,264)</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w w:val="99"/>
              </w:rPr>
              <w:t>(31,599)</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(49,665)</w:t>
            </w:r>
          </w:p>
        </w:tc>
        <w:tc>
          <w:tcPr>
            <w:tcW w:w="0" w:type="dxa"/>
            <w:vAlign w:val="bottom"/>
          </w:tcPr>
          <w:p>
            <w:pPr>
              <w:spacing w:after="0"/>
              <w:rPr>
                <w:sz w:val="1"/>
                <w:szCs w:val="1"/>
                <w:color w:val="auto"/>
              </w:rPr>
            </w:pPr>
          </w:p>
        </w:tc>
      </w:tr>
      <w:tr>
        <w:trPr>
          <w:trHeight w:val="22"/>
        </w:trPr>
        <w:tc>
          <w:tcPr>
            <w:tcW w:w="6900" w:type="dxa"/>
            <w:vAlign w:val="bottom"/>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900" w:type="dxa"/>
            <w:vAlign w:val="bottom"/>
            <w:vMerge w:val="continue"/>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cash, cash equivalents, marketable securities and long-term investments totaled $408.4 million at December 31, 2010 and $414.1 million at December 31, 2009.</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operating activities provided $18.5 million of cash in fiscal 2010, compared to $33.8 million of cash in fiscal 2009.</w:t>
      </w:r>
    </w:p>
    <w:p>
      <w:pPr>
        <w:spacing w:after="0" w:line="189" w:lineRule="exact"/>
        <w:rPr>
          <w:sz w:val="20"/>
          <w:szCs w:val="20"/>
          <w:color w:val="auto"/>
        </w:rPr>
      </w:pPr>
    </w:p>
    <w:p>
      <w:pPr>
        <w:ind w:right="20" w:firstLine="284"/>
        <w:spacing w:after="0" w:line="293" w:lineRule="auto"/>
        <w:rPr>
          <w:sz w:val="20"/>
          <w:szCs w:val="20"/>
          <w:color w:val="auto"/>
        </w:rPr>
      </w:pPr>
      <w:r>
        <w:rPr>
          <w:rFonts w:ascii="Arial" w:cs="Arial" w:eastAsia="Arial" w:hAnsi="Arial"/>
          <w:sz w:val="13"/>
          <w:szCs w:val="13"/>
          <w:color w:val="auto"/>
        </w:rPr>
        <w:t>Cash provided by operating activities in fiscal 2010 was primarily the result of higher accrued expenses and accounts payable and lower other operating assets. These amounts were offset by lower deferred revenue and increases in inventory and accounts receivable. The increase in accrued expenses is primarily attributable to employee compensation and related costs, including accruals related to the implementation in 2010 of our Company-wide employee incentive program and fiscal 2011 payments related to Dr. Nottenburg's and Mr. Pai's departures from the Company and accruals for professional fees, partially offset by the timing of payments for previously accrued royalty payments and lower taxes payable. Our accounts payable increase is primarily attributable to purchases of materials in the latter part of the fourth quarter of fiscal 2010 for which payments are due to vendors in fiscal 2011.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decrease in deferred revenue is primarily the result of the completion of projects for which the revenue had been deferred at December 31, 2009, partially offset by new orders in fiscal 2010 for which revenue recognition criteria had not been met as of December 31, 2010. Our higher accounts receivable balance reflects our increased revenue in the fourth quarter of fiscal 2010 for which payments are due to us by our customers in fiscal 2011. Our higher inventory levels are primarily related to our NBS5200 product and preparation for product end-of-life purchases by our customers, including the aforementioned purchases of materials in the latter part of the fourth quarter of fiscal 2010. Non-cash operating expenses such as depreciation, amortization and stock-based compensation aggregated $27.7 million.</w:t>
      </w:r>
    </w:p>
    <w:p>
      <w:pPr>
        <w:spacing w:after="0" w:line="154" w:lineRule="exact"/>
        <w:rPr>
          <w:sz w:val="20"/>
          <w:szCs w:val="20"/>
          <w:color w:val="auto"/>
        </w:rPr>
      </w:pPr>
    </w:p>
    <w:p>
      <w:pPr>
        <w:ind w:right="20" w:firstLine="284"/>
        <w:spacing w:after="0" w:line="293" w:lineRule="auto"/>
        <w:rPr>
          <w:sz w:val="20"/>
          <w:szCs w:val="20"/>
          <w:color w:val="auto"/>
        </w:rPr>
      </w:pPr>
      <w:r>
        <w:rPr>
          <w:rFonts w:ascii="Arial" w:cs="Arial" w:eastAsia="Arial" w:hAnsi="Arial"/>
          <w:sz w:val="13"/>
          <w:szCs w:val="13"/>
          <w:color w:val="auto"/>
        </w:rPr>
        <w:t>Cash provided by operating activities in fiscal 2009 was primarily the result of a net decrease in accounts receivable, which was mainly driven by lower revenue levels and our focus on cash collections, partially offset by increases in other operating assets and inventory, as well as a net reduction in our operating liabilities. The increase in operating assets was primarily attributable to higher deferred costs, including cost of goods, royalties, commissions and third-party installation costs, for which the related revenue had not yet been recognized. The decrease in our operating liabilities in fiscal 2009 was primarily attributable to the payment of litigation settlements and related costs, lower employee compensation and related costs, and lower professional fees, taxes payable and royalties. Non-cash operating expenses such as depreciation, amortization and stock-based compensation aggregated $23.8 million.</w:t>
      </w:r>
    </w:p>
    <w:p>
      <w:pPr>
        <w:spacing w:after="0" w:line="137" w:lineRule="exact"/>
        <w:rPr>
          <w:sz w:val="20"/>
          <w:szCs w:val="20"/>
          <w:color w:val="auto"/>
        </w:rPr>
      </w:pPr>
    </w:p>
    <w:p>
      <w:pPr>
        <w:ind w:right="40" w:firstLine="284"/>
        <w:spacing w:after="0" w:line="275" w:lineRule="auto"/>
        <w:rPr>
          <w:sz w:val="20"/>
          <w:szCs w:val="20"/>
          <w:color w:val="auto"/>
        </w:rPr>
      </w:pPr>
      <w:r>
        <w:rPr>
          <w:rFonts w:ascii="Arial" w:cs="Arial" w:eastAsia="Arial" w:hAnsi="Arial"/>
          <w:sz w:val="14"/>
          <w:szCs w:val="14"/>
          <w:color w:val="auto"/>
        </w:rPr>
        <w:t>Our investing activities used $81.3 million of cash in fiscal 2010, comprised of $62.0 million of net purchases of marketable securities, $17.3 million of investments in property and equipment and $2.0 million to purchase intangible assets. Our investing activities used $31.6 million of cash in fiscal 2009, comprised of $25.0 million of net purchases of marketable securities and $6.6 million of investments in property and equipment.</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Our financing activities used $0.3 million of cash in fiscal 2010 and provided $0.3 million of cash in fiscal 2009. The fiscal 2010 amount is the result of cash used to pay $2.4 million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withholding obligations related to the net share settlement of restricted stock awards upon vesting and $0.2 million used for payments on our capital leases for office equipment. These amounts were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partially offset by $1.4 million of proceeds from the sale of our common stock in connection with our 2000 Employee Stock Purchase Plan, as amended and restated ("ESPP") and $1.0 million of</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proceeds from the exercise of stock options. The fiscal 2009 amount was primarily attributable to $1.1 million of proceeds from the sale of our common stock in connection with our ESPP and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$0.1 million of proceeds from the exercise of stock options. These proceeds were partially offset by $0.7 million used to pay withholding obligations related to the net share settlement of restricted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stock awards upon vesting and $0.2 million used for payments on our capital leases for office equipment.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Contractual Obligations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Our contractual obligations (both principal and interest) at December 31, 2010 consist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Payments due by period</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1"/>
        </w:trPr>
        <w:tc>
          <w:tcPr>
            <w:tcW w:w="11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92"/>
              <w:spacing w:after="0" w:line="111" w:lineRule="exact"/>
              <w:rPr>
                <w:sz w:val="20"/>
                <w:szCs w:val="20"/>
                <w:color w:val="auto"/>
              </w:rPr>
            </w:pPr>
            <w:r>
              <w:rPr>
                <w:rFonts w:ascii="Arial" w:cs="Arial" w:eastAsia="Arial" w:hAnsi="Arial"/>
                <w:sz w:val="11"/>
                <w:szCs w:val="11"/>
                <w:b w:val="1"/>
                <w:bCs w:val="1"/>
                <w:color w:val="auto"/>
                <w:w w:val="98"/>
              </w:rPr>
              <w:t>Total</w:t>
            </w:r>
          </w:p>
        </w:tc>
        <w:tc>
          <w:tcPr>
            <w:tcW w:w="200" w:type="dxa"/>
            <w:vAlign w:val="bottom"/>
          </w:tcPr>
          <w:p>
            <w:pPr>
              <w:spacing w:after="0"/>
              <w:rPr>
                <w:sz w:val="9"/>
                <w:szCs w:val="9"/>
                <w:color w:val="auto"/>
              </w:rPr>
            </w:pPr>
          </w:p>
        </w:tc>
        <w:tc>
          <w:tcPr>
            <w:tcW w:w="860" w:type="dxa"/>
            <w:vAlign w:val="bottom"/>
            <w:tcBorders>
              <w:bottom w:val="single" w:sz="8" w:color="auto"/>
            </w:tcBorders>
          </w:tcPr>
          <w:p>
            <w:pPr>
              <w:jc w:val="right"/>
              <w:ind w:right="14"/>
              <w:spacing w:after="0" w:line="111" w:lineRule="exact"/>
              <w:rPr>
                <w:sz w:val="20"/>
                <w:szCs w:val="20"/>
                <w:color w:val="auto"/>
              </w:rPr>
            </w:pPr>
            <w:r>
              <w:rPr>
                <w:rFonts w:ascii="Arial" w:cs="Arial" w:eastAsia="Arial" w:hAnsi="Arial"/>
                <w:sz w:val="11"/>
                <w:szCs w:val="11"/>
                <w:b w:val="1"/>
                <w:bCs w:val="1"/>
                <w:color w:val="auto"/>
                <w:w w:val="88"/>
              </w:rPr>
              <w:t>Less than 1 year</w:t>
            </w:r>
          </w:p>
        </w:tc>
        <w:tc>
          <w:tcPr>
            <w:tcW w:w="140" w:type="dxa"/>
            <w:vAlign w:val="bottom"/>
          </w:tcPr>
          <w:p>
            <w:pPr>
              <w:spacing w:after="0"/>
              <w:rPr>
                <w:sz w:val="9"/>
                <w:szCs w:val="9"/>
                <w:color w:val="auto"/>
              </w:rPr>
            </w:pPr>
          </w:p>
        </w:tc>
        <w:tc>
          <w:tcPr>
            <w:tcW w:w="540" w:type="dxa"/>
            <w:vAlign w:val="bottom"/>
            <w:tcBorders>
              <w:bottom w:val="single" w:sz="8" w:color="auto"/>
            </w:tcBorders>
            <w:gridSpan w:val="2"/>
          </w:tcPr>
          <w:p>
            <w:pPr>
              <w:jc w:val="right"/>
              <w:spacing w:after="0" w:line="111" w:lineRule="exact"/>
              <w:rPr>
                <w:sz w:val="20"/>
                <w:szCs w:val="20"/>
                <w:color w:val="auto"/>
              </w:rPr>
            </w:pPr>
            <w:r>
              <w:rPr>
                <w:rFonts w:ascii="Arial" w:cs="Arial" w:eastAsia="Arial" w:hAnsi="Arial"/>
                <w:sz w:val="11"/>
                <w:szCs w:val="11"/>
                <w:b w:val="1"/>
                <w:bCs w:val="1"/>
                <w:color w:val="auto"/>
                <w:w w:val="96"/>
              </w:rPr>
              <w:t>1-3 years</w:t>
            </w:r>
          </w:p>
        </w:tc>
        <w:tc>
          <w:tcPr>
            <w:tcW w:w="140" w:type="dxa"/>
            <w:vAlign w:val="bottom"/>
          </w:tcPr>
          <w:p>
            <w:pPr>
              <w:spacing w:after="0"/>
              <w:rPr>
                <w:sz w:val="9"/>
                <w:szCs w:val="9"/>
                <w:color w:val="auto"/>
              </w:rPr>
            </w:pPr>
          </w:p>
        </w:tc>
        <w:tc>
          <w:tcPr>
            <w:tcW w:w="560" w:type="dxa"/>
            <w:vAlign w:val="bottom"/>
            <w:tcBorders>
              <w:bottom w:val="single" w:sz="8" w:color="auto"/>
            </w:tcBorders>
            <w:gridSpan w:val="2"/>
          </w:tcPr>
          <w:p>
            <w:pPr>
              <w:jc w:val="right"/>
              <w:ind w:right="9"/>
              <w:spacing w:after="0" w:line="111" w:lineRule="exact"/>
              <w:rPr>
                <w:sz w:val="20"/>
                <w:szCs w:val="20"/>
                <w:color w:val="auto"/>
              </w:rPr>
            </w:pPr>
            <w:r>
              <w:rPr>
                <w:rFonts w:ascii="Arial" w:cs="Arial" w:eastAsia="Arial" w:hAnsi="Arial"/>
                <w:sz w:val="11"/>
                <w:szCs w:val="11"/>
                <w:b w:val="1"/>
                <w:bCs w:val="1"/>
                <w:color w:val="auto"/>
                <w:w w:val="96"/>
              </w:rPr>
              <w:t>3-5 years</w:t>
            </w: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12"/>
              <w:spacing w:after="0" w:line="111" w:lineRule="exact"/>
              <w:rPr>
                <w:sz w:val="20"/>
                <w:szCs w:val="20"/>
                <w:color w:val="auto"/>
              </w:rPr>
            </w:pPr>
            <w:r>
              <w:rPr>
                <w:rFonts w:ascii="Arial" w:cs="Arial" w:eastAsia="Arial" w:hAnsi="Arial"/>
                <w:sz w:val="11"/>
                <w:szCs w:val="11"/>
                <w:b w:val="1"/>
                <w:bCs w:val="1"/>
                <w:color w:val="auto"/>
                <w:w w:val="89"/>
              </w:rPr>
              <w:t>More than 5 years</w:t>
            </w:r>
          </w:p>
        </w:tc>
        <w:tc>
          <w:tcPr>
            <w:tcW w:w="140" w:type="dxa"/>
            <w:vAlign w:val="bottom"/>
          </w:tcPr>
          <w:p>
            <w:pPr>
              <w:spacing w:after="0"/>
              <w:rPr>
                <w:sz w:val="9"/>
                <w:szCs w:val="9"/>
                <w:color w:val="auto"/>
              </w:rPr>
            </w:pPr>
          </w:p>
        </w:tc>
      </w:tr>
      <w:tr>
        <w:trPr>
          <w:trHeight w:val="166"/>
        </w:trPr>
        <w:tc>
          <w:tcPr>
            <w:tcW w:w="1160" w:type="dxa"/>
            <w:vAlign w:val="bottom"/>
          </w:tcPr>
          <w:p>
            <w:pPr>
              <w:spacing w:after="0"/>
              <w:rPr>
                <w:sz w:val="14"/>
                <w:szCs w:val="1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Capital lease obligations</w:t>
            </w:r>
          </w:p>
        </w:tc>
        <w:tc>
          <w:tcPr>
            <w:tcW w:w="3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75"/>
        </w:trPr>
        <w:tc>
          <w:tcPr>
            <w:tcW w:w="11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Operating lease obligations</w:t>
            </w: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18,185</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3,485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5,769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5,402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3,529</w:t>
            </w:r>
          </w:p>
        </w:tc>
        <w:tc>
          <w:tcPr>
            <w:tcW w:w="14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Purchase obligations</w:t>
            </w:r>
          </w:p>
        </w:tc>
        <w:tc>
          <w:tcPr>
            <w:tcW w:w="3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22,841</w:t>
            </w:r>
          </w:p>
        </w:tc>
        <w:tc>
          <w:tcPr>
            <w:tcW w:w="200" w:type="dxa"/>
            <w:vAlign w:val="bottom"/>
            <w:tcBorders>
              <w:right w:val="single" w:sz="8" w:color="CCEEFF"/>
            </w:tcBorders>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22,423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116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4"/>
                <w:szCs w:val="14"/>
                <w:color w:val="auto"/>
              </w:rPr>
              <w:t>Uncertain tax positions*</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10,000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1160" w:type="dxa"/>
            <w:vAlign w:val="bottom"/>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51,201</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35,987</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5,412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w:t>
            </w:r>
          </w:p>
        </w:tc>
        <w:tc>
          <w:tcPr>
            <w:tcW w:w="140" w:type="dxa"/>
            <w:vAlign w:val="bottom"/>
            <w:shd w:val="clear" w:color="auto" w:fill="CCEEFF"/>
          </w:tcPr>
          <w:p>
            <w:pPr>
              <w:spacing w:after="0"/>
              <w:rPr>
                <w:sz w:val="15"/>
                <w:szCs w:val="15"/>
                <w:color w:val="auto"/>
              </w:rPr>
            </w:pPr>
          </w:p>
        </w:tc>
      </w:tr>
      <w:tr>
        <w:trPr>
          <w:trHeight w:val="22"/>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0"/>
        </w:trPr>
        <w:tc>
          <w:tcPr>
            <w:tcW w:w="11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78" w:lineRule="exact"/>
        <w:rPr>
          <w:sz w:val="20"/>
          <w:szCs w:val="20"/>
          <w:color w:val="auto"/>
        </w:rPr>
      </w:pPr>
    </w:p>
    <w:p>
      <w:pPr>
        <w:ind w:left="440" w:right="200" w:hanging="433"/>
        <w:spacing w:after="0" w:line="289" w:lineRule="auto"/>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liability is not subject to fixed payment terms and the amount and timing of payments, if any, which we will make related to this liability are not known. See Note 17 to our Consolidated Financial Statements appearing in this Annual Report on Form 10-K for additional information.</w:t>
      </w:r>
    </w:p>
    <w:p>
      <w:pPr>
        <w:spacing w:after="0" w:line="137" w:lineRule="exact"/>
        <w:rPr>
          <w:sz w:val="20"/>
          <w:szCs w:val="20"/>
          <w:color w:val="auto"/>
        </w:rPr>
      </w:pPr>
    </w:p>
    <w:p>
      <w:pPr>
        <w:ind w:right="40" w:firstLine="284"/>
        <w:spacing w:after="0" w:line="266" w:lineRule="auto"/>
        <w:rPr>
          <w:sz w:val="20"/>
          <w:szCs w:val="20"/>
          <w:color w:val="auto"/>
        </w:rPr>
      </w:pPr>
      <w:r>
        <w:rPr>
          <w:rFonts w:ascii="Arial" w:cs="Arial" w:eastAsia="Arial" w:hAnsi="Arial"/>
          <w:sz w:val="14"/>
          <w:szCs w:val="14"/>
          <w:color w:val="auto"/>
        </w:rPr>
        <w:t>Based on our current expectations, we believe our current cash, cash equivalents, marketable debt securities and long-term investments will be sufficient to meet our anticipated cash needs for working capital and capital expenditures for at least twelve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to improve our controls environment and for other general corporate activities, as well as to vigorously defend against existing and potential litigation. See Note 22 to our consolidated financial statements for a description of our other contingencies.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93" w:lineRule="exact"/>
        <w:rPr>
          <w:sz w:val="20"/>
          <w:szCs w:val="20"/>
          <w:color w:val="auto"/>
        </w:rPr>
      </w:pPr>
    </w:p>
    <w:p>
      <w:pPr>
        <w:ind w:firstLine="284"/>
        <w:spacing w:after="0" w:line="285" w:lineRule="auto"/>
        <w:rPr>
          <w:sz w:val="20"/>
          <w:szCs w:val="20"/>
          <w:color w:val="auto"/>
        </w:rPr>
      </w:pPr>
      <w:r>
        <w:rPr>
          <w:rFonts w:ascii="Arial" w:cs="Arial" w:eastAsia="Arial" w:hAnsi="Arial"/>
          <w:sz w:val="13"/>
          <w:szCs w:val="13"/>
          <w:color w:val="auto"/>
        </w:rPr>
        <w:t xml:space="preserve">In October 2009, an update was issued to </w:t>
      </w:r>
      <w:r>
        <w:rPr>
          <w:rFonts w:ascii="Arial" w:cs="Arial" w:eastAsia="Arial" w:hAnsi="Arial"/>
          <w:sz w:val="13"/>
          <w:szCs w:val="13"/>
          <w:i w:val="1"/>
          <w:iCs w:val="1"/>
          <w:color w:val="auto"/>
        </w:rPr>
        <w:t>Certain Arrangements that Include Software Elements</w:t>
      </w:r>
      <w:r>
        <w:rPr>
          <w:rFonts w:ascii="Arial" w:cs="Arial" w:eastAsia="Arial" w:hAnsi="Arial"/>
          <w:sz w:val="13"/>
          <w:szCs w:val="13"/>
          <w:color w:val="auto"/>
        </w:rPr>
        <w:t xml:space="preserve">.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 Company to account for many of its multiple element arrangements as non-software transactions and could impact the timing and amounts of revenue recognized. This update is effective for us beginning January 1, 2011, although early adoption is permitted, and adoption can be applied prospectively or retrospectively. The adoption of this update will affect our multiple-element arrangements that contain tangible products (hardware) with software elements, which comprise the majority of our revenue transactions. Previously, for arrangements accounted for under Statement of Position 97-2, </w:t>
      </w:r>
      <w:r>
        <w:rPr>
          <w:rFonts w:ascii="Arial" w:cs="Arial" w:eastAsia="Arial" w:hAnsi="Arial"/>
          <w:sz w:val="13"/>
          <w:szCs w:val="13"/>
          <w:i w:val="1"/>
          <w:iCs w:val="1"/>
          <w:color w:val="auto"/>
        </w:rPr>
        <w:t>Software Revenue Recognition</w:t>
      </w:r>
      <w:r>
        <w:rPr>
          <w:rFonts w:ascii="Arial" w:cs="Arial" w:eastAsia="Arial" w:hAnsi="Arial"/>
          <w:sz w:val="13"/>
          <w:szCs w:val="13"/>
          <w:color w:val="auto"/>
        </w:rPr>
        <w:t>, revenue from transactions for which vendor specific objective evidence of fair value ("VSOE") did not exist for each undelivered element of the transaction would</w:t>
      </w:r>
      <w:r>
        <w:rPr>
          <w:rFonts w:ascii="Arial" w:cs="Arial" w:eastAsia="Arial" w:hAnsi="Arial"/>
          <w:sz w:val="13"/>
          <w:szCs w:val="13"/>
          <w:i w:val="1"/>
          <w:iCs w:val="1"/>
          <w:color w:val="auto"/>
        </w:rPr>
        <w:t xml:space="preserve"> </w:t>
      </w:r>
      <w:r>
        <w:rPr>
          <w:rFonts w:ascii="Arial" w:cs="Arial" w:eastAsia="Arial" w:hAnsi="Arial"/>
          <w:sz w:val="13"/>
          <w:szCs w:val="13"/>
          <w:color w:val="auto"/>
        </w:rPr>
        <w:t>remain deferred until either VSOE was established or the undelivered element was delivered. The new guidance prescribes a methodology for determining the fair value, or best estimated selling price, of deliverables on an individual element basis, including elements for which VSOE previously did not exist. Although each element will be allocated a best estimated selling price under the new methodology, the timing of revenue recognition will generally not be affected because the revenue from the majority of our sales contracts for multiple-element arrangements is recognized either upon shipment of the products or upon customer acceptance. Customer acceptance generally does not occur until either both shipment of product and delivery of professional services or the expiration date of the contractual acceptance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period. Accordingly, we believe that the adoption of this update will not have a material effect on our consolidated financial position or results of operations.</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are exposed to a variety of market risks, including changes in interest rates affecting the return on our investments and foreign currency fluctuations.</w:t>
      </w:r>
    </w:p>
    <w:p>
      <w:pPr>
        <w:spacing w:after="0" w:line="189" w:lineRule="exact"/>
        <w:rPr>
          <w:sz w:val="20"/>
          <w:szCs w:val="20"/>
          <w:color w:val="auto"/>
        </w:rPr>
      </w:pPr>
    </w:p>
    <w:p>
      <w:pPr>
        <w:ind w:firstLine="276"/>
        <w:spacing w:after="0" w:line="264" w:lineRule="auto"/>
        <w:rPr>
          <w:sz w:val="20"/>
          <w:szCs w:val="20"/>
          <w:color w:val="auto"/>
        </w:rPr>
      </w:pPr>
      <w:r>
        <w:rPr>
          <w:rFonts w:ascii="Arial" w:cs="Arial" w:eastAsia="Arial" w:hAnsi="Arial"/>
          <w:sz w:val="14"/>
          <w:szCs w:val="14"/>
          <w:color w:val="auto"/>
        </w:rPr>
        <w:t>At December 31, 2010, our cash, cash equivalents, marketable securities and long-term investments totaled $408.4 million. We maintain an investment portfolio of various holdings, types and maturities which may include money market funds, commercial paper, corporate notes, certificates of deposit and government debt securities. At any time a sharp rise in market interest rates could have a material adverse impact on the fair value of our investment portfolio. Conversely, declines in market interest rates could have a material impact on the interest earnings of our investment portfolio. We do not currently hedge these interest rate exposures. We place our investments with high quality issuers and have policies limiting, among other things, the amount of credit exposure to any one issuer. We seek to limit default risk by purchasing only investment grade securities. We manage potential losses in fair value by investing in relatively short-term investments, thereby allowing us to hold our investments to maturity. A hypothetical movement of plus or minus 50 basis points in market interest rates could affect the value of our investment portfolio by approximately $0.9 million. However, we have the ability to hold our investments until maturity, and therefore do not expect our operating results or cash flows to be affected to any significant degree by the effect of a sudden change in market interest rates on our investment portfolio.</w:t>
      </w:r>
    </w:p>
    <w:p>
      <w:pPr>
        <w:spacing w:after="0" w:line="157"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Based on a hypothetical 10% adverse movement in all foreign currency exchange rates, our revenue would be adversely affected by approximately $1.9 million and our net loss would be adversely affected by approximately $0.7 million, although the actual effects may differ materially from the hypothetical analysis.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color w:val="0000EE"/>
                <w:w w:val="90"/>
              </w:rPr>
            </w:pPr>
            <w:hyperlink w:anchor="page2">
              <w:r>
                <w:rPr>
                  <w:rFonts w:ascii="Arial" w:cs="Arial" w:eastAsia="Arial" w:hAnsi="Arial"/>
                  <w:sz w:val="14"/>
                  <w:szCs w:val="14"/>
                  <w:color w:val="0000EE"/>
                  <w:w w:val="90"/>
                </w:rPr>
                <w:t>Table of Contents</w:t>
              </w:r>
            </w:hyperlink>
          </w:p>
        </w:tc>
        <w:tc>
          <w:tcPr>
            <w:tcW w:w="8640" w:type="dxa"/>
            <w:vAlign w:val="bottom"/>
            <w:gridSpan w:val="8"/>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61"/>
        </w:trPr>
        <w:tc>
          <w:tcPr>
            <w:tcW w:w="9660" w:type="dxa"/>
            <w:vAlign w:val="bottom"/>
            <w:gridSpan w:val="9"/>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gridSpan w:val="7"/>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Report of Independent Registered Public Accounting Firm</w:t>
              </w:r>
            </w:hyperlink>
          </w:p>
        </w:tc>
        <w:tc>
          <w:tcPr>
            <w:tcW w:w="1800" w:type="dxa"/>
            <w:vAlign w:val="bottom"/>
            <w:gridSpan w:val="3"/>
          </w:tcPr>
          <w:p>
            <w:pPr>
              <w:jc w:val="right"/>
              <w:ind w:right="1280"/>
              <w:spacing w:after="0"/>
              <w:rPr>
                <w:rFonts w:ascii="Arial" w:cs="Arial" w:eastAsia="Arial" w:hAnsi="Arial"/>
                <w:sz w:val="14"/>
                <w:szCs w:val="14"/>
                <w:color w:val="0000EE"/>
              </w:rPr>
            </w:pPr>
            <w:hyperlink w:anchor="page57">
              <w:r>
                <w:rPr>
                  <w:rFonts w:ascii="Arial" w:cs="Arial" w:eastAsia="Arial" w:hAnsi="Arial"/>
                  <w:sz w:val="14"/>
                  <w:szCs w:val="14"/>
                  <w:color w:val="0000EE"/>
                </w:rPr>
                <w:t>55</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gridSpan w:val="7"/>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Consolidated Balance Sheets as of December 31, 2010 and 2009</w:t>
              </w:r>
            </w:hyperlink>
          </w:p>
        </w:tc>
        <w:tc>
          <w:tcPr>
            <w:tcW w:w="1800" w:type="dxa"/>
            <w:vAlign w:val="bottom"/>
            <w:gridSpan w:val="3"/>
          </w:tcPr>
          <w:p>
            <w:pPr>
              <w:jc w:val="right"/>
              <w:ind w:right="1280"/>
              <w:spacing w:after="0"/>
              <w:rPr>
                <w:rFonts w:ascii="Arial" w:cs="Arial" w:eastAsia="Arial" w:hAnsi="Arial"/>
                <w:sz w:val="14"/>
                <w:szCs w:val="14"/>
                <w:color w:val="0000EE"/>
              </w:rPr>
            </w:pPr>
            <w:hyperlink w:anchor="page58">
              <w:r>
                <w:rPr>
                  <w:rFonts w:ascii="Arial" w:cs="Arial" w:eastAsia="Arial" w:hAnsi="Arial"/>
                  <w:sz w:val="14"/>
                  <w:szCs w:val="14"/>
                  <w:color w:val="0000EE"/>
                </w:rPr>
                <w:t>56</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gridSpan w:val="7"/>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Consolidated Statements of Operations for the years ended December 31, 2010, 2009 and 2008</w:t>
              </w:r>
            </w:hyperlink>
          </w:p>
        </w:tc>
        <w:tc>
          <w:tcPr>
            <w:tcW w:w="1800" w:type="dxa"/>
            <w:vAlign w:val="bottom"/>
            <w:gridSpan w:val="3"/>
          </w:tcPr>
          <w:p>
            <w:pPr>
              <w:jc w:val="right"/>
              <w:ind w:right="1280"/>
              <w:spacing w:after="0"/>
              <w:rPr>
                <w:rFonts w:ascii="Arial" w:cs="Arial" w:eastAsia="Arial" w:hAnsi="Arial"/>
                <w:sz w:val="14"/>
                <w:szCs w:val="14"/>
                <w:color w:val="0000EE"/>
              </w:rPr>
            </w:pPr>
            <w:hyperlink w:anchor="page59">
              <w:r>
                <w:rPr>
                  <w:rFonts w:ascii="Arial" w:cs="Arial" w:eastAsia="Arial" w:hAnsi="Arial"/>
                  <w:sz w:val="14"/>
                  <w:szCs w:val="14"/>
                  <w:color w:val="0000EE"/>
                </w:rPr>
                <w:t>57</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00" w:type="dxa"/>
            <w:vAlign w:val="bottom"/>
            <w:gridSpan w:val="7"/>
          </w:tcPr>
          <w:p>
            <w:pPr>
              <w:spacing w:after="0"/>
              <w:rPr>
                <w:rFonts w:ascii="Arial" w:cs="Arial" w:eastAsia="Arial" w:hAnsi="Arial"/>
                <w:sz w:val="14"/>
                <w:szCs w:val="14"/>
                <w:color w:val="0000EE"/>
                <w:w w:val="95"/>
              </w:rPr>
            </w:pPr>
            <w:hyperlink w:anchor="page60">
              <w:r>
                <w:rPr>
                  <w:rFonts w:ascii="Arial" w:cs="Arial" w:eastAsia="Arial" w:hAnsi="Arial"/>
                  <w:sz w:val="14"/>
                  <w:szCs w:val="14"/>
                  <w:color w:val="0000EE"/>
                  <w:w w:val="95"/>
                </w:rPr>
                <w:t>Consolidated Statements of Changes in Stockholders' Equity and Comprehensive Loss for the years ended December 31, 2010, 2009 and 2008</w:t>
              </w:r>
            </w:hyperlink>
          </w:p>
        </w:tc>
        <w:tc>
          <w:tcPr>
            <w:tcW w:w="1800" w:type="dxa"/>
            <w:vAlign w:val="bottom"/>
            <w:gridSpan w:val="3"/>
          </w:tcPr>
          <w:p>
            <w:pPr>
              <w:jc w:val="right"/>
              <w:ind w:right="1280"/>
              <w:spacing w:after="0"/>
              <w:rPr>
                <w:rFonts w:ascii="Arial" w:cs="Arial" w:eastAsia="Arial" w:hAnsi="Arial"/>
                <w:sz w:val="14"/>
                <w:szCs w:val="14"/>
                <w:color w:val="0000EE"/>
              </w:rPr>
            </w:pPr>
            <w:hyperlink w:anchor="page60">
              <w:r>
                <w:rPr>
                  <w:rFonts w:ascii="Arial" w:cs="Arial" w:eastAsia="Arial" w:hAnsi="Arial"/>
                  <w:sz w:val="14"/>
                  <w:szCs w:val="14"/>
                  <w:color w:val="0000EE"/>
                </w:rPr>
                <w:t>58</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00" w:type="dxa"/>
            <w:vAlign w:val="bottom"/>
            <w:gridSpan w:val="6"/>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Consolidated Statements of Cash Flows for the years ended December 31, 2010, 2009 and 2008</w:t>
              </w:r>
            </w:hyperlink>
          </w:p>
        </w:tc>
        <w:tc>
          <w:tcPr>
            <w:tcW w:w="400" w:type="dxa"/>
            <w:vAlign w:val="bottom"/>
          </w:tcPr>
          <w:p>
            <w:pPr>
              <w:spacing w:after="0"/>
              <w:rPr>
                <w:sz w:val="24"/>
                <w:szCs w:val="24"/>
                <w:color w:val="auto"/>
              </w:rPr>
            </w:pPr>
          </w:p>
        </w:tc>
        <w:tc>
          <w:tcPr>
            <w:tcW w:w="1800" w:type="dxa"/>
            <w:vAlign w:val="bottom"/>
            <w:gridSpan w:val="3"/>
          </w:tcPr>
          <w:p>
            <w:pPr>
              <w:jc w:val="right"/>
              <w:ind w:right="1280"/>
              <w:spacing w:after="0"/>
              <w:rPr>
                <w:rFonts w:ascii="Arial" w:cs="Arial" w:eastAsia="Arial" w:hAnsi="Arial"/>
                <w:sz w:val="14"/>
                <w:szCs w:val="14"/>
                <w:color w:val="0000EE"/>
              </w:rPr>
            </w:pPr>
            <w:hyperlink w:anchor="page61">
              <w:r>
                <w:rPr>
                  <w:rFonts w:ascii="Arial" w:cs="Arial" w:eastAsia="Arial" w:hAnsi="Arial"/>
                  <w:sz w:val="14"/>
                  <w:szCs w:val="14"/>
                  <w:color w:val="0000EE"/>
                </w:rPr>
                <w:t>59</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3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5"/>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Notes to Consolidated Financial Statements</w:t>
              </w:r>
            </w:hyperlink>
          </w:p>
        </w:tc>
        <w:tc>
          <w:tcPr>
            <w:tcW w:w="3060" w:type="dxa"/>
            <w:vAlign w:val="bottom"/>
            <w:gridSpan w:val="2"/>
          </w:tcPr>
          <w:p>
            <w:pPr>
              <w:spacing w:after="0"/>
              <w:rPr>
                <w:sz w:val="24"/>
                <w:szCs w:val="24"/>
                <w:color w:val="auto"/>
              </w:rPr>
            </w:pPr>
          </w:p>
        </w:tc>
        <w:tc>
          <w:tcPr>
            <w:tcW w:w="1800" w:type="dxa"/>
            <w:vAlign w:val="bottom"/>
            <w:gridSpan w:val="3"/>
          </w:tcPr>
          <w:p>
            <w:pPr>
              <w:jc w:val="right"/>
              <w:ind w:right="1280"/>
              <w:spacing w:after="0"/>
              <w:rPr>
                <w:rFonts w:ascii="Arial" w:cs="Arial" w:eastAsia="Arial" w:hAnsi="Arial"/>
                <w:sz w:val="14"/>
                <w:szCs w:val="14"/>
                <w:color w:val="0000EE"/>
              </w:rPr>
            </w:pPr>
            <w:hyperlink w:anchor="page62">
              <w:r>
                <w:rPr>
                  <w:rFonts w:ascii="Arial" w:cs="Arial" w:eastAsia="Arial" w:hAnsi="Arial"/>
                  <w:sz w:val="14"/>
                  <w:szCs w:val="14"/>
                  <w:color w:val="0000EE"/>
                </w:rPr>
                <w:t>60</w:t>
              </w:r>
            </w:hyperlink>
          </w:p>
        </w:tc>
      </w:tr>
      <w:tr>
        <w:trPr>
          <w:trHeight w:val="361"/>
        </w:trPr>
        <w:tc>
          <w:tcPr>
            <w:tcW w:w="1160" w:type="dxa"/>
            <w:vAlign w:val="bottom"/>
            <w:gridSpan w:val="2"/>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2920" w:type="dxa"/>
            <w:vAlign w:val="bottom"/>
            <w:gridSpan w:val="3"/>
          </w:tcPr>
          <w:p>
            <w:pPr>
              <w:jc w:val="right"/>
              <w:ind w:right="760"/>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10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8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7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6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Sonus Networks,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Westford, Massachusetts</w:t>
      </w:r>
    </w:p>
    <w:p>
      <w:pPr>
        <w:spacing w:after="0" w:line="183" w:lineRule="exact"/>
        <w:rPr>
          <w:sz w:val="20"/>
          <w:szCs w:val="20"/>
          <w:color w:val="auto"/>
        </w:rPr>
      </w:pPr>
    </w:p>
    <w:p>
      <w:pPr>
        <w:ind w:right="500" w:firstLine="282"/>
        <w:spacing w:after="0" w:line="275" w:lineRule="auto"/>
        <w:rPr>
          <w:sz w:val="20"/>
          <w:szCs w:val="20"/>
          <w:color w:val="auto"/>
        </w:rPr>
      </w:pPr>
      <w:r>
        <w:rPr>
          <w:rFonts w:ascii="Arial" w:cs="Arial" w:eastAsia="Arial" w:hAnsi="Arial"/>
          <w:sz w:val="14"/>
          <w:szCs w:val="14"/>
          <w:color w:val="auto"/>
        </w:rPr>
        <w:t>We have audited the accompanying consolidated balance sheets of Sonus Networks, Inc. and subsidiaries (the "Company") as of December 31, 2010 and 2009, and the related consolidated statements of operations, stockholders' equity and comprehensive loss, and cash flows for each of the three years in the period ended December 31, 2010. These financial statements are the responsibility of the Company's management. Our responsibility is to express an opinion on the financial statements based on our audits.</w:t>
      </w:r>
    </w:p>
    <w:p>
      <w:pPr>
        <w:spacing w:after="0" w:line="146" w:lineRule="exact"/>
        <w:rPr>
          <w:sz w:val="20"/>
          <w:szCs w:val="20"/>
          <w:color w:val="auto"/>
        </w:rPr>
      </w:pPr>
    </w:p>
    <w:p>
      <w:pPr>
        <w:ind w:firstLine="282"/>
        <w:spacing w:after="0" w:line="270"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0" w:lineRule="exact"/>
        <w:rPr>
          <w:sz w:val="20"/>
          <w:szCs w:val="20"/>
          <w:color w:val="auto"/>
        </w:rPr>
      </w:pPr>
    </w:p>
    <w:p>
      <w:pPr>
        <w:jc w:val="both"/>
        <w:ind w:right="20" w:firstLine="284"/>
        <w:spacing w:after="0" w:line="275" w:lineRule="auto"/>
        <w:rPr>
          <w:sz w:val="20"/>
          <w:szCs w:val="20"/>
          <w:color w:val="auto"/>
        </w:rPr>
      </w:pPr>
      <w:r>
        <w:rPr>
          <w:rFonts w:ascii="Arial" w:cs="Arial" w:eastAsia="Arial" w:hAnsi="Arial"/>
          <w:sz w:val="14"/>
          <w:szCs w:val="14"/>
          <w:color w:val="auto"/>
        </w:rPr>
        <w:t>In our opinion, such consolidated financial statements present fairly, in all material respects, the financial position of Sonus Networks, Inc. and subsidiaries as of December 31, 2010 and 2009, and the results of their operations and their cash flows for each of the three years in the period ended December 31, 2010, in conformity with accounting principles generally accepted in the United States of America.</w:t>
      </w:r>
    </w:p>
    <w:p>
      <w:pPr>
        <w:spacing w:after="0" w:line="146" w:lineRule="exact"/>
        <w:rPr>
          <w:sz w:val="20"/>
          <w:szCs w:val="20"/>
          <w:color w:val="auto"/>
        </w:rPr>
      </w:pPr>
    </w:p>
    <w:p>
      <w:pPr>
        <w:ind w:right="260" w:firstLine="282"/>
        <w:spacing w:after="0" w:line="275"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and our report dated March 10, 2011 expressed an unqualified opinion on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March 10, 2011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Consolidated Balance Sheets</w:t>
      </w:r>
    </w:p>
    <w:p>
      <w:pPr>
        <w:spacing w:after="0" w:line="189"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(in thousands, except share data)</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7340" w:type="dxa"/>
            <w:vAlign w:val="bottom"/>
          </w:tcPr>
          <w:p>
            <w:pPr>
              <w:spacing w:after="0"/>
              <w:rPr>
                <w:sz w:val="10"/>
                <w:szCs w:val="1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4"/>
              </w:rPr>
              <w:t>December 31,</w:t>
            </w:r>
          </w:p>
        </w:tc>
        <w:tc>
          <w:tcPr>
            <w:tcW w:w="9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31"/>
        </w:trPr>
        <w:tc>
          <w:tcPr>
            <w:tcW w:w="7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734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tcPr>
          <w:p>
            <w:pPr>
              <w:ind w:left="100"/>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258,831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239,223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tcPr>
          <w:p>
            <w:pPr>
              <w:ind w:left="100"/>
              <w:spacing w:after="0"/>
              <w:rPr>
                <w:sz w:val="20"/>
                <w:szCs w:val="20"/>
                <w:color w:val="auto"/>
              </w:rPr>
            </w:pPr>
            <w:r>
              <w:rPr>
                <w:rFonts w:ascii="Arial" w:cs="Arial" w:eastAsia="Arial" w:hAnsi="Arial"/>
                <w:sz w:val="14"/>
                <w:szCs w:val="14"/>
                <w:color w:val="auto"/>
              </w:rPr>
              <w:t>Inventory, net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21,925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10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452,539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73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14,646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tcPr>
          <w:p>
            <w:pPr>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3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555,954</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540,737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734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19,292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deferred revenue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100"/>
              <w:spacing w:after="0"/>
              <w:rPr>
                <w:sz w:val="20"/>
                <w:szCs w:val="20"/>
                <w:color w:val="auto"/>
              </w:rPr>
            </w:pPr>
            <w:r>
              <w:rPr>
                <w:rFonts w:ascii="Arial" w:cs="Arial" w:eastAsia="Arial" w:hAnsi="Arial"/>
                <w:sz w:val="14"/>
                <w:szCs w:val="14"/>
                <w:color w:val="auto"/>
              </w:rPr>
              <w:t>Current portion of long-term liabilities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7340" w:type="dxa"/>
            <w:vAlign w:val="bottom"/>
          </w:tcPr>
          <w:p>
            <w:pPr>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42,811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Long-term liabilities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40" w:type="dxa"/>
            <w:vAlign w:val="bottom"/>
            <w:vMerge w:val="restart"/>
          </w:tcPr>
          <w:p>
            <w:pPr>
              <w:ind w:left="32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3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136,998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22)</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340" w:type="dxa"/>
            <w:vAlign w:val="bottom"/>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$0.01 par value; 5,000,000 shares authorized, none issued and outstanding</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7340" w:type="dxa"/>
            <w:vAlign w:val="bottom"/>
          </w:tcPr>
          <w:p>
            <w:pPr>
              <w:ind w:left="100"/>
              <w:spacing w:after="0"/>
              <w:rPr>
                <w:sz w:val="20"/>
                <w:szCs w:val="20"/>
                <w:color w:val="auto"/>
              </w:rPr>
            </w:pPr>
            <w:r>
              <w:rPr>
                <w:rFonts w:ascii="Arial" w:cs="Arial" w:eastAsia="Arial" w:hAnsi="Arial"/>
                <w:sz w:val="14"/>
                <w:szCs w:val="14"/>
                <w:color w:val="auto"/>
              </w:rPr>
              <w:t>Common stock, $0.001 par value; 600,000,000 shares authorized; 277,170,262 shares issued and outstanding at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340" w:type="dxa"/>
            <w:vAlign w:val="bottom"/>
          </w:tcPr>
          <w:p>
            <w:pPr>
              <w:ind w:left="240"/>
              <w:spacing w:after="0"/>
              <w:rPr>
                <w:sz w:val="20"/>
                <w:szCs w:val="20"/>
                <w:color w:val="auto"/>
              </w:rPr>
            </w:pPr>
            <w:r>
              <w:rPr>
                <w:rFonts w:ascii="Arial" w:cs="Arial" w:eastAsia="Arial" w:hAnsi="Arial"/>
                <w:sz w:val="14"/>
                <w:szCs w:val="14"/>
                <w:color w:val="auto"/>
              </w:rPr>
              <w:t>December 31, 2010; 276,792,897 shares issued and 274,495,987 shares outstanding at December 31, 2009</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1,301,285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1,286,326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40" w:type="dxa"/>
            <w:vAlign w:val="bottom"/>
          </w:tcPr>
          <w:p>
            <w:pPr>
              <w:ind w:left="10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(889,501)</w:t>
            </w:r>
          </w:p>
        </w:tc>
        <w:tc>
          <w:tcPr>
            <w:tcW w:w="1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(878,810)</w:t>
            </w: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40" w:type="dxa"/>
            <w:vAlign w:val="bottom"/>
          </w:tcPr>
          <w:p>
            <w:pPr>
              <w:ind w:left="100"/>
              <w:spacing w:after="0"/>
              <w:rPr>
                <w:sz w:val="20"/>
                <w:szCs w:val="20"/>
                <w:color w:val="auto"/>
              </w:rPr>
            </w:pPr>
            <w:r>
              <w:rPr>
                <w:rFonts w:ascii="Arial" w:cs="Arial" w:eastAsia="Arial" w:hAnsi="Arial"/>
                <w:sz w:val="14"/>
                <w:szCs w:val="14"/>
                <w:color w:val="auto"/>
              </w:rPr>
              <w:t>Treasury stock, at cost; 2,296,910 common shares at December 31, 2009</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418,956</w:t>
            </w:r>
          </w:p>
        </w:tc>
        <w:tc>
          <w:tcPr>
            <w:tcW w:w="1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414,238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3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555,954</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540,737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14"/>
          <w:szCs w:val="14"/>
          <w:color w:val="auto"/>
        </w:rPr>
        <w:t>See notes to the consolidated financial statements.</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0320"/>
          </w:cols>
          <w:pgMar w:left="220" w:top="132" w:right="13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9"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(in thousands, except per share data)</w:t>
      </w:r>
    </w:p>
    <w:p>
      <w:pPr>
        <w:spacing w:after="0" w:line="233"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6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6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70"/>
              <w:spacing w:after="0" w:line="111" w:lineRule="exact"/>
              <w:rPr>
                <w:sz w:val="20"/>
                <w:szCs w:val="20"/>
                <w:color w:val="auto"/>
              </w:rPr>
            </w:pPr>
            <w:r>
              <w:rPr>
                <w:rFonts w:ascii="Arial" w:cs="Arial" w:eastAsia="Arial" w:hAnsi="Arial"/>
                <w:sz w:val="11"/>
                <w:szCs w:val="11"/>
                <w:b w:val="1"/>
                <w:bCs w:val="1"/>
                <w:color w:val="auto"/>
                <w:w w:val="97"/>
              </w:rPr>
              <w:t>2010</w:t>
            </w: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69"/>
              <w:spacing w:after="0" w:line="111" w:lineRule="exact"/>
              <w:rPr>
                <w:sz w:val="20"/>
                <w:szCs w:val="20"/>
                <w:color w:val="auto"/>
              </w:rPr>
            </w:pPr>
            <w:r>
              <w:rPr>
                <w:rFonts w:ascii="Arial" w:cs="Arial" w:eastAsia="Arial" w:hAnsi="Arial"/>
                <w:sz w:val="11"/>
                <w:szCs w:val="11"/>
                <w:b w:val="1"/>
                <w:bCs w:val="1"/>
                <w:color w:val="auto"/>
                <w:w w:val="97"/>
              </w:rPr>
              <w:t>2009</w:t>
            </w: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89"/>
              <w:spacing w:after="0" w:line="11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100"/>
              <w:spacing w:after="0"/>
              <w:rPr>
                <w:sz w:val="20"/>
                <w:szCs w:val="20"/>
                <w:color w:val="auto"/>
              </w:rPr>
            </w:pPr>
            <w:r>
              <w:rPr>
                <w:rFonts w:ascii="Arial" w:cs="Arial" w:eastAsia="Arial" w:hAnsi="Arial"/>
                <w:sz w:val="14"/>
                <w:szCs w:val="14"/>
                <w:color w:val="auto"/>
              </w:rPr>
              <w:t>Product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146,583</w:t>
            </w:r>
          </w:p>
        </w:tc>
        <w:tc>
          <w:tcPr>
            <w:tcW w:w="1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136,276</w:t>
            </w:r>
          </w:p>
        </w:tc>
        <w:tc>
          <w:tcPr>
            <w:tcW w:w="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203,387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102,724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ind w:left="220"/>
              <w:spacing w:after="0"/>
              <w:rPr>
                <w:sz w:val="20"/>
                <w:szCs w:val="20"/>
                <w:color w:val="auto"/>
              </w:rPr>
            </w:pPr>
            <w:r>
              <w:rPr>
                <w:rFonts w:ascii="Arial" w:cs="Arial" w:eastAsia="Arial" w:hAnsi="Arial"/>
                <w:sz w:val="14"/>
                <w:szCs w:val="14"/>
                <w:color w:val="auto"/>
              </w:rPr>
              <w:t>Total revenue</w:t>
            </w: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6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249,307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227,496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100"/>
              <w:spacing w:after="0"/>
              <w:rPr>
                <w:sz w:val="20"/>
                <w:szCs w:val="20"/>
                <w:color w:val="auto"/>
              </w:rPr>
            </w:pPr>
            <w:r>
              <w:rPr>
                <w:rFonts w:ascii="Arial" w:cs="Arial" w:eastAsia="Arial" w:hAnsi="Arial"/>
                <w:sz w:val="14"/>
                <w:szCs w:val="14"/>
                <w:color w:val="auto"/>
              </w:rPr>
              <w:t>Product</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48,163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38,893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74,274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Service</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ind w:left="220"/>
              <w:spacing w:after="0"/>
              <w:rPr>
                <w:sz w:val="20"/>
                <w:szCs w:val="20"/>
                <w:color w:val="auto"/>
              </w:rPr>
            </w:pPr>
            <w:r>
              <w:rPr>
                <w:rFonts w:ascii="Arial" w:cs="Arial" w:eastAsia="Arial" w:hAnsi="Arial"/>
                <w:sz w:val="14"/>
                <w:szCs w:val="14"/>
                <w:color w:val="auto"/>
              </w:rPr>
              <w:t>Total cost of revenue</w:t>
            </w: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6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96,155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83,360</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153,152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144,136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182,851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73,098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10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51,033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48,929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74,364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62,045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100"/>
              <w:spacing w:after="0"/>
              <w:rPr>
                <w:sz w:val="20"/>
                <w:szCs w:val="20"/>
                <w:color w:val="auto"/>
              </w:rPr>
            </w:pPr>
            <w:r>
              <w:rPr>
                <w:rFonts w:ascii="Arial" w:cs="Arial" w:eastAsia="Arial" w:hAnsi="Arial"/>
                <w:sz w:val="14"/>
                <w:szCs w:val="14"/>
                <w:color w:val="auto"/>
              </w:rPr>
              <w:t>Litigation settlements, net of insurance recovery</w:t>
            </w:r>
          </w:p>
        </w:tc>
        <w:tc>
          <w:tcPr>
            <w:tcW w:w="2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19,100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Impairment of intangible assets</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100"/>
              <w:spacing w:after="0"/>
              <w:rPr>
                <w:sz w:val="20"/>
                <w:szCs w:val="20"/>
                <w:color w:val="auto"/>
              </w:rPr>
            </w:pPr>
            <w:r>
              <w:rPr>
                <w:rFonts w:ascii="Arial" w:cs="Arial" w:eastAsia="Arial" w:hAnsi="Arial"/>
                <w:sz w:val="14"/>
                <w:szCs w:val="14"/>
                <w:color w:val="auto"/>
              </w:rPr>
              <w:t>Restructuring</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164,711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155,520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232,036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62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(11,559)</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(11,384)</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(49,185)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(191)</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75"/>
        </w:trPr>
        <w:tc>
          <w:tcPr>
            <w:tcW w:w="6620" w:type="dxa"/>
            <w:vAlign w:val="bottom"/>
          </w:tcPr>
          <w:p>
            <w:pPr>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12,643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spacing w:after="0"/>
              <w:rPr>
                <w:sz w:val="20"/>
                <w:szCs w:val="20"/>
                <w:color w:val="auto"/>
              </w:rPr>
            </w:pPr>
            <w:r>
              <w:rPr>
                <w:rFonts w:ascii="Arial" w:cs="Arial" w:eastAsia="Arial" w:hAnsi="Arial"/>
                <w:sz w:val="14"/>
                <w:szCs w:val="14"/>
                <w:color w:val="auto"/>
              </w:rPr>
              <w:t>Loss from continuing operations before income taxes</w:t>
            </w: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62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(9,998)</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(7,391)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(36,475)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(79,675)</w:t>
            </w:r>
          </w:p>
        </w:tc>
        <w:tc>
          <w:tcPr>
            <w:tcW w:w="0" w:type="dxa"/>
            <w:vAlign w:val="bottom"/>
          </w:tcPr>
          <w:p>
            <w:pPr>
              <w:spacing w:after="0"/>
              <w:rPr>
                <w:sz w:val="1"/>
                <w:szCs w:val="1"/>
                <w:color w:val="auto"/>
              </w:rPr>
            </w:pPr>
          </w:p>
        </w:tc>
      </w:tr>
      <w:tr>
        <w:trPr>
          <w:trHeight w:val="22"/>
        </w:trPr>
        <w:tc>
          <w:tcPr>
            <w:tcW w:w="6620" w:type="dxa"/>
            <w:vAlign w:val="bottom"/>
            <w:vMerge w:val="restart"/>
          </w:tcPr>
          <w:p>
            <w:pPr>
              <w:spacing w:after="0"/>
              <w:rPr>
                <w:sz w:val="20"/>
                <w:szCs w:val="20"/>
                <w:color w:val="auto"/>
              </w:rPr>
            </w:pPr>
            <w:r>
              <w:rPr>
                <w:rFonts w:ascii="Arial" w:cs="Arial" w:eastAsia="Arial" w:hAnsi="Arial"/>
                <w:sz w:val="14"/>
                <w:szCs w:val="14"/>
                <w:color w:val="auto"/>
              </w:rPr>
              <w:t>Loss from continuing operations</w:t>
            </w: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62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(10,691)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(116,150)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Loss from discontinued operations, net of tax of $969</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(4,491)</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Arial" w:cs="Arial" w:eastAsia="Arial" w:hAnsi="Arial"/>
                <w:sz w:val="14"/>
                <w:szCs w:val="14"/>
                <w:color w:val="auto"/>
              </w:rPr>
              <w:t>Loss on disposal of discontinued operations, net of tax of $0</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(10,691)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(4,932)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(121,382)</w:t>
            </w:r>
          </w:p>
        </w:tc>
        <w:tc>
          <w:tcPr>
            <w:tcW w:w="0" w:type="dxa"/>
            <w:vAlign w:val="bottom"/>
          </w:tcPr>
          <w:p>
            <w:pPr>
              <w:spacing w:after="0"/>
              <w:rPr>
                <w:sz w:val="1"/>
                <w:szCs w:val="1"/>
                <w:color w:val="auto"/>
              </w:rPr>
            </w:pPr>
          </w:p>
        </w:tc>
      </w:tr>
      <w:tr>
        <w:trPr>
          <w:trHeight w:val="22"/>
        </w:trPr>
        <w:tc>
          <w:tcPr>
            <w:tcW w:w="6620" w:type="dxa"/>
            <w:vAlign w:val="bottom"/>
            <w:vMerge w:val="restart"/>
          </w:tcPr>
          <w:p>
            <w:pPr>
              <w:spacing w:after="0"/>
              <w:rPr>
                <w:sz w:val="20"/>
                <w:szCs w:val="20"/>
                <w:color w:val="auto"/>
              </w:rPr>
            </w:pPr>
            <w:r>
              <w:rPr>
                <w:rFonts w:ascii="Arial" w:cs="Arial" w:eastAsia="Arial" w:hAnsi="Arial"/>
                <w:sz w:val="14"/>
                <w:szCs w:val="14"/>
                <w:color w:val="auto"/>
              </w:rPr>
              <w:t>Loss per share</w:t>
            </w: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20"/>
              <w:spacing w:after="0"/>
              <w:rPr>
                <w:sz w:val="20"/>
                <w:szCs w:val="20"/>
                <w:color w:val="auto"/>
              </w:rPr>
            </w:pPr>
            <w:r>
              <w:rPr>
                <w:rFonts w:ascii="Arial" w:cs="Arial" w:eastAsia="Arial" w:hAnsi="Arial"/>
                <w:sz w:val="14"/>
                <w:szCs w:val="14"/>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(0.04)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6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20" w:type="dxa"/>
            <w:vAlign w:val="bottom"/>
            <w:shd w:val="clear" w:color="auto" w:fill="CCEEFF"/>
          </w:tcPr>
          <w:p>
            <w:pPr>
              <w:ind w:left="100"/>
              <w:spacing w:after="0" w:line="156" w:lineRule="exact"/>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220"/>
              <w:spacing w:after="0"/>
              <w:rPr>
                <w:sz w:val="20"/>
                <w:szCs w:val="20"/>
                <w:color w:val="auto"/>
              </w:rPr>
            </w:pPr>
            <w:r>
              <w:rPr>
                <w:rFonts w:ascii="Arial" w:cs="Arial" w:eastAsia="Arial" w:hAnsi="Arial"/>
                <w:sz w:val="14"/>
                <w:szCs w:val="14"/>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(0.04)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Discontinued operations</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6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Shares used to compute loss per share:</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10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275,470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273,730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271,477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275,470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273,730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271,477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14"/>
          <w:szCs w:val="14"/>
          <w:color w:val="auto"/>
        </w:rPr>
        <w:t>See notes to the consolidated financial statements.</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0320"/>
          </w:cols>
          <w:pgMar w:left="220" w:top="132" w:right="1359" w:bottom="1440" w:gutter="0" w:footer="0" w:header="0"/>
        </w:sectPr>
      </w:pPr>
    </w:p>
    <w:bookmarkStart w:id="59" w:name="page60"/>
    <w:bookmarkEnd w:id="59"/>
    <w:p>
      <w:pPr>
        <w:ind w:left="80"/>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 and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340"/>
              <w:spacing w:after="0" w:line="121"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right="320"/>
              <w:spacing w:after="0" w:line="121" w:lineRule="exact"/>
              <w:rPr>
                <w:sz w:val="20"/>
                <w:szCs w:val="20"/>
                <w:color w:val="auto"/>
              </w:rPr>
            </w:pPr>
            <w:r>
              <w:rPr>
                <w:rFonts w:ascii="Arial" w:cs="Arial" w:eastAsia="Arial" w:hAnsi="Arial"/>
                <w:sz w:val="11"/>
                <w:szCs w:val="11"/>
                <w:b w:val="1"/>
                <w:bCs w:val="1"/>
                <w:color w:val="auto"/>
                <w:w w:val="95"/>
              </w:rPr>
              <w:t>Other</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760" w:type="dxa"/>
            <w:vAlign w:val="bottom"/>
          </w:tcPr>
          <w:p>
            <w:pPr>
              <w:spacing w:after="0"/>
              <w:rPr>
                <w:sz w:val="4"/>
                <w:szCs w:val="4"/>
                <w:color w:val="auto"/>
              </w:rPr>
            </w:pPr>
          </w:p>
        </w:tc>
        <w:tc>
          <w:tcPr>
            <w:tcW w:w="1200" w:type="dxa"/>
            <w:vAlign w:val="bottom"/>
            <w:tcBorders>
              <w:bottom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jc w:val="right"/>
              <w:ind w:right="420"/>
              <w:spacing w:after="0" w:line="121" w:lineRule="exact"/>
              <w:rPr>
                <w:sz w:val="20"/>
                <w:szCs w:val="20"/>
                <w:color w:val="auto"/>
              </w:rPr>
            </w:pPr>
            <w:r>
              <w:rPr>
                <w:rFonts w:ascii="Arial" w:cs="Arial" w:eastAsia="Arial" w:hAnsi="Arial"/>
                <w:sz w:val="11"/>
                <w:szCs w:val="11"/>
                <w:b w:val="1"/>
                <w:bCs w:val="1"/>
                <w:color w:val="auto"/>
              </w:rPr>
              <w:t>Paid-in</w:t>
            </w:r>
          </w:p>
        </w:tc>
        <w:tc>
          <w:tcPr>
            <w:tcW w:w="760" w:type="dxa"/>
            <w:vAlign w:val="bottom"/>
            <w:gridSpan w:val="3"/>
            <w:vMerge w:val="restart"/>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Accumulated</w:t>
            </w:r>
          </w:p>
        </w:tc>
        <w:tc>
          <w:tcPr>
            <w:tcW w:w="860" w:type="dxa"/>
            <w:vAlign w:val="bottom"/>
            <w:gridSpan w:val="3"/>
            <w:vMerge w:val="restart"/>
          </w:tcPr>
          <w:p>
            <w:pPr>
              <w:jc w:val="center"/>
              <w:ind w:right="140"/>
              <w:spacing w:after="0" w:line="121" w:lineRule="exact"/>
              <w:rPr>
                <w:sz w:val="20"/>
                <w:szCs w:val="20"/>
                <w:color w:val="auto"/>
              </w:rPr>
            </w:pPr>
            <w:r>
              <w:rPr>
                <w:rFonts w:ascii="Arial" w:cs="Arial" w:eastAsia="Arial" w:hAnsi="Arial"/>
                <w:sz w:val="11"/>
                <w:szCs w:val="11"/>
                <w:b w:val="1"/>
                <w:bCs w:val="1"/>
                <w:color w:val="auto"/>
                <w:w w:val="87"/>
              </w:rPr>
              <w:t>Comprehensive</w:t>
            </w: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106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Par Value</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85"/>
              <w:spacing w:after="0"/>
              <w:rPr>
                <w:sz w:val="20"/>
                <w:szCs w:val="20"/>
                <w:color w:val="auto"/>
              </w:rPr>
            </w:pPr>
            <w:r>
              <w:rPr>
                <w:rFonts w:ascii="Arial" w:cs="Arial" w:eastAsia="Arial" w:hAnsi="Arial"/>
                <w:sz w:val="11"/>
                <w:szCs w:val="11"/>
                <w:b w:val="1"/>
                <w:bCs w:val="1"/>
                <w:color w:val="auto"/>
                <w:w w:val="89"/>
              </w:rPr>
              <w:t>Deficit</w:t>
            </w:r>
          </w:p>
        </w:tc>
        <w:tc>
          <w:tcPr>
            <w:tcW w:w="140" w:type="dxa"/>
            <w:vAlign w:val="bottom"/>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Income (Loss)</w:t>
            </w:r>
          </w:p>
        </w:tc>
        <w:tc>
          <w:tcPr>
            <w:tcW w:w="140" w:type="dxa"/>
            <w:vAlign w:val="bottom"/>
          </w:tcPr>
          <w:p>
            <w:pPr>
              <w:spacing w:after="0"/>
              <w:rPr>
                <w:sz w:val="11"/>
                <w:szCs w:val="11"/>
                <w:color w:val="auto"/>
              </w:rPr>
            </w:pPr>
          </w:p>
        </w:tc>
        <w:tc>
          <w:tcPr>
            <w:tcW w:w="360" w:type="dxa"/>
            <w:vAlign w:val="bottom"/>
            <w:tcBorders>
              <w:bottom w:val="single" w:sz="8" w:color="auto"/>
            </w:tcBorders>
          </w:tcPr>
          <w:p>
            <w:pPr>
              <w:ind w:left="300"/>
              <w:spacing w:after="0"/>
              <w:rPr>
                <w:sz w:val="20"/>
                <w:szCs w:val="20"/>
                <w:color w:val="auto"/>
              </w:rPr>
            </w:pPr>
            <w:r>
              <w:rPr>
                <w:rFonts w:ascii="Arial" w:cs="Arial" w:eastAsia="Arial" w:hAnsi="Arial"/>
                <w:sz w:val="8"/>
                <w:szCs w:val="8"/>
                <w:b w:val="1"/>
                <w:bCs w:val="1"/>
                <w:color w:val="auto"/>
                <w:w w:val="74"/>
              </w:rPr>
              <w:t>S</w:t>
            </w:r>
          </w:p>
        </w:tc>
        <w:tc>
          <w:tcPr>
            <w:tcW w:w="0" w:type="dxa"/>
            <w:vAlign w:val="bottom"/>
          </w:tcPr>
          <w:p>
            <w:pPr>
              <w:spacing w:after="0"/>
              <w:rPr>
                <w:sz w:val="1"/>
                <w:szCs w:val="1"/>
                <w:color w:val="auto"/>
              </w:rPr>
            </w:pPr>
          </w:p>
        </w:tc>
      </w:tr>
      <w:tr>
        <w:trPr>
          <w:trHeight w:val="111"/>
        </w:trPr>
        <w:tc>
          <w:tcPr>
            <w:tcW w:w="6760" w:type="dxa"/>
            <w:vAlign w:val="bottom"/>
            <w:shd w:val="clear" w:color="auto" w:fill="CCEEFF"/>
          </w:tcPr>
          <w:p>
            <w:pPr>
              <w:spacing w:after="0"/>
              <w:rPr>
                <w:sz w:val="9"/>
                <w:szCs w:val="9"/>
                <w:color w:val="auto"/>
              </w:rPr>
            </w:pPr>
          </w:p>
        </w:tc>
        <w:tc>
          <w:tcPr>
            <w:tcW w:w="10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b w:val="1"/>
                <w:bCs w:val="1"/>
                <w:color w:val="auto"/>
              </w:rPr>
              <w:t>272,565,951</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45"/>
              <w:spacing w:after="0" w:line="111" w:lineRule="exact"/>
              <w:rPr>
                <w:sz w:val="20"/>
                <w:szCs w:val="20"/>
                <w:color w:val="auto"/>
              </w:rPr>
            </w:pPr>
            <w:r>
              <w:rPr>
                <w:rFonts w:ascii="Arial" w:cs="Arial" w:eastAsia="Arial" w:hAnsi="Arial"/>
                <w:sz w:val="11"/>
                <w:szCs w:val="11"/>
                <w:b w:val="1"/>
                <w:bCs w:val="1"/>
                <w:color w:val="auto"/>
              </w:rPr>
              <w:t>$</w:t>
            </w:r>
          </w:p>
        </w:tc>
        <w:tc>
          <w:tcPr>
            <w:tcW w:w="42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b w:val="1"/>
                <w:bCs w:val="1"/>
                <w:color w:val="auto"/>
              </w:rPr>
              <w:t>273</w:t>
            </w:r>
          </w:p>
        </w:tc>
        <w:tc>
          <w:tcPr>
            <w:tcW w:w="160" w:type="dxa"/>
            <w:vAlign w:val="bottom"/>
            <w:shd w:val="clear" w:color="auto" w:fill="CCEEFF"/>
          </w:tcPr>
          <w:p>
            <w:pPr>
              <w:jc w:val="right"/>
              <w:ind w:right="5"/>
              <w:spacing w:after="0" w:line="111"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b w:val="1"/>
                <w:bCs w:val="1"/>
                <w:color w:val="auto"/>
              </w:rPr>
              <w:t>1,244,926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b w:val="1"/>
                <w:bCs w:val="1"/>
                <w:color w:val="auto"/>
              </w:rPr>
              <w:t>$</w:t>
            </w:r>
          </w:p>
        </w:tc>
        <w:tc>
          <w:tcPr>
            <w:tcW w:w="6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b w:val="1"/>
                <w:bCs w:val="1"/>
                <w:color w:val="auto"/>
              </w:rPr>
              <w:t>(752,496)</w:t>
            </w:r>
          </w:p>
        </w:tc>
        <w:tc>
          <w:tcPr>
            <w:tcW w:w="1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b w:val="1"/>
                <w:bCs w:val="1"/>
                <w:color w:val="auto"/>
              </w:rPr>
              <w:t>1,268</w:t>
            </w:r>
          </w:p>
        </w:tc>
        <w:tc>
          <w:tcPr>
            <w:tcW w:w="1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760" w:type="dxa"/>
            <w:vAlign w:val="bottom"/>
          </w:tcPr>
          <w:p>
            <w:pPr>
              <w:ind w:left="20"/>
              <w:spacing w:after="0" w:line="121" w:lineRule="exact"/>
              <w:rPr>
                <w:sz w:val="20"/>
                <w:szCs w:val="20"/>
                <w:color w:val="auto"/>
              </w:rPr>
            </w:pPr>
            <w:r>
              <w:rPr>
                <w:rFonts w:ascii="Arial" w:cs="Arial" w:eastAsia="Arial" w:hAnsi="Arial"/>
                <w:sz w:val="11"/>
                <w:szCs w:val="11"/>
                <w:color w:val="auto"/>
              </w:rPr>
              <w:t>urchase plan</w:t>
            </w:r>
          </w:p>
        </w:tc>
        <w:tc>
          <w:tcPr>
            <w:tcW w:w="1060" w:type="dxa"/>
            <w:vAlign w:val="bottom"/>
          </w:tcPr>
          <w:p>
            <w:pPr>
              <w:jc w:val="right"/>
              <w:spacing w:after="0" w:line="121" w:lineRule="exact"/>
              <w:rPr>
                <w:sz w:val="20"/>
                <w:szCs w:val="20"/>
                <w:color w:val="auto"/>
              </w:rPr>
            </w:pPr>
            <w:r>
              <w:rPr>
                <w:rFonts w:ascii="Arial" w:cs="Arial" w:eastAsia="Arial" w:hAnsi="Arial"/>
                <w:sz w:val="11"/>
                <w:szCs w:val="11"/>
                <w:color w:val="auto"/>
              </w:rPr>
              <w:t>1,321,328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3,755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184,845</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437</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jc w:val="right"/>
              <w:spacing w:after="0" w:line="121" w:lineRule="exact"/>
              <w:rPr>
                <w:sz w:val="20"/>
                <w:szCs w:val="20"/>
                <w:color w:val="auto"/>
              </w:rPr>
            </w:pPr>
            <w:r>
              <w:rPr>
                <w:rFonts w:ascii="Arial" w:cs="Arial" w:eastAsia="Arial" w:hAnsi="Arial"/>
                <w:sz w:val="11"/>
                <w:szCs w:val="11"/>
                <w:color w:val="auto"/>
              </w:rPr>
              <w:t>1,433,766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are settlements to satisfy tax withholding obligations</w:t>
            </w:r>
          </w:p>
        </w:tc>
        <w:tc>
          <w:tcPr>
            <w:tcW w:w="12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(546,996)</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(1,510)</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25,031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nt</w:t>
            </w: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175,000</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313</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ind w:left="20"/>
              <w:spacing w:after="0" w:line="121" w:lineRule="exact"/>
              <w:rPr>
                <w:sz w:val="20"/>
                <w:szCs w:val="20"/>
                <w:color w:val="auto"/>
              </w:rPr>
            </w:pPr>
            <w:r>
              <w:rPr>
                <w:rFonts w:ascii="Arial" w:cs="Arial" w:eastAsia="Arial" w:hAnsi="Arial"/>
                <w:sz w:val="11"/>
                <w:szCs w:val="11"/>
                <w:color w:val="auto"/>
              </w:rPr>
              <w:t>of tax</w:t>
            </w: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928</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5,157</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(121,382)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760" w:type="dxa"/>
            <w:vAlign w:val="bottom"/>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275,133,894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275</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1,272,952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(873,878)</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7,353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urchase plan</w:t>
            </w: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830,940</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1,315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jc w:val="right"/>
              <w:spacing w:after="0" w:line="121" w:lineRule="exact"/>
              <w:rPr>
                <w:sz w:val="20"/>
                <w:szCs w:val="20"/>
                <w:color w:val="auto"/>
              </w:rPr>
            </w:pPr>
            <w:r>
              <w:rPr>
                <w:rFonts w:ascii="Arial" w:cs="Arial" w:eastAsia="Arial" w:hAnsi="Arial"/>
                <w:sz w:val="11"/>
                <w:szCs w:val="11"/>
                <w:color w:val="auto"/>
              </w:rPr>
              <w:t>96,304</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51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1,098,798</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line="121" w:lineRule="exact"/>
              <w:rPr>
                <w:sz w:val="20"/>
                <w:szCs w:val="20"/>
                <w:color w:val="auto"/>
              </w:rPr>
            </w:pPr>
            <w:r>
              <w:rPr>
                <w:rFonts w:ascii="Arial" w:cs="Arial" w:eastAsia="Arial" w:hAnsi="Arial"/>
                <w:sz w:val="11"/>
                <w:szCs w:val="11"/>
                <w:color w:val="auto"/>
              </w:rPr>
              <w:t>are settlements to satisfy tax withholding obligations</w:t>
            </w:r>
          </w:p>
        </w:tc>
        <w:tc>
          <w:tcPr>
            <w:tcW w:w="120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(367,039)</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(673)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12,681</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line="121" w:lineRule="exact"/>
              <w:rPr>
                <w:sz w:val="20"/>
                <w:szCs w:val="20"/>
                <w:color w:val="auto"/>
              </w:rPr>
            </w:pPr>
            <w:r>
              <w:rPr>
                <w:rFonts w:ascii="Arial" w:cs="Arial" w:eastAsia="Arial" w:hAnsi="Arial"/>
                <w:sz w:val="11"/>
                <w:szCs w:val="11"/>
                <w:color w:val="auto"/>
              </w:rPr>
              <w:t>of tax</w:t>
            </w: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(1,082)</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441</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(4,932)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760" w:type="dxa"/>
            <w:vAlign w:val="bottom"/>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276,792,897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277</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1,286,326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(878,810)</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6,712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urchase plan</w:t>
            </w: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630,098</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1,352</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jc w:val="right"/>
              <w:spacing w:after="0" w:line="121" w:lineRule="exact"/>
              <w:rPr>
                <w:sz w:val="20"/>
                <w:szCs w:val="20"/>
                <w:color w:val="auto"/>
              </w:rPr>
            </w:pPr>
            <w:r>
              <w:rPr>
                <w:rFonts w:ascii="Arial" w:cs="Arial" w:eastAsia="Arial" w:hAnsi="Arial"/>
                <w:sz w:val="11"/>
                <w:szCs w:val="11"/>
                <w:color w:val="auto"/>
              </w:rPr>
              <w:t>694,833</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975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2,067,787</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jc w:val="right"/>
              <w:spacing w:after="0" w:line="121" w:lineRule="exact"/>
              <w:rPr>
                <w:sz w:val="20"/>
                <w:szCs w:val="20"/>
                <w:color w:val="auto"/>
              </w:rPr>
            </w:pPr>
            <w:r>
              <w:rPr>
                <w:rFonts w:ascii="Arial" w:cs="Arial" w:eastAsia="Arial" w:hAnsi="Arial"/>
                <w:sz w:val="11"/>
                <w:szCs w:val="11"/>
                <w:color w:val="auto"/>
              </w:rPr>
              <w:t>25,000</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are settlements to satisfy tax withholding obligations</w:t>
            </w:r>
          </w:p>
        </w:tc>
        <w:tc>
          <w:tcPr>
            <w:tcW w:w="12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(743,443)</w:t>
            </w: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(2,385)</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1"/>
                <w:szCs w:val="11"/>
                <w:color w:val="auto"/>
              </w:rPr>
              <w:t>15,348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(66)</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20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(2,296,910)</w:t>
            </w:r>
          </w:p>
        </w:tc>
        <w:tc>
          <w:tcPr>
            <w:tcW w:w="200" w:type="dxa"/>
            <w:vAlign w:val="bottom"/>
          </w:tcPr>
          <w:p>
            <w:pPr>
              <w:spacing w:after="0"/>
              <w:rPr>
                <w:sz w:val="10"/>
                <w:szCs w:val="10"/>
                <w:color w:val="auto"/>
              </w:rPr>
            </w:pPr>
          </w:p>
        </w:tc>
        <w:tc>
          <w:tcPr>
            <w:tcW w:w="42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90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(265)</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of tax</w:t>
            </w: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(319)</w:t>
            </w: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502</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(10,691)</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6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76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277,170,262</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45"/>
              <w:spacing w:after="0" w:line="121" w:lineRule="exact"/>
              <w:rPr>
                <w:sz w:val="20"/>
                <w:szCs w:val="20"/>
                <w:color w:val="auto"/>
              </w:rPr>
            </w:pPr>
            <w:r>
              <w:rPr>
                <w:rFonts w:ascii="Arial" w:cs="Arial" w:eastAsia="Arial" w:hAnsi="Arial"/>
                <w:sz w:val="11"/>
                <w:szCs w:val="11"/>
                <w:b w:val="1"/>
                <w:bCs w:val="1"/>
                <w:color w:val="auto"/>
              </w:rPr>
              <w:t>$</w:t>
            </w:r>
          </w:p>
        </w:tc>
        <w:tc>
          <w:tcPr>
            <w:tcW w:w="4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b w:val="1"/>
                <w:bCs w:val="1"/>
                <w:color w:val="auto"/>
              </w:rPr>
              <w:t>277</w:t>
            </w:r>
          </w:p>
        </w:tc>
        <w:tc>
          <w:tcPr>
            <w:tcW w:w="160" w:type="dxa"/>
            <w:vAlign w:val="bottom"/>
            <w:shd w:val="clear" w:color="auto" w:fill="CCEEFF"/>
          </w:tcPr>
          <w:p>
            <w:pPr>
              <w:jc w:val="right"/>
              <w:ind w:right="5"/>
              <w:spacing w:after="0" w:line="121" w:lineRule="exact"/>
              <w:rPr>
                <w:sz w:val="20"/>
                <w:szCs w:val="20"/>
                <w:color w:val="auto"/>
              </w:rPr>
            </w:pPr>
            <w:r>
              <w:rPr>
                <w:rFonts w:ascii="Arial" w:cs="Arial" w:eastAsia="Arial" w:hAnsi="Arial"/>
                <w:sz w:val="11"/>
                <w:szCs w:val="11"/>
                <w:b w:val="1"/>
                <w:bCs w:val="1"/>
                <w:color w:val="auto"/>
              </w:rPr>
              <w:t>$</w:t>
            </w: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1,301,285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6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b w:val="1"/>
                <w:bCs w:val="1"/>
                <w:color w:val="auto"/>
              </w:rPr>
              <w:t>(889,501)</w:t>
            </w:r>
          </w:p>
        </w:tc>
        <w:tc>
          <w:tcPr>
            <w:tcW w:w="1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w:t>
            </w: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6,895</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the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121920</wp:posOffset>
            </wp:positionV>
            <wp:extent cx="727837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620"/>
          </w:cols>
          <w:pgMar w:left="140" w:top="132" w:right="1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9"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(in thousands)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7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8"/>
          </w:tcPr>
          <w:p>
            <w:pPr>
              <w:jc w:val="right"/>
              <w:ind w:right="52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11"/>
        </w:trPr>
        <w:tc>
          <w:tcPr>
            <w:tcW w:w="706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25"/>
              <w:spacing w:after="0" w:line="111" w:lineRule="exact"/>
              <w:rPr>
                <w:sz w:val="20"/>
                <w:szCs w:val="20"/>
                <w:color w:val="auto"/>
              </w:rPr>
            </w:pPr>
            <w:r>
              <w:rPr>
                <w:rFonts w:ascii="Arial" w:cs="Arial" w:eastAsia="Arial" w:hAnsi="Arial"/>
                <w:sz w:val="11"/>
                <w:szCs w:val="11"/>
                <w:b w:val="1"/>
                <w:bCs w:val="1"/>
                <w:color w:val="auto"/>
                <w:w w:val="97"/>
              </w:rPr>
              <w:t>2010</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25"/>
              <w:spacing w:after="0" w:line="111" w:lineRule="exact"/>
              <w:rPr>
                <w:sz w:val="20"/>
                <w:szCs w:val="20"/>
                <w:color w:val="auto"/>
              </w:rPr>
            </w:pPr>
            <w:r>
              <w:rPr>
                <w:rFonts w:ascii="Arial" w:cs="Arial" w:eastAsia="Arial" w:hAnsi="Arial"/>
                <w:sz w:val="11"/>
                <w:szCs w:val="11"/>
                <w:b w:val="1"/>
                <w:bCs w:val="1"/>
                <w:color w:val="auto"/>
                <w:w w:val="97"/>
              </w:rPr>
              <w:t>2009</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25"/>
              <w:spacing w:after="0" w:line="111" w:lineRule="exact"/>
              <w:rPr>
                <w:sz w:val="20"/>
                <w:szCs w:val="20"/>
                <w:color w:val="auto"/>
              </w:rPr>
            </w:pPr>
            <w:r>
              <w:rPr>
                <w:rFonts w:ascii="Arial" w:cs="Arial" w:eastAsia="Arial" w:hAnsi="Arial"/>
                <w:sz w:val="11"/>
                <w:szCs w:val="11"/>
                <w:b w:val="1"/>
                <w:bCs w:val="1"/>
                <w:color w:val="auto"/>
                <w:w w:val="97"/>
              </w:rPr>
              <w:t>2008</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0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Cash flows from operating activities:</w:t>
            </w: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Net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(10,691)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(4,932)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w w:val="97"/>
              </w:rPr>
              <w:t>(121,382)</w:t>
            </w: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Adjustments to reconcile net loss to cash flows provided by operating activities: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160"/>
              <w:spacing w:after="0" w:line="121" w:lineRule="exact"/>
              <w:rPr>
                <w:sz w:val="20"/>
                <w:szCs w:val="20"/>
                <w:color w:val="auto"/>
              </w:rPr>
            </w:pPr>
            <w:r>
              <w:rPr>
                <w:rFonts w:ascii="Arial" w:cs="Arial" w:eastAsia="Arial" w:hAnsi="Arial"/>
                <w:sz w:val="11"/>
                <w:szCs w:val="11"/>
                <w:color w:val="auto"/>
              </w:rPr>
              <w:t>Depreciation and amortization of property and equipment</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11,205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10,104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11,661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160"/>
              <w:spacing w:after="0" w:line="121" w:lineRule="exact"/>
              <w:rPr>
                <w:sz w:val="20"/>
                <w:szCs w:val="20"/>
                <w:color w:val="auto"/>
              </w:rPr>
            </w:pPr>
            <w:r>
              <w:rPr>
                <w:rFonts w:ascii="Arial" w:cs="Arial" w:eastAsia="Arial" w:hAnsi="Arial"/>
                <w:sz w:val="11"/>
                <w:szCs w:val="11"/>
                <w:color w:val="auto"/>
              </w:rPr>
              <w:t>Amortization of intangible assets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741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1,155</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160"/>
              <w:spacing w:after="0" w:line="121" w:lineRule="exact"/>
              <w:rPr>
                <w:sz w:val="20"/>
                <w:szCs w:val="20"/>
                <w:color w:val="auto"/>
              </w:rPr>
            </w:pPr>
            <w:r>
              <w:rPr>
                <w:rFonts w:ascii="Arial" w:cs="Arial" w:eastAsia="Arial" w:hAnsi="Arial"/>
                <w:sz w:val="11"/>
                <w:szCs w:val="11"/>
                <w:color w:val="auto"/>
              </w:rPr>
              <w:t>Impairment of intangible assets and goodwill</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6,357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160"/>
              <w:spacing w:after="0" w:line="121" w:lineRule="exact"/>
              <w:rPr>
                <w:sz w:val="20"/>
                <w:szCs w:val="20"/>
                <w:color w:val="auto"/>
              </w:rPr>
            </w:pPr>
            <w:r>
              <w:rPr>
                <w:rFonts w:ascii="Arial" w:cs="Arial" w:eastAsia="Arial" w:hAnsi="Arial"/>
                <w:sz w:val="11"/>
                <w:szCs w:val="11"/>
                <w:color w:val="auto"/>
              </w:rPr>
              <w:t>Impairment of marketable equity securities</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160"/>
              <w:spacing w:after="0" w:line="121" w:lineRule="exact"/>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15,285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12,810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25,298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160"/>
              <w:spacing w:after="0" w:line="121" w:lineRule="exact"/>
              <w:rPr>
                <w:sz w:val="20"/>
                <w:szCs w:val="20"/>
                <w:color w:val="auto"/>
              </w:rPr>
            </w:pPr>
            <w:r>
              <w:rPr>
                <w:rFonts w:ascii="Arial" w:cs="Arial" w:eastAsia="Arial" w:hAnsi="Arial"/>
                <w:sz w:val="11"/>
                <w:szCs w:val="11"/>
                <w:color w:val="auto"/>
              </w:rPr>
              <w:t>Loss on disposal of property and equipment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241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325</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160"/>
              <w:spacing w:after="0" w:line="121" w:lineRule="exact"/>
              <w:rPr>
                <w:sz w:val="20"/>
                <w:szCs w:val="20"/>
                <w:color w:val="auto"/>
              </w:rPr>
            </w:pPr>
            <w:r>
              <w:rPr>
                <w:rFonts w:ascii="Arial" w:cs="Arial" w:eastAsia="Arial" w:hAnsi="Arial"/>
                <w:sz w:val="11"/>
                <w:szCs w:val="11"/>
                <w:color w:val="auto"/>
              </w:rPr>
              <w:t>Deferred income taxes</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406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449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78,212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160"/>
              <w:spacing w:after="0" w:line="121" w:lineRule="exact"/>
              <w:rPr>
                <w:sz w:val="20"/>
                <w:szCs w:val="20"/>
                <w:color w:val="auto"/>
              </w:rPr>
            </w:pPr>
            <w:r>
              <w:rPr>
                <w:rFonts w:ascii="Arial" w:cs="Arial" w:eastAsia="Arial" w:hAnsi="Arial"/>
                <w:sz w:val="11"/>
                <w:szCs w:val="11"/>
                <w:color w:val="auto"/>
              </w:rPr>
              <w:t>Changes in operating assets and liabilities: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260"/>
              <w:spacing w:after="0" w:line="121" w:lineRule="exact"/>
              <w:rPr>
                <w:sz w:val="20"/>
                <w:szCs w:val="20"/>
                <w:color w:val="auto"/>
              </w:rPr>
            </w:pPr>
            <w:r>
              <w:rPr>
                <w:rFonts w:ascii="Arial" w:cs="Arial" w:eastAsia="Arial" w:hAnsi="Arial"/>
                <w:sz w:val="11"/>
                <w:szCs w:val="11"/>
                <w:color w:val="auto"/>
              </w:rPr>
              <w:t>Accounts receivable</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(4,689)</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27,790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10,010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260"/>
              <w:spacing w:after="0" w:line="121" w:lineRule="exact"/>
              <w:rPr>
                <w:sz w:val="20"/>
                <w:szCs w:val="20"/>
                <w:color w:val="auto"/>
              </w:rPr>
            </w:pPr>
            <w:r>
              <w:rPr>
                <w:rFonts w:ascii="Arial" w:cs="Arial" w:eastAsia="Arial" w:hAnsi="Arial"/>
                <w:sz w:val="11"/>
                <w:szCs w:val="11"/>
                <w:color w:val="auto"/>
              </w:rPr>
              <w:t>Inventory</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(9,506)</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(2,456)</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19,333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260"/>
              <w:spacing w:after="0" w:line="121" w:lineRule="exact"/>
              <w:rPr>
                <w:sz w:val="20"/>
                <w:szCs w:val="20"/>
                <w:color w:val="auto"/>
              </w:rPr>
            </w:pPr>
            <w:r>
              <w:rPr>
                <w:rFonts w:ascii="Arial" w:cs="Arial" w:eastAsia="Arial" w:hAnsi="Arial"/>
                <w:sz w:val="11"/>
                <w:szCs w:val="11"/>
                <w:color w:val="auto"/>
              </w:rPr>
              <w:t>Insurance receivable—litigation settlement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15,328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260"/>
              <w:spacing w:after="0" w:line="121" w:lineRule="exact"/>
              <w:rPr>
                <w:sz w:val="20"/>
                <w:szCs w:val="20"/>
                <w:color w:val="auto"/>
              </w:rPr>
            </w:pPr>
            <w:r>
              <w:rPr>
                <w:rFonts w:ascii="Arial" w:cs="Arial" w:eastAsia="Arial" w:hAnsi="Arial"/>
                <w:sz w:val="11"/>
                <w:szCs w:val="11"/>
                <w:color w:val="auto"/>
              </w:rPr>
              <w:t>Other operating assets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6,218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(7,836)</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9,814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260"/>
              <w:spacing w:after="0" w:line="121" w:lineRule="exact"/>
              <w:rPr>
                <w:sz w:val="20"/>
                <w:szCs w:val="20"/>
                <w:color w:val="auto"/>
              </w:rPr>
            </w:pPr>
            <w:r>
              <w:rPr>
                <w:rFonts w:ascii="Arial" w:cs="Arial" w:eastAsia="Arial" w:hAnsi="Arial"/>
                <w:sz w:val="11"/>
                <w:szCs w:val="11"/>
                <w:color w:val="auto"/>
              </w:rPr>
              <w:t>Accounts payable</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11,539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(4,229)</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(9,167)</w:t>
            </w: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260"/>
              <w:spacing w:after="0" w:line="121" w:lineRule="exact"/>
              <w:rPr>
                <w:sz w:val="20"/>
                <w:szCs w:val="20"/>
                <w:color w:val="auto"/>
              </w:rPr>
            </w:pPr>
            <w:r>
              <w:rPr>
                <w:rFonts w:ascii="Arial" w:cs="Arial" w:eastAsia="Arial" w:hAnsi="Arial"/>
                <w:sz w:val="11"/>
                <w:szCs w:val="11"/>
                <w:color w:val="auto"/>
              </w:rPr>
              <w:t>Accrued expenses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12,587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(9,803)</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(13,769)</w:t>
            </w:r>
          </w:p>
        </w:tc>
        <w:tc>
          <w:tcPr>
            <w:tcW w:w="0" w:type="dxa"/>
            <w:vAlign w:val="bottom"/>
          </w:tcPr>
          <w:p>
            <w:pPr>
              <w:spacing w:after="0"/>
              <w:rPr>
                <w:sz w:val="1"/>
                <w:szCs w:val="1"/>
                <w:color w:val="auto"/>
              </w:rPr>
            </w:pPr>
          </w:p>
        </w:tc>
      </w:tr>
      <w:tr>
        <w:trPr>
          <w:trHeight w:val="120"/>
        </w:trPr>
        <w:tc>
          <w:tcPr>
            <w:tcW w:w="7060" w:type="dxa"/>
            <w:vAlign w:val="bottom"/>
          </w:tcPr>
          <w:p>
            <w:pPr>
              <w:ind w:left="260"/>
              <w:spacing w:after="0" w:line="121" w:lineRule="exact"/>
              <w:rPr>
                <w:sz w:val="20"/>
                <w:szCs w:val="20"/>
                <w:color w:val="auto"/>
              </w:rPr>
            </w:pPr>
            <w:r>
              <w:rPr>
                <w:rFonts w:ascii="Arial" w:cs="Arial" w:eastAsia="Arial" w:hAnsi="Arial"/>
                <w:sz w:val="11"/>
                <w:szCs w:val="11"/>
                <w:color w:val="auto"/>
              </w:rPr>
              <w:t>Accrued litigation settlements</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(9,600)</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(30,400)</w:t>
            </w: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260"/>
              <w:spacing w:after="0" w:line="121" w:lineRule="exact"/>
              <w:rPr>
                <w:sz w:val="20"/>
                <w:szCs w:val="20"/>
                <w:color w:val="auto"/>
              </w:rPr>
            </w:pPr>
            <w:r>
              <w:rPr>
                <w:rFonts w:ascii="Arial" w:cs="Arial" w:eastAsia="Arial" w:hAnsi="Arial"/>
                <w:sz w:val="11"/>
                <w:szCs w:val="11"/>
                <w:color w:val="auto"/>
              </w:rPr>
              <w:t>Deferred revenue</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(14,694)</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20,987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(19,602)</w:t>
            </w:r>
          </w:p>
        </w:tc>
        <w:tc>
          <w:tcPr>
            <w:tcW w:w="0" w:type="dxa"/>
            <w:vAlign w:val="bottom"/>
          </w:tcPr>
          <w:p>
            <w:pPr>
              <w:spacing w:after="0"/>
              <w:rPr>
                <w:sz w:val="1"/>
                <w:szCs w:val="1"/>
                <w:color w:val="auto"/>
              </w:rPr>
            </w:pPr>
          </w:p>
        </w:tc>
      </w:tr>
      <w:tr>
        <w:trPr>
          <w:trHeight w:val="22"/>
        </w:trPr>
        <w:tc>
          <w:tcPr>
            <w:tcW w:w="7060" w:type="dxa"/>
            <w:vAlign w:val="bottom"/>
            <w:vMerge w:val="restart"/>
          </w:tcPr>
          <w:p>
            <w:pPr>
              <w:ind w:left="340"/>
              <w:spacing w:after="0"/>
              <w:rPr>
                <w:sz w:val="20"/>
                <w:szCs w:val="20"/>
                <w:color w:val="auto"/>
              </w:rPr>
            </w:pPr>
            <w:r>
              <w:rPr>
                <w:rFonts w:ascii="Arial" w:cs="Arial" w:eastAsia="Arial" w:hAnsi="Arial"/>
                <w:sz w:val="11"/>
                <w:szCs w:val="11"/>
                <w:color w:val="auto"/>
              </w:rPr>
              <w:t>Net cash provided by (used in) operating activities</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7060" w:type="dxa"/>
            <w:vAlign w:val="bottom"/>
            <w:vMerge w:val="continue"/>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18,507</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33,757</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(16,735)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06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Cash flows from investing activities:</w:t>
            </w: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Purchases of property and equipment</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(17,295)</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(6,612)</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(9,709)</w:t>
            </w: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Business acquisitions, net of cash acquired</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(4,909)</w:t>
            </w: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Purchase of intangible assets</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(2,000)</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Purchases of marketable securities</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w w:val="97"/>
              </w:rPr>
              <w:t>(392,343)</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w w:val="97"/>
              </w:rPr>
              <w:t>(268,971)</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w w:val="97"/>
              </w:rPr>
              <w:t>(370,102)</w:t>
            </w: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Sale/maturities of marketable securities</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330,374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243,984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378,267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Decrease (increase) in litigation settlement escrow</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25,000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7060" w:type="dxa"/>
            <w:vAlign w:val="bottom"/>
            <w:vMerge w:val="restart"/>
          </w:tcPr>
          <w:p>
            <w:pPr>
              <w:ind w:left="340"/>
              <w:spacing w:after="0"/>
              <w:rPr>
                <w:sz w:val="20"/>
                <w:szCs w:val="20"/>
                <w:color w:val="auto"/>
              </w:rPr>
            </w:pPr>
            <w:r>
              <w:rPr>
                <w:rFonts w:ascii="Arial" w:cs="Arial" w:eastAsia="Arial" w:hAnsi="Arial"/>
                <w:sz w:val="11"/>
                <w:szCs w:val="11"/>
                <w:color w:val="auto"/>
              </w:rPr>
              <w:t>Net cash provided by (used in) investing activities</w:t>
            </w: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7060" w:type="dxa"/>
            <w:vAlign w:val="bottom"/>
            <w:vMerge w:val="continue"/>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(81,264)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(31,599)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18,547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06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Cash flows from financing activities:</w:t>
            </w: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Proceeds from sale of common stock in connection with employee stock purchase plan</w:t>
            </w: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1,353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1,119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3,755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Proceeds from exercise of stock options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976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437</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Payment of tax withholding obligations related to net share settlements of restricted stock awards</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(2,385)</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(673)</w:t>
            </w:r>
          </w:p>
        </w:tc>
        <w:tc>
          <w:tcPr>
            <w:tcW w:w="120" w:type="dxa"/>
            <w:vAlign w:val="bottom"/>
          </w:tcPr>
          <w:p>
            <w:pPr>
              <w:spacing w:after="0"/>
              <w:rPr>
                <w:sz w:val="10"/>
                <w:szCs w:val="10"/>
                <w:color w:val="auto"/>
              </w:rPr>
            </w:pPr>
          </w:p>
        </w:tc>
        <w:tc>
          <w:tcPr>
            <w:tcW w:w="580" w:type="dxa"/>
            <w:vAlign w:val="bottom"/>
            <w:gridSpan w:val="2"/>
          </w:tcPr>
          <w:p>
            <w:pPr>
              <w:jc w:val="right"/>
              <w:ind w:right="100"/>
              <w:spacing w:after="0" w:line="121" w:lineRule="exact"/>
              <w:rPr>
                <w:sz w:val="20"/>
                <w:szCs w:val="20"/>
                <w:color w:val="auto"/>
              </w:rPr>
            </w:pPr>
            <w:r>
              <w:rPr>
                <w:rFonts w:ascii="Arial" w:cs="Arial" w:eastAsia="Arial" w:hAnsi="Arial"/>
                <w:sz w:val="11"/>
                <w:szCs w:val="11"/>
                <w:color w:val="auto"/>
              </w:rPr>
              <w:t>(1,510)</w:t>
            </w: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Principal payments of capital lease obligations</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(221)</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(233)</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(175)</w:t>
            </w:r>
          </w:p>
        </w:tc>
        <w:tc>
          <w:tcPr>
            <w:tcW w:w="0" w:type="dxa"/>
            <w:vAlign w:val="bottom"/>
          </w:tcPr>
          <w:p>
            <w:pPr>
              <w:spacing w:after="0"/>
              <w:rPr>
                <w:sz w:val="1"/>
                <w:szCs w:val="1"/>
                <w:color w:val="auto"/>
              </w:rPr>
            </w:pPr>
          </w:p>
        </w:tc>
      </w:tr>
      <w:tr>
        <w:trPr>
          <w:trHeight w:val="22"/>
        </w:trPr>
        <w:tc>
          <w:tcPr>
            <w:tcW w:w="7060" w:type="dxa"/>
            <w:vAlign w:val="bottom"/>
            <w:vMerge w:val="restart"/>
          </w:tcPr>
          <w:p>
            <w:pPr>
              <w:ind w:left="340"/>
              <w:spacing w:after="0"/>
              <w:rPr>
                <w:sz w:val="20"/>
                <w:szCs w:val="20"/>
                <w:color w:val="auto"/>
              </w:rPr>
            </w:pPr>
            <w:r>
              <w:rPr>
                <w:rFonts w:ascii="Arial" w:cs="Arial" w:eastAsia="Arial" w:hAnsi="Arial"/>
                <w:sz w:val="11"/>
                <w:szCs w:val="11"/>
                <w:color w:val="auto"/>
              </w:rPr>
              <w:t>Net cash provided by (used in) financing activities</w:t>
            </w: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7060" w:type="dxa"/>
            <w:vAlign w:val="bottom"/>
            <w:vMerge w:val="continue"/>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(277)</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060" w:type="dxa"/>
            <w:vAlign w:val="bottom"/>
            <w:shd w:val="clear" w:color="auto" w:fill="CCEEFF"/>
          </w:tcPr>
          <w:p>
            <w:pPr>
              <w:spacing w:after="0" w:line="114" w:lineRule="exact"/>
              <w:rPr>
                <w:sz w:val="20"/>
                <w:szCs w:val="20"/>
                <w:color w:val="auto"/>
              </w:rPr>
            </w:pPr>
            <w:r>
              <w:rPr>
                <w:rFonts w:ascii="Arial" w:cs="Arial" w:eastAsia="Arial" w:hAnsi="Arial"/>
                <w:sz w:val="11"/>
                <w:szCs w:val="11"/>
                <w:color w:val="auto"/>
              </w:rPr>
              <w:t>Effect of exchange rate changes on cash and cash equivalents</w:t>
            </w: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212</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694</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1"/>
                <w:szCs w:val="11"/>
                <w:color w:val="auto"/>
              </w:rPr>
              <w:t>(1,045)</w:t>
            </w:r>
          </w:p>
        </w:tc>
        <w:tc>
          <w:tcPr>
            <w:tcW w:w="0" w:type="dxa"/>
            <w:vAlign w:val="bottom"/>
          </w:tcPr>
          <w:p>
            <w:pPr>
              <w:spacing w:after="0"/>
              <w:rPr>
                <w:sz w:val="1"/>
                <w:szCs w:val="1"/>
                <w:color w:val="auto"/>
              </w:rPr>
            </w:pPr>
          </w:p>
        </w:tc>
      </w:tr>
      <w:tr>
        <w:trPr>
          <w:trHeight w:val="22"/>
        </w:trPr>
        <w:tc>
          <w:tcPr>
            <w:tcW w:w="7060" w:type="dxa"/>
            <w:vAlign w:val="bottom"/>
            <w:vMerge w:val="restart"/>
          </w:tcPr>
          <w:p>
            <w:pPr>
              <w:spacing w:after="0"/>
              <w:rPr>
                <w:sz w:val="20"/>
                <w:szCs w:val="20"/>
                <w:color w:val="auto"/>
              </w:rPr>
            </w:pPr>
            <w:r>
              <w:rPr>
                <w:rFonts w:ascii="Arial" w:cs="Arial" w:eastAsia="Arial" w:hAnsi="Arial"/>
                <w:sz w:val="11"/>
                <w:szCs w:val="11"/>
                <w:color w:val="auto"/>
              </w:rPr>
              <w:t>Net increase (decrease) in cash and cash equivalents</w:t>
            </w: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7060" w:type="dxa"/>
            <w:vAlign w:val="bottom"/>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(62,822)</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3,116</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3,274</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Cash and cash equivalents, beginning of year</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125,323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122,207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118,933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7060" w:type="dxa"/>
            <w:vAlign w:val="bottom"/>
            <w:vMerge w:val="restart"/>
          </w:tcPr>
          <w:p>
            <w:pPr>
              <w:spacing w:after="0"/>
              <w:rPr>
                <w:sz w:val="20"/>
                <w:szCs w:val="20"/>
                <w:color w:val="auto"/>
              </w:rPr>
            </w:pPr>
            <w:r>
              <w:rPr>
                <w:rFonts w:ascii="Arial" w:cs="Arial" w:eastAsia="Arial" w:hAnsi="Arial"/>
                <w:sz w:val="11"/>
                <w:szCs w:val="11"/>
                <w:color w:val="auto"/>
              </w:rPr>
              <w:t>Cash and cash equivalents, end of year</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70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62,501</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125,323</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122,207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60" w:type="dxa"/>
            <w:vAlign w:val="bottom"/>
            <w:shd w:val="clear" w:color="auto" w:fill="CCEEFF"/>
          </w:tcPr>
          <w:p>
            <w:pPr>
              <w:spacing w:after="0" w:line="95" w:lineRule="exact"/>
              <w:rPr>
                <w:sz w:val="20"/>
                <w:szCs w:val="20"/>
                <w:color w:val="auto"/>
              </w:rPr>
            </w:pPr>
            <w:r>
              <w:rPr>
                <w:rFonts w:ascii="Arial" w:cs="Arial" w:eastAsia="Arial" w:hAnsi="Arial"/>
                <w:sz w:val="11"/>
                <w:szCs w:val="11"/>
                <w:color w:val="auto"/>
              </w:rPr>
              <w:t>Supplemental disclosure of cash flow information:</w:t>
            </w: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Interest paid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191</w:t>
            </w:r>
          </w:p>
        </w:tc>
        <w:tc>
          <w:tcPr>
            <w:tcW w:w="14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147</w:t>
            </w:r>
          </w:p>
        </w:tc>
        <w:tc>
          <w:tcPr>
            <w:tcW w:w="14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291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Income taxes paid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1,612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789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1,650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Income tax refunds received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1,406</w:t>
            </w:r>
          </w:p>
        </w:tc>
        <w:tc>
          <w:tcPr>
            <w:tcW w:w="14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1,759</w:t>
            </w:r>
          </w:p>
        </w:tc>
        <w:tc>
          <w:tcPr>
            <w:tcW w:w="14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192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Supplemental disclosure of non-cash investing activities: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ind w:left="80"/>
              <w:spacing w:after="0" w:line="121" w:lineRule="exact"/>
              <w:rPr>
                <w:sz w:val="20"/>
                <w:szCs w:val="20"/>
                <w:color w:val="auto"/>
              </w:rPr>
            </w:pPr>
            <w:r>
              <w:rPr>
                <w:rFonts w:ascii="Arial" w:cs="Arial" w:eastAsia="Arial" w:hAnsi="Arial"/>
                <w:sz w:val="11"/>
                <w:szCs w:val="11"/>
                <w:color w:val="auto"/>
              </w:rPr>
              <w:t>Change in capital expenditures incurred, but not yet paid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1,355</w:t>
            </w:r>
          </w:p>
        </w:tc>
        <w:tc>
          <w:tcPr>
            <w:tcW w:w="14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896</w:t>
            </w:r>
          </w:p>
        </w:tc>
        <w:tc>
          <w:tcPr>
            <w:tcW w:w="14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562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Property and equipment acquired under capital lease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1,083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tcPr>
          <w:p>
            <w:pPr>
              <w:spacing w:after="0" w:line="121" w:lineRule="exact"/>
              <w:rPr>
                <w:sz w:val="20"/>
                <w:szCs w:val="20"/>
                <w:color w:val="auto"/>
              </w:rPr>
            </w:pPr>
            <w:r>
              <w:rPr>
                <w:rFonts w:ascii="Arial" w:cs="Arial" w:eastAsia="Arial" w:hAnsi="Arial"/>
                <w:sz w:val="11"/>
                <w:szCs w:val="11"/>
                <w:color w:val="auto"/>
              </w:rPr>
              <w:t>Supplemental disclosure of non-cash financing activities: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060" w:type="dxa"/>
            <w:vAlign w:val="bottom"/>
            <w:shd w:val="clear" w:color="auto" w:fill="CCEEFF"/>
          </w:tcPr>
          <w:p>
            <w:pPr>
              <w:ind w:left="80"/>
              <w:spacing w:after="0" w:line="121" w:lineRule="exact"/>
              <w:rPr>
                <w:sz w:val="20"/>
                <w:szCs w:val="20"/>
                <w:color w:val="auto"/>
              </w:rPr>
            </w:pPr>
            <w:r>
              <w:rPr>
                <w:rFonts w:ascii="Arial" w:cs="Arial" w:eastAsia="Arial" w:hAnsi="Arial"/>
                <w:sz w:val="11"/>
                <w:szCs w:val="11"/>
                <w:color w:val="auto"/>
              </w:rPr>
              <w:t>Cancellation and retirement of treasury stock</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267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139"/>
        <w:spacing w:after="0"/>
        <w:rPr>
          <w:sz w:val="20"/>
          <w:szCs w:val="20"/>
          <w:color w:val="auto"/>
        </w:rPr>
      </w:pPr>
      <w:r>
        <w:rPr>
          <w:rFonts w:ascii="Arial" w:cs="Arial" w:eastAsia="Arial" w:hAnsi="Arial"/>
          <w:sz w:val="14"/>
          <w:szCs w:val="14"/>
          <w:color w:val="auto"/>
        </w:rPr>
        <w:t>See notes to the consolidated financial statements.</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0320"/>
          </w:cols>
          <w:pgMar w:left="220" w:top="132" w:right="13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NATURE OF THE BUSINESS</w:t>
      </w:r>
    </w:p>
    <w:p>
      <w:pPr>
        <w:spacing w:after="0" w:line="193" w:lineRule="exact"/>
        <w:rPr>
          <w:sz w:val="20"/>
          <w:szCs w:val="20"/>
          <w:color w:val="auto"/>
        </w:rPr>
      </w:pPr>
    </w:p>
    <w:p>
      <w:pPr>
        <w:ind w:right="140" w:firstLine="284"/>
        <w:spacing w:after="0" w:line="275" w:lineRule="auto"/>
        <w:rPr>
          <w:sz w:val="20"/>
          <w:szCs w:val="20"/>
          <w:color w:val="auto"/>
        </w:rPr>
      </w:pPr>
      <w:r>
        <w:rPr>
          <w:rFonts w:ascii="Arial" w:cs="Arial" w:eastAsia="Arial" w:hAnsi="Arial"/>
          <w:sz w:val="14"/>
          <w:szCs w:val="14"/>
          <w:color w:val="auto"/>
        </w:rPr>
        <w:t>Sonus Networks, Inc. ("Sonus" or the "Company") was incorporated in 1997 and is a leading provider of voice and data infrastructure solutions, including softswitch and session border control products for service providers and large enterprises. The Company's infrastructure solutions allow efficient and reliable delivery of voice and multimedia sessions over IP networks while allowing our customers to manage the flows of such sessions in their networks using business policies.</w:t>
      </w:r>
    </w:p>
    <w:p>
      <w:pPr>
        <w:spacing w:after="0" w:line="146" w:lineRule="exact"/>
        <w:rPr>
          <w:sz w:val="20"/>
          <w:szCs w:val="20"/>
          <w:color w:val="auto"/>
        </w:rPr>
      </w:pPr>
    </w:p>
    <w:p>
      <w:pPr>
        <w:ind w:right="240" w:firstLine="282"/>
        <w:spacing w:after="0" w:line="275" w:lineRule="auto"/>
        <w:rPr>
          <w:sz w:val="20"/>
          <w:szCs w:val="20"/>
          <w:color w:val="auto"/>
        </w:rPr>
      </w:pPr>
      <w:r>
        <w:rPr>
          <w:rFonts w:ascii="Arial" w:cs="Arial" w:eastAsia="Arial" w:hAnsi="Arial"/>
          <w:sz w:val="14"/>
          <w:szCs w:val="14"/>
          <w:color w:val="auto"/>
        </w:rPr>
        <w:t>The Company's target customers comprise both traditional and emerging communications service providers, including long-distance carriers, local exchange carriers, Internet service providers, wireless operators, cable operators, international telephone companies and carriers that provide services to other carriers, as well as enterprise customers. The Company also collaborates with its customers to identify and develop new advanced services and applications that they may offer to their customers.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consolidated financial statements have been prepared in United States dollars, in accordance with accounting principles generally accepted in the United States ("GAAP").</w:t>
      </w:r>
    </w:p>
    <w:p>
      <w:pPr>
        <w:spacing w:after="0" w:line="189" w:lineRule="exact"/>
        <w:rPr>
          <w:sz w:val="20"/>
          <w:szCs w:val="20"/>
          <w:color w:val="auto"/>
        </w:rPr>
      </w:pPr>
    </w:p>
    <w:p>
      <w:pPr>
        <w:ind w:firstLine="284"/>
        <w:spacing w:after="0" w:line="305" w:lineRule="auto"/>
        <w:rPr>
          <w:sz w:val="20"/>
          <w:szCs w:val="20"/>
          <w:color w:val="auto"/>
        </w:rPr>
      </w:pPr>
      <w:r>
        <w:rPr>
          <w:rFonts w:ascii="Arial" w:cs="Arial" w:eastAsia="Arial" w:hAnsi="Arial"/>
          <w:sz w:val="13"/>
          <w:szCs w:val="13"/>
          <w:color w:val="auto"/>
        </w:rPr>
        <w:t>In the fourth quarter of 2008, the Company completed the sale of its Zynetix Ltd. ("Zynetix") subsidiary, as the Zynetix business was no longer considered part of the Company's core business. The Company recorded a loss of $0.7 million on the sale of Zynetix and a loss of $4.5 million on its operations in 2008. The results of operations of Zynetix have been classified as discontinued operations within these financial statements. The 2008 amounts reflect the results of operations of Zynetix for fiscal 2008 through November 26, 2008, the date of the sale of the subsidiary.</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Subsequent events have been evaluated through the date of this filing.</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193" w:lineRule="exact"/>
        <w:rPr>
          <w:sz w:val="20"/>
          <w:szCs w:val="20"/>
          <w:color w:val="auto"/>
        </w:rPr>
      </w:pPr>
    </w:p>
    <w:p>
      <w:pPr>
        <w:ind w:right="540" w:firstLine="282"/>
        <w:spacing w:after="0" w:line="289" w:lineRule="auto"/>
        <w:rPr>
          <w:sz w:val="20"/>
          <w:szCs w:val="20"/>
          <w:color w:val="auto"/>
        </w:rPr>
      </w:pPr>
      <w:r>
        <w:rPr>
          <w:rFonts w:ascii="Arial" w:cs="Arial" w:eastAsia="Arial" w:hAnsi="Arial"/>
          <w:sz w:val="14"/>
          <w:szCs w:val="14"/>
          <w:color w:val="auto"/>
        </w:rPr>
        <w:t>The accompanying consolidated financial statements include the accounts of Sonus and its wholly owned subsidiaries. All intercompany transactions and balances have been eliminated in consolidation.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 and Judgments</w:t>
      </w:r>
    </w:p>
    <w:p>
      <w:pPr>
        <w:spacing w:after="0" w:line="193" w:lineRule="exact"/>
        <w:rPr>
          <w:sz w:val="20"/>
          <w:szCs w:val="20"/>
          <w:color w:val="auto"/>
        </w:rPr>
      </w:pPr>
    </w:p>
    <w:p>
      <w:pPr>
        <w:ind w:right="20" w:firstLine="282"/>
        <w:spacing w:after="0" w:line="290"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inventory valuations, expected future cash flows used to evaluate the recoverability of long-lived assets, assumptions used to determine the fair value of stock-based compensation, contingent liabilities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right="4560" w:firstLine="7"/>
        <w:spacing w:after="0" w:line="524" w:lineRule="auto"/>
        <w:tabs>
          <w:tab w:leader="none" w:pos="201"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 (Continued) Revenue Recognition</w:t>
      </w:r>
    </w:p>
    <w:p>
      <w:pPr>
        <w:ind w:right="40" w:firstLine="284"/>
        <w:spacing w:after="0" w:line="265" w:lineRule="auto"/>
        <w:rPr>
          <w:sz w:val="20"/>
          <w:szCs w:val="20"/>
          <w:color w:val="auto"/>
        </w:rPr>
      </w:pPr>
      <w:r>
        <w:rPr>
          <w:rFonts w:ascii="Arial" w:cs="Arial" w:eastAsia="Arial" w:hAnsi="Arial"/>
          <w:sz w:val="14"/>
          <w:szCs w:val="14"/>
          <w:color w:val="auto"/>
        </w:rPr>
        <w:t>Sonus' products are primarily marketed based on the software elements contained therein. In addition, hardware sold generally cannot be used apart from the software. Therefore, the Company considers its principal products to be software-related. Sonus recognizes revenue from product sales when persuasive evidence of an arrangement exists, delivery has occurred, the sale price is fixed or determinable, and collectibility of the related receivable is probable under customary payment terms. When Sonus has future obligations, including a requirement to deliver additional elements which are essential to the functionality of the delivered elements or for which vendor-specific objective evidence of fair value ("VSOE") does not exist or when customer acceptance is required, Sonus defers revenue recognition and related costs until those obligations are satisfied. Likewise, when fees for products or services are not fixed and determinable, Sonus defers the recording of receivables, deferred revenue and revenue until such time as the fees become due or are collected. The ordering patterns and sales lead times associated with customer orders may vary significantly from period to period.</w:t>
      </w:r>
    </w:p>
    <w:p>
      <w:pPr>
        <w:spacing w:after="0" w:line="155" w:lineRule="exact"/>
        <w:rPr>
          <w:sz w:val="20"/>
          <w:szCs w:val="20"/>
          <w:color w:val="auto"/>
        </w:rPr>
      </w:pPr>
    </w:p>
    <w:p>
      <w:pPr>
        <w:ind w:firstLine="284"/>
        <w:spacing w:after="0" w:line="266" w:lineRule="auto"/>
        <w:rPr>
          <w:sz w:val="20"/>
          <w:szCs w:val="20"/>
          <w:color w:val="auto"/>
        </w:rPr>
      </w:pPr>
      <w:r>
        <w:rPr>
          <w:rFonts w:ascii="Arial" w:cs="Arial" w:eastAsia="Arial" w:hAnsi="Arial"/>
          <w:sz w:val="14"/>
          <w:szCs w:val="14"/>
          <w:color w:val="auto"/>
        </w:rPr>
        <w:t>Many of the Company's sales involve multiple-element arrangements. When a sale includes multiple elements, such as products, maintenance and/or professional services, Sonus recognizes revenue using the residual method. Revenue associated with elements for which VSOE has been established is recorded based on the VSOE value; revenue for any undelivered elements that are considered not essential to the functionality of the product and for which VSOE has been established is deferred based on the VSOE value, and any remaining arrangement fee is then allocated to and recognized as revenue. VSOE is determined based upon the price charged when the same element is sold separately or established by management having the relevant pricing authority. If Sonus cannot establish VSOE for each undelivered element, including specified upgrades, it defers revenue on the entire arrangement until VSOE for all undelivered elements is known or all elements are delivered and all other revenue recognition criteria are met.</w:t>
      </w:r>
    </w:p>
    <w:p>
      <w:pPr>
        <w:spacing w:after="0" w:line="153"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Revenue from maintenance and support services is recognized ratably over the service period. Earned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w:t>
      </w:r>
    </w:p>
    <w:p>
      <w:pPr>
        <w:spacing w:after="0" w:line="146" w:lineRule="exact"/>
        <w:rPr>
          <w:sz w:val="20"/>
          <w:szCs w:val="20"/>
          <w:color w:val="auto"/>
        </w:rPr>
      </w:pPr>
    </w:p>
    <w:p>
      <w:pPr>
        <w:ind w:right="280" w:firstLine="284"/>
        <w:spacing w:after="0" w:line="289" w:lineRule="auto"/>
        <w:rPr>
          <w:sz w:val="20"/>
          <w:szCs w:val="20"/>
          <w:color w:val="auto"/>
        </w:rPr>
      </w:pPr>
      <w:r>
        <w:rPr>
          <w:rFonts w:ascii="Arial" w:cs="Arial" w:eastAsia="Arial" w:hAnsi="Arial"/>
          <w:sz w:val="14"/>
          <w:szCs w:val="14"/>
          <w:color w:val="auto"/>
        </w:rPr>
        <w:t>Revenue from installation services is generally recognized when the service is complete and all other revenue recognition criteria have been met. Revenue from other professional services for which VSOE has been established is typically recognized as the services are delivered if all other revenue recognition criteria have been met.</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Revenue from consulting, custom development and other professional services-only engagements is recognized as services are rendered provided all other revenue recognition criteria have been</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met.</w:t>
      </w:r>
    </w:p>
    <w:p>
      <w:pPr>
        <w:spacing w:after="0" w:line="183" w:lineRule="exact"/>
        <w:rPr>
          <w:sz w:val="20"/>
          <w:szCs w:val="20"/>
          <w:color w:val="auto"/>
        </w:rPr>
      </w:pPr>
    </w:p>
    <w:p>
      <w:pPr>
        <w:jc w:val="both"/>
        <w:ind w:right="40" w:firstLine="284"/>
        <w:spacing w:after="0" w:line="305" w:lineRule="auto"/>
        <w:rPr>
          <w:sz w:val="20"/>
          <w:szCs w:val="20"/>
          <w:color w:val="auto"/>
        </w:rPr>
      </w:pPr>
      <w:r>
        <w:rPr>
          <w:rFonts w:ascii="Arial" w:cs="Arial" w:eastAsia="Arial" w:hAnsi="Arial"/>
          <w:sz w:val="13"/>
          <w:szCs w:val="13"/>
          <w:color w:val="auto"/>
        </w:rPr>
        <w:t>Sonus records deferred revenue for products delivered or services performed for which fees are fixed and determinable and collection of the amount billed is either probable or has been collected but other revenue recognition criteria have not been met. Deferred revenue includes customer deposits and amounts associated with maintenance contracts. Deferred revenue expected to be recognized as revenue more than one year subsequent to the balance sheet date is reported with long-term liabilities in the consolidated balance sheets.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00"/>
          </w:cols>
          <w:pgMar w:left="220" w:top="132" w:right="27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193" w:lineRule="exact"/>
        <w:rPr>
          <w:sz w:val="20"/>
          <w:szCs w:val="20"/>
          <w:color w:val="auto"/>
        </w:rPr>
      </w:pPr>
    </w:p>
    <w:p>
      <w:pPr>
        <w:jc w:val="both"/>
        <w:ind w:right="220" w:firstLine="284"/>
        <w:spacing w:after="0" w:line="289" w:lineRule="auto"/>
        <w:rPr>
          <w:sz w:val="20"/>
          <w:szCs w:val="20"/>
          <w:color w:val="auto"/>
        </w:rPr>
      </w:pPr>
      <w:r>
        <w:rPr>
          <w:rFonts w:ascii="Arial" w:cs="Arial" w:eastAsia="Arial" w:hAnsi="Arial"/>
          <w:sz w:val="14"/>
          <w:szCs w:val="14"/>
          <w:color w:val="auto"/>
        </w:rPr>
        <w:t>Sonus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37" w:lineRule="exact"/>
        <w:rPr>
          <w:sz w:val="20"/>
          <w:szCs w:val="20"/>
          <w:color w:val="auto"/>
        </w:rPr>
      </w:pPr>
    </w:p>
    <w:p>
      <w:pPr>
        <w:jc w:val="both"/>
        <w:ind w:right="220" w:firstLine="284"/>
        <w:spacing w:after="0" w:line="275" w:lineRule="auto"/>
        <w:rPr>
          <w:sz w:val="20"/>
          <w:szCs w:val="20"/>
          <w:color w:val="auto"/>
        </w:rPr>
      </w:pPr>
      <w:r>
        <w:rPr>
          <w:rFonts w:ascii="Arial" w:cs="Arial" w:eastAsia="Arial" w:hAnsi="Arial"/>
          <w:sz w:val="14"/>
          <w:szCs w:val="14"/>
          <w:color w:val="auto"/>
        </w:rPr>
        <w:t>Sonus sells the majority of its products directly to its service provider customers. For products sold to resellers and distributors with whom the Company has at least eight quarters of consistent history regarding the potential for product returns or refunds, or any form of concession, the Company recognizes revenue on a sell-in basis. For all other resellers and distributors of its products, the Company recognizes revenue on a sell-through basis.</w:t>
      </w:r>
    </w:p>
    <w:p>
      <w:pPr>
        <w:spacing w:after="0" w:line="146" w:lineRule="exact"/>
        <w:rPr>
          <w:sz w:val="20"/>
          <w:szCs w:val="20"/>
          <w:color w:val="auto"/>
        </w:rPr>
      </w:pPr>
    </w:p>
    <w:p>
      <w:pPr>
        <w:ind w:firstLine="284"/>
        <w:spacing w:after="0" w:line="286" w:lineRule="auto"/>
        <w:rPr>
          <w:sz w:val="20"/>
          <w:szCs w:val="20"/>
          <w:color w:val="auto"/>
        </w:rPr>
      </w:pPr>
      <w:r>
        <w:rPr>
          <w:rFonts w:ascii="Arial" w:cs="Arial" w:eastAsia="Arial" w:hAnsi="Arial"/>
          <w:sz w:val="13"/>
          <w:szCs w:val="13"/>
          <w:color w:val="auto"/>
        </w:rPr>
        <w:t>Beginning in the fourth quarter of fiscal 2008, the Company concluded that it no longer had sufficient evidence of VSOE on maintenance services for one of its largest customers. Therefore, all revenue related to multiple element arrangements for this customer entered into beginning in the fourth quarter of fiscal 2008 was recognized ratably over the maintenance period, which ended December 31, 2010, provided all other revenue recognition criteria were met. Revenue recognition on multiple element arrangements with this customer began when the only undelivered element of the arrangement was maintenance. Beginning in the fourth quarter of fiscal 2008, for orders from this customer that contain bundled product and maintenance, the Company has allocated a fixed percentage (which represents the maintenance renewal rate for its largest customers for which the Company has VSOE) of the arrangement fee to service revenue with the residual amount classified as product revenue. The Company has applied this methodology on a consistent basis. At December 31, 2009, Other assets included $3.9 million of deferred product costs related to arrangements with this customer in which both the revenue and product costs were being recognized ratably. There were no deferred product costs related to such arrangements with this customer at December 31, 2010, as the maintenance period for that specific agreement ended in the fourth quarter of fiscal 2010. In December 2010, the Company entered into a new maintenance agreement with this customer which covers the period from January 1, 2011 through April 30, 2013.</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Company excludes any taxes assessed by a governmental authority that are directly imposed on a revenue-producing transaction (i.e., sales, use, value added) from its revenue and costs.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Reimbursement received for out-of-pocket expenses is recorded as revenue.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carrying amounts of Sonus' financial instruments, which include cash equivalents, marketable securities, investments, accounts receivable and accounts payable approximate their fair values.</w:t>
      </w:r>
    </w:p>
    <w:p>
      <w:pPr>
        <w:spacing w:after="0" w:line="212" w:lineRule="exact"/>
        <w:rPr>
          <w:sz w:val="20"/>
          <w:szCs w:val="20"/>
          <w:color w:val="auto"/>
        </w:rPr>
      </w:pPr>
    </w:p>
    <w:p>
      <w:pPr>
        <w:ind w:right="40" w:firstLine="276"/>
        <w:spacing w:after="0" w:line="297" w:lineRule="auto"/>
        <w:rPr>
          <w:sz w:val="20"/>
          <w:szCs w:val="20"/>
          <w:color w:val="auto"/>
        </w:rPr>
      </w:pPr>
      <w:r>
        <w:rPr>
          <w:rFonts w:ascii="Arial" w:cs="Arial" w:eastAsia="Arial" w:hAnsi="Arial"/>
          <w:sz w:val="13"/>
          <w:szCs w:val="13"/>
          <w:color w:val="auto"/>
        </w:rPr>
        <w:t>All investments in marketable securities are classified as available-for-sale and are reported at fair value, with unrealized gains and losses excluded from earnings and reported, net of tax, in Accumulated other comprehensive income (loss), which is a component of stockholders' equity. Unrealized losses that are determined to be other-than-temporary, based on current and expected market conditions, are recognized in earnings. Declines in fair value determined to be credit-related are charged to earnings. The fair value of marketable securities is determined based on quoted market prices at the balance sheet dates of the same or similar instruments. The cost of marketable securities sold is determined by the specific identification method.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193" w:lineRule="exact"/>
        <w:rPr>
          <w:sz w:val="20"/>
          <w:szCs w:val="20"/>
          <w:color w:val="auto"/>
        </w:rPr>
      </w:pPr>
    </w:p>
    <w:p>
      <w:pPr>
        <w:ind w:right="280" w:firstLine="284"/>
        <w:spacing w:after="0" w:line="289" w:lineRule="auto"/>
        <w:rPr>
          <w:sz w:val="20"/>
          <w:szCs w:val="20"/>
          <w:color w:val="auto"/>
        </w:rPr>
      </w:pPr>
      <w:r>
        <w:rPr>
          <w:rFonts w:ascii="Arial" w:cs="Arial" w:eastAsia="Arial" w:hAnsi="Arial"/>
          <w:sz w:val="14"/>
          <w:szCs w:val="14"/>
          <w:color w:val="auto"/>
        </w:rPr>
        <w:t>Financial instruments with remaining maturities or that are due within one year from the balance sheet date are classified as current. Financial instruments with remaining maturities or that are payable more than one year from the balance sheet date are classified as noncurrent.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93" w:lineRule="exact"/>
        <w:rPr>
          <w:sz w:val="20"/>
          <w:szCs w:val="20"/>
          <w:color w:val="auto"/>
        </w:rPr>
      </w:pPr>
    </w:p>
    <w:p>
      <w:pPr>
        <w:ind w:right="40" w:firstLine="284"/>
        <w:spacing w:after="0" w:line="289" w:lineRule="auto"/>
        <w:rPr>
          <w:sz w:val="20"/>
          <w:szCs w:val="20"/>
          <w:color w:val="auto"/>
        </w:rPr>
      </w:pPr>
      <w:r>
        <w:rPr>
          <w:rFonts w:ascii="Arial" w:cs="Arial" w:eastAsia="Arial" w:hAnsi="Arial"/>
          <w:sz w:val="14"/>
          <w:szCs w:val="14"/>
          <w:color w:val="auto"/>
        </w:rPr>
        <w:t>Cash equivalents are stated at fair value, with unrealized gains and losses excluded from earnings and reported, net of tax, in Accumulated other comprehensive income (loss). Cash equivalents are liquid securities that have remaining maturities of three months or less at the date of purchase.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93" w:lineRule="exact"/>
        <w:rPr>
          <w:sz w:val="20"/>
          <w:szCs w:val="20"/>
          <w:color w:val="auto"/>
        </w:rPr>
      </w:pPr>
    </w:p>
    <w:p>
      <w:pPr>
        <w:ind w:right="60" w:firstLine="284"/>
        <w:spacing w:after="0" w:line="378" w:lineRule="auto"/>
        <w:rPr>
          <w:sz w:val="20"/>
          <w:szCs w:val="20"/>
          <w:color w:val="auto"/>
        </w:rPr>
      </w:pPr>
      <w:r>
        <w:rPr>
          <w:rFonts w:ascii="Arial" w:cs="Arial" w:eastAsia="Arial" w:hAnsi="Arial"/>
          <w:sz w:val="12"/>
          <w:szCs w:val="12"/>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each period. Translation adjustments for these subsidiaries are included in Accumulated other comprehensive income (loss).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For foreign subsidiaries where the functional currency is the U.S. dollar, monetary assets and liabilities are translated into U.S. dollars at the current exchange rate on the balance sheet date.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Nonmonetary assets and liabilities are remeasured into U.S. dollars at historical exchange rates. Revenue and expense items are translated at average rates of exchange prevailing during each period.</w:t>
      </w:r>
    </w:p>
    <w:p>
      <w:pPr>
        <w:spacing w:after="0" w:line="206" w:lineRule="exact"/>
        <w:rPr>
          <w:sz w:val="20"/>
          <w:szCs w:val="20"/>
          <w:color w:val="auto"/>
        </w:rPr>
      </w:pPr>
    </w:p>
    <w:p>
      <w:pPr>
        <w:ind w:right="320" w:firstLine="284"/>
        <w:spacing w:after="0" w:line="289" w:lineRule="auto"/>
        <w:rPr>
          <w:sz w:val="20"/>
          <w:szCs w:val="20"/>
          <w:color w:val="auto"/>
        </w:rPr>
      </w:pPr>
      <w:r>
        <w:rPr>
          <w:rFonts w:ascii="Arial" w:cs="Arial" w:eastAsia="Arial" w:hAnsi="Arial"/>
          <w:sz w:val="14"/>
          <w:szCs w:val="14"/>
          <w:color w:val="auto"/>
        </w:rPr>
        <w:t>Realized and unrealized foreign currency gains and losses arising from transactions denominated in currencies other than the subsidiary's functional currency are reflected in earnings with the exception of intercompany transactions considered to be of a long-term investment nature.</w:t>
      </w:r>
    </w:p>
    <w:p>
      <w:pPr>
        <w:spacing w:after="0" w:line="137" w:lineRule="exact"/>
        <w:rPr>
          <w:sz w:val="20"/>
          <w:szCs w:val="20"/>
          <w:color w:val="auto"/>
        </w:rPr>
      </w:pPr>
    </w:p>
    <w:p>
      <w:pPr>
        <w:ind w:right="320" w:firstLine="282"/>
        <w:spacing w:after="0" w:line="289" w:lineRule="auto"/>
        <w:rPr>
          <w:sz w:val="20"/>
          <w:szCs w:val="20"/>
          <w:color w:val="auto"/>
        </w:rPr>
      </w:pPr>
      <w:r>
        <w:rPr>
          <w:rFonts w:ascii="Arial" w:cs="Arial" w:eastAsia="Arial" w:hAnsi="Arial"/>
          <w:sz w:val="14"/>
          <w:szCs w:val="14"/>
          <w:color w:val="auto"/>
        </w:rPr>
        <w:t>The components of foreign currency transaction gains (losses), which are reported as a component of General and administrative expenses in the consolidated statements of operations, for the years ended December 31, 2010, 2009 and 2008 are as follows (in thousands):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8"/>
          </w:tcPr>
          <w:p>
            <w:pPr>
              <w:jc w:val="right"/>
              <w:ind w:right="500"/>
              <w:spacing w:after="0"/>
              <w:rPr>
                <w:sz w:val="20"/>
                <w:szCs w:val="20"/>
                <w:color w:val="auto"/>
              </w:rPr>
            </w:pPr>
            <w:r>
              <w:rPr>
                <w:rFonts w:ascii="Arial" w:cs="Arial" w:eastAsia="Arial" w:hAnsi="Arial"/>
                <w:sz w:val="11"/>
                <w:szCs w:val="11"/>
                <w:b w:val="1"/>
                <w:bCs w:val="1"/>
                <w:color w:val="auto"/>
              </w:rPr>
              <w:t>Year ended December 31,</w:t>
            </w:r>
          </w:p>
        </w:tc>
      </w:tr>
      <w:tr>
        <w:trPr>
          <w:trHeight w:val="111"/>
        </w:trPr>
        <w:tc>
          <w:tcPr>
            <w:tcW w:w="48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6"/>
              <w:spacing w:after="0" w:line="111" w:lineRule="exact"/>
              <w:rPr>
                <w:sz w:val="20"/>
                <w:szCs w:val="20"/>
                <w:color w:val="auto"/>
              </w:rPr>
            </w:pPr>
            <w:r>
              <w:rPr>
                <w:rFonts w:ascii="Arial" w:cs="Arial" w:eastAsia="Arial" w:hAnsi="Arial"/>
                <w:sz w:val="11"/>
                <w:szCs w:val="11"/>
                <w:b w:val="1"/>
                <w:bCs w:val="1"/>
                <w:color w:val="auto"/>
                <w:w w:val="97"/>
              </w:rPr>
              <w:t>2010</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93"/>
              <w:spacing w:after="0" w:line="111" w:lineRule="exact"/>
              <w:rPr>
                <w:sz w:val="20"/>
                <w:szCs w:val="20"/>
                <w:color w:val="auto"/>
              </w:rPr>
            </w:pPr>
            <w:r>
              <w:rPr>
                <w:rFonts w:ascii="Arial" w:cs="Arial" w:eastAsia="Arial" w:hAnsi="Arial"/>
                <w:sz w:val="11"/>
                <w:szCs w:val="11"/>
                <w:b w:val="1"/>
                <w:bCs w:val="1"/>
                <w:color w:val="auto"/>
                <w:w w:val="97"/>
              </w:rPr>
              <w:t>2009</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3"/>
              <w:spacing w:after="0" w:line="111" w:lineRule="exact"/>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9"/>
                <w:szCs w:val="9"/>
                <w:color w:val="auto"/>
              </w:rPr>
            </w:pPr>
          </w:p>
        </w:tc>
      </w:tr>
      <w:tr>
        <w:trPr>
          <w:trHeight w:val="166"/>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Transaction gains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(2,387)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(3,406)</w:t>
            </w:r>
          </w:p>
        </w:tc>
      </w:tr>
      <w:tr>
        <w:trPr>
          <w:trHeight w:val="189"/>
        </w:trPr>
        <w:tc>
          <w:tcPr>
            <w:tcW w:w="4800" w:type="dxa"/>
            <w:vAlign w:val="bottom"/>
          </w:tcPr>
          <w:p>
            <w:pPr>
              <w:spacing w:after="0"/>
              <w:rPr>
                <w:sz w:val="20"/>
                <w:szCs w:val="20"/>
                <w:color w:val="auto"/>
              </w:rPr>
            </w:pPr>
            <w:r>
              <w:rPr>
                <w:rFonts w:ascii="Arial" w:cs="Arial" w:eastAsia="Arial" w:hAnsi="Arial"/>
                <w:sz w:val="14"/>
                <w:szCs w:val="14"/>
                <w:color w:val="auto"/>
              </w:rPr>
              <w:t>Remeasurement gains (losses)</w:t>
            </w:r>
          </w:p>
        </w:tc>
        <w:tc>
          <w:tcPr>
            <w:tcW w:w="1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(3,777)</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48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(7,183)</w:t>
            </w:r>
          </w:p>
        </w:tc>
      </w:tr>
      <w:tr>
        <w:trPr>
          <w:trHeight w:val="22"/>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Unearned Accounts Receivable</w:t>
      </w:r>
    </w:p>
    <w:p>
      <w:pPr>
        <w:spacing w:after="0" w:line="193" w:lineRule="exact"/>
        <w:rPr>
          <w:sz w:val="20"/>
          <w:szCs w:val="20"/>
          <w:color w:val="auto"/>
        </w:rPr>
      </w:pPr>
    </w:p>
    <w:p>
      <w:pPr>
        <w:ind w:right="20" w:firstLine="276"/>
        <w:spacing w:after="0" w:line="289" w:lineRule="auto"/>
        <w:rPr>
          <w:sz w:val="20"/>
          <w:szCs w:val="20"/>
          <w:color w:val="auto"/>
        </w:rPr>
      </w:pPr>
      <w:r>
        <w:rPr>
          <w:rFonts w:ascii="Arial" w:cs="Arial" w:eastAsia="Arial" w:hAnsi="Arial"/>
          <w:sz w:val="14"/>
          <w:szCs w:val="14"/>
          <w:color w:val="auto"/>
        </w:rPr>
        <w:t>Accounts receivable, net, include unearned accounts receivable which represent products shipped to customers where Sonus has a contractual right to bill the customer and collectibility is probable under ordinary collection terms, but for which Sonus' revenue recognition criteria has not yet been satisfied.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193" w:lineRule="exact"/>
        <w:rPr>
          <w:sz w:val="20"/>
          <w:szCs w:val="20"/>
          <w:color w:val="auto"/>
        </w:rPr>
      </w:pPr>
    </w:p>
    <w:p>
      <w:pPr>
        <w:jc w:val="center"/>
        <w:ind w:left="300"/>
        <w:spacing w:after="0"/>
        <w:rPr>
          <w:sz w:val="20"/>
          <w:szCs w:val="20"/>
          <w:color w:val="auto"/>
        </w:rPr>
      </w:pPr>
      <w:r>
        <w:rPr>
          <w:rFonts w:ascii="Arial" w:cs="Arial" w:eastAsia="Arial" w:hAnsi="Arial"/>
          <w:sz w:val="13"/>
          <w:szCs w:val="13"/>
          <w:color w:val="auto"/>
        </w:rPr>
        <w:t>Inventory is recorded at the lower of cost or market value, primarily using the first-in, first-out convention. The Company reduces the carrying value of inventory for those items that are potentially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excess, obsolete or slow-moving based on changes in customer demand, technology developments or other economic factors.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Sonus writes down the evaluation equipment at the time of shipment to its customers, as it is probable that the inventory value will not be realized.</w:t>
      </w:r>
    </w:p>
    <w:p>
      <w:pPr>
        <w:spacing w:after="0" w:line="189" w:lineRule="exact"/>
        <w:rPr>
          <w:sz w:val="20"/>
          <w:szCs w:val="20"/>
          <w:color w:val="auto"/>
        </w:rPr>
      </w:pPr>
    </w:p>
    <w:p>
      <w:pPr>
        <w:ind w:right="20" w:firstLine="284"/>
        <w:spacing w:after="0" w:line="289" w:lineRule="auto"/>
        <w:rPr>
          <w:sz w:val="20"/>
          <w:szCs w:val="20"/>
          <w:color w:val="auto"/>
        </w:rPr>
      </w:pPr>
      <w:r>
        <w:rPr>
          <w:rFonts w:ascii="Arial" w:cs="Arial" w:eastAsia="Arial" w:hAnsi="Arial"/>
          <w:sz w:val="14"/>
          <w:szCs w:val="14"/>
          <w:color w:val="auto"/>
        </w:rPr>
        <w:t>Deferred product costs represent deferred cost of revenue for product shipments to customers prior to satisfaction of Sonus' revenue recognition criteria. Such costs are classified as inventory if the deferred revenue is initially classified as current and in Other assets if the related deferred revenue is initially classified as long-term.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93" w:lineRule="exact"/>
        <w:rPr>
          <w:sz w:val="20"/>
          <w:szCs w:val="20"/>
          <w:color w:val="auto"/>
        </w:rPr>
      </w:pPr>
    </w:p>
    <w:p>
      <w:pPr>
        <w:ind w:firstLine="284"/>
        <w:spacing w:after="0" w:line="297" w:lineRule="auto"/>
        <w:rPr>
          <w:sz w:val="20"/>
          <w:szCs w:val="20"/>
          <w:color w:val="auto"/>
        </w:rPr>
      </w:pPr>
      <w:r>
        <w:rPr>
          <w:rFonts w:ascii="Arial" w:cs="Arial" w:eastAsia="Arial" w:hAnsi="Arial"/>
          <w:sz w:val="13"/>
          <w:szCs w:val="13"/>
          <w:color w:val="auto"/>
        </w:rPr>
        <w:t>Property and equipment are stated at cost, net of accumulated depreciation. Expenditures for maintenance and repairs are charged to expense as incurred. Depreciation is computed using the straight-line method over the estimated useful lives of the related assets, which range from two to five years. Leasehold improvements are amortized over the lesser of the lease term or five years. When an asset is sold or retired, the cost and related accumulated depreciation or amortization is eliminated, and the resulting gain or loss, if any, is recognized in income (loss) from operations in the consolidated statement of operations. The Company reviews property and equipment for impairment in the same manner as intangible assets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 and Goodwill</w:t>
      </w:r>
    </w:p>
    <w:p>
      <w:pPr>
        <w:spacing w:after="0" w:line="193" w:lineRule="exact"/>
        <w:rPr>
          <w:sz w:val="20"/>
          <w:szCs w:val="20"/>
          <w:color w:val="auto"/>
        </w:rPr>
      </w:pPr>
    </w:p>
    <w:p>
      <w:pPr>
        <w:ind w:right="360" w:firstLine="284"/>
        <w:spacing w:after="0" w:line="289" w:lineRule="auto"/>
        <w:rPr>
          <w:sz w:val="20"/>
          <w:szCs w:val="20"/>
          <w:color w:val="auto"/>
        </w:rPr>
      </w:pPr>
      <w:r>
        <w:rPr>
          <w:rFonts w:ascii="Arial" w:cs="Arial" w:eastAsia="Arial" w:hAnsi="Arial"/>
          <w:sz w:val="14"/>
          <w:szCs w:val="14"/>
          <w:color w:val="auto"/>
        </w:rPr>
        <w:t>Intangible assets are primarily comprised of intellectual property, which is amortized over its estimated useful life of five years. Intangible assets are reviewed for impairment when events or changes in circumstances indicate that their carrying amounts may not be recoverable based upon the estimated undiscounted cash flows.</w:t>
      </w:r>
    </w:p>
    <w:p>
      <w:pPr>
        <w:spacing w:after="0" w:line="137" w:lineRule="exact"/>
        <w:rPr>
          <w:sz w:val="20"/>
          <w:szCs w:val="20"/>
          <w:color w:val="auto"/>
        </w:rPr>
      </w:pPr>
    </w:p>
    <w:p>
      <w:pPr>
        <w:ind w:right="60" w:firstLine="284"/>
        <w:spacing w:after="0" w:line="267" w:lineRule="auto"/>
        <w:rPr>
          <w:sz w:val="20"/>
          <w:szCs w:val="20"/>
          <w:color w:val="auto"/>
        </w:rPr>
      </w:pPr>
      <w:r>
        <w:rPr>
          <w:rFonts w:ascii="Arial" w:cs="Arial" w:eastAsia="Arial" w:hAnsi="Arial"/>
          <w:sz w:val="14"/>
          <w:szCs w:val="14"/>
          <w:color w:val="auto"/>
        </w:rPr>
        <w:t>Goodwill is recorded when the consideration for an acquisition exceeds the fair value of net tangible and identifiable intangible assets acquired. Goodwill is not amortized, but instead is tested for impairment at least annually, or if indicators of potential impairment exist by comparing the fair value of the Company's reporting unit to its carrying value. The Company estimates the fair value of its reporting unit using a discounted cash flow model or other valuation models, such as comparative transactions and market multiples. During the years ended December 31, 2010, 2009 and 2008, the Company completed its annual testing for impairment of goodwill and, based on those tests, concluded that no impairment of goodwill existed. The Company performs its annual testing on November 30 of each year.</w:t>
      </w:r>
    </w:p>
    <w:p>
      <w:pPr>
        <w:spacing w:after="0" w:line="154"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Estimated fair value is based on either discounted future operating cash flows or appraised values, depending on the nature of the asset.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Assets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Other assets are primarily comprised of the long-term portion of deferred cost of goods sold, prepaid expenses and deposits.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93" w:lineRule="exact"/>
        <w:rPr>
          <w:sz w:val="20"/>
          <w:szCs w:val="20"/>
          <w:color w:val="auto"/>
        </w:rPr>
      </w:pPr>
    </w:p>
    <w:p>
      <w:pPr>
        <w:ind w:firstLine="282"/>
        <w:spacing w:after="0" w:line="270" w:lineRule="auto"/>
        <w:rPr>
          <w:sz w:val="20"/>
          <w:szCs w:val="20"/>
          <w:color w:val="auto"/>
        </w:rPr>
      </w:pPr>
      <w:r>
        <w:rPr>
          <w:rFonts w:ascii="Arial" w:cs="Arial" w:eastAsia="Arial" w:hAnsi="Arial"/>
          <w:sz w:val="14"/>
          <w:szCs w:val="14"/>
          <w:color w:val="auto"/>
        </w:rPr>
        <w:t>The Company's stock-based compensation cost is measured at the grant date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Sonus' stock price, expected term of the option, risk-free interest rate and expected dividends.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Costs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Research and development costs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Software Development Costs</w:t>
      </w:r>
    </w:p>
    <w:p>
      <w:pPr>
        <w:spacing w:after="0" w:line="193" w:lineRule="exact"/>
        <w:rPr>
          <w:sz w:val="20"/>
          <w:szCs w:val="20"/>
          <w:color w:val="auto"/>
        </w:rPr>
      </w:pPr>
    </w:p>
    <w:p>
      <w:pPr>
        <w:ind w:right="160" w:firstLine="282"/>
        <w:spacing w:after="0" w:line="270" w:lineRule="auto"/>
        <w:rPr>
          <w:sz w:val="20"/>
          <w:szCs w:val="20"/>
          <w:color w:val="auto"/>
        </w:rPr>
      </w:pPr>
      <w:r>
        <w:rPr>
          <w:rFonts w:ascii="Arial" w:cs="Arial" w:eastAsia="Arial" w:hAnsi="Arial"/>
          <w:sz w:val="14"/>
          <w:szCs w:val="14"/>
          <w:color w:val="auto"/>
        </w:rPr>
        <w:t>The costs for the development of new software and substantial enhancements to existing software are expensed as incurred until technological feasibility has been established, at which time any additional costs would be capitalized until the product is available for general release. The Company has determined that technological feasibility is established at the time a working model of the software is completed. The Company's process for developing software is essentially completed concurrently with the establishment of technological feasibility. Accordingly, no costs have been capitalized to date.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Credit and Off-Balance Sheet Risk and Single Source Suppliers</w:t>
      </w:r>
    </w:p>
    <w:p>
      <w:pPr>
        <w:spacing w:after="0" w:line="193" w:lineRule="exact"/>
        <w:rPr>
          <w:sz w:val="20"/>
          <w:szCs w:val="20"/>
          <w:color w:val="auto"/>
        </w:rPr>
      </w:pPr>
    </w:p>
    <w:p>
      <w:pPr>
        <w:ind w:right="500" w:firstLine="282"/>
        <w:spacing w:after="0" w:line="289" w:lineRule="auto"/>
        <w:rPr>
          <w:sz w:val="20"/>
          <w:szCs w:val="20"/>
          <w:color w:val="auto"/>
        </w:rPr>
      </w:pPr>
      <w:r>
        <w:rPr>
          <w:rFonts w:ascii="Arial" w:cs="Arial" w:eastAsia="Arial" w:hAnsi="Arial"/>
          <w:sz w:val="14"/>
          <w:szCs w:val="14"/>
          <w:color w:val="auto"/>
        </w:rPr>
        <w:t>The financial instruments that potentially subject Sonus to concentrations of credit risk are cash, cash equivalents, marketable debt securities and accounts receivable. The Company's cash equivalents and marketable debt securities were managed by two financial institutions at both December 31, 2010 and 2009.</w:t>
      </w:r>
    </w:p>
    <w:p>
      <w:pPr>
        <w:spacing w:after="0" w:line="137" w:lineRule="exact"/>
        <w:rPr>
          <w:sz w:val="20"/>
          <w:szCs w:val="20"/>
          <w:color w:val="auto"/>
        </w:rPr>
      </w:pPr>
    </w:p>
    <w:p>
      <w:pPr>
        <w:ind w:right="140" w:firstLine="284"/>
        <w:spacing w:after="0" w:line="289" w:lineRule="auto"/>
        <w:rPr>
          <w:sz w:val="20"/>
          <w:szCs w:val="20"/>
          <w:color w:val="auto"/>
        </w:rPr>
      </w:pPr>
      <w:r>
        <w:rPr>
          <w:rFonts w:ascii="Arial" w:cs="Arial" w:eastAsia="Arial" w:hAnsi="Arial"/>
          <w:sz w:val="14"/>
          <w:szCs w:val="14"/>
          <w:color w:val="auto"/>
        </w:rPr>
        <w:t>Certain components and software licenses from third parties used in Sonus' products are procured from single sources of supply. The failure of a supplier, including a subcontractor, to deliver on schedule could delay or interrupt Sonus' delivery of products and thereby materially adversely affect Sonus' revenues and operating results.</w:t>
      </w:r>
    </w:p>
    <w:p>
      <w:pPr>
        <w:spacing w:after="0" w:line="137" w:lineRule="exact"/>
        <w:rPr>
          <w:sz w:val="20"/>
          <w:szCs w:val="20"/>
          <w:color w:val="auto"/>
        </w:rPr>
      </w:pPr>
    </w:p>
    <w:p>
      <w:pPr>
        <w:ind w:right="360" w:firstLine="284"/>
        <w:spacing w:after="0" w:line="289" w:lineRule="auto"/>
        <w:rPr>
          <w:sz w:val="20"/>
          <w:szCs w:val="20"/>
          <w:color w:val="auto"/>
        </w:rPr>
      </w:pPr>
      <w:r>
        <w:rPr>
          <w:rFonts w:ascii="Arial" w:cs="Arial" w:eastAsia="Arial" w:hAnsi="Arial"/>
          <w:sz w:val="14"/>
          <w:szCs w:val="14"/>
          <w:color w:val="auto"/>
        </w:rPr>
        <w:t>Sonus has a single contract manufacturer. Failure to manage the activities of the manufacturer could result in the disruption in the supply of its products and in delays in the fulfillment of the Company's customer orders.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right="4580" w:firstLine="7"/>
        <w:spacing w:after="0" w:line="524" w:lineRule="auto"/>
        <w:tabs>
          <w:tab w:leader="none" w:pos="201"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 (Continued) Advertising Costs</w:t>
      </w:r>
    </w:p>
    <w:p>
      <w:pPr>
        <w:ind w:firstLine="276"/>
        <w:spacing w:after="0" w:line="289" w:lineRule="auto"/>
        <w:rPr>
          <w:sz w:val="20"/>
          <w:szCs w:val="20"/>
          <w:color w:val="auto"/>
        </w:rPr>
      </w:pPr>
      <w:r>
        <w:rPr>
          <w:rFonts w:ascii="Arial" w:cs="Arial" w:eastAsia="Arial" w:hAnsi="Arial"/>
          <w:sz w:val="14"/>
          <w:szCs w:val="14"/>
          <w:color w:val="auto"/>
        </w:rPr>
        <w:t>Advertising costs are expensed as incurred. Advertising expenses were $0.1 million for the year ended December 31, 2010, $0.2 million for the year ended December 31, 2009 and $0.4 million for the year ended December 31, 2008.</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Income (Loss)</w:t>
      </w:r>
    </w:p>
    <w:p>
      <w:pPr>
        <w:spacing w:after="0" w:line="193" w:lineRule="exact"/>
        <w:rPr>
          <w:sz w:val="20"/>
          <w:szCs w:val="20"/>
          <w:color w:val="auto"/>
        </w:rPr>
      </w:pPr>
    </w:p>
    <w:p>
      <w:pPr>
        <w:ind w:right="40" w:firstLine="284"/>
        <w:spacing w:after="0" w:line="289" w:lineRule="auto"/>
        <w:rPr>
          <w:sz w:val="20"/>
          <w:szCs w:val="20"/>
          <w:color w:val="auto"/>
        </w:rPr>
      </w:pPr>
      <w:r>
        <w:rPr>
          <w:rFonts w:ascii="Arial" w:cs="Arial" w:eastAsia="Arial" w:hAnsi="Arial"/>
          <w:sz w:val="14"/>
          <w:szCs w:val="14"/>
          <w:color w:val="auto"/>
        </w:rPr>
        <w:t>Comprehensive income (loss) is comprised of net income (loss), unrealized gains and losses on available-for-sale marketable securities and foreign currency translation adjustments for all periods presented. The components of accumulated other comprehensive income (loss) are as follows (in thousands):</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0"/>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3"/>
              </w:rPr>
              <w:t>gain (loss)</w:t>
            </w: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0"/>
              </w:rPr>
              <w:t>Tax impact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0"/>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74"/>
              </w:rPr>
              <w:t>on</w:t>
            </w:r>
          </w:p>
        </w:tc>
        <w:tc>
          <w:tcPr>
            <w:tcW w:w="86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7"/>
              </w:rPr>
              <w:t>of gain (loss)</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0"/>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Foreign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1"/>
              </w:rPr>
              <w:t>available-</w:t>
            </w:r>
          </w:p>
        </w:tc>
        <w:tc>
          <w:tcPr>
            <w:tcW w:w="86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9"/>
              </w:rPr>
              <w:t>on available-</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0"/>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90"/>
              </w:rPr>
              <w:t>currency</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5"/>
              </w:rPr>
              <w:t>for-sale</w:t>
            </w: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0"/>
              </w:rPr>
              <w:t>for-sale</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0"/>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4"/>
              <w:spacing w:after="0" w:line="121" w:lineRule="exact"/>
              <w:rPr>
                <w:sz w:val="20"/>
                <w:szCs w:val="20"/>
                <w:color w:val="auto"/>
              </w:rPr>
            </w:pPr>
            <w:r>
              <w:rPr>
                <w:rFonts w:ascii="Arial" w:cs="Arial" w:eastAsia="Arial" w:hAnsi="Arial"/>
                <w:sz w:val="11"/>
                <w:szCs w:val="11"/>
                <w:b w:val="1"/>
                <w:bCs w:val="1"/>
                <w:color w:val="auto"/>
                <w:w w:val="88"/>
              </w:rPr>
              <w:t>translation</w:t>
            </w:r>
          </w:p>
        </w:tc>
        <w:tc>
          <w:tcPr>
            <w:tcW w:w="140" w:type="dxa"/>
            <w:vAlign w:val="bottom"/>
          </w:tcPr>
          <w:p>
            <w:pPr>
              <w:spacing w:after="0"/>
              <w:rPr>
                <w:sz w:val="10"/>
                <w:szCs w:val="10"/>
                <w:color w:val="auto"/>
              </w:rPr>
            </w:pPr>
          </w:p>
        </w:tc>
        <w:tc>
          <w:tcPr>
            <w:tcW w:w="80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2"/>
              </w:rPr>
              <w:t>marketable</w:t>
            </w:r>
          </w:p>
        </w:tc>
        <w:tc>
          <w:tcPr>
            <w:tcW w:w="80" w:type="dxa"/>
            <w:vAlign w:val="bottom"/>
          </w:tcPr>
          <w:p>
            <w:pPr>
              <w:spacing w:after="0"/>
              <w:rPr>
                <w:sz w:val="10"/>
                <w:szCs w:val="10"/>
                <w:color w:val="auto"/>
              </w:rPr>
            </w:pPr>
          </w:p>
        </w:tc>
        <w:tc>
          <w:tcPr>
            <w:tcW w:w="7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marketable</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1"/>
        </w:trPr>
        <w:tc>
          <w:tcPr>
            <w:tcW w:w="6060" w:type="dxa"/>
            <w:vAlign w:val="bottom"/>
          </w:tcPr>
          <w:p>
            <w:pPr>
              <w:spacing w:after="0"/>
              <w:rPr>
                <w:sz w:val="11"/>
                <w:szCs w:val="11"/>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adjustment</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1"/>
              </w:rPr>
              <w:t>securities</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85"/>
              </w:rPr>
              <w:t>securities</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1"/>
                <w:szCs w:val="11"/>
                <w:color w:val="auto"/>
              </w:rPr>
            </w:pPr>
          </w:p>
        </w:tc>
      </w:tr>
      <w:tr>
        <w:trPr>
          <w:trHeight w:val="166"/>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Balance at January 1, 2008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40" w:type="dxa"/>
            <w:vAlign w:val="bottom"/>
            <w:shd w:val="clear" w:color="auto" w:fill="CCEEFF"/>
          </w:tcPr>
          <w:p>
            <w:pPr>
              <w:spacing w:after="0"/>
              <w:rPr>
                <w:sz w:val="14"/>
                <w:szCs w:val="14"/>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4"/>
                <w:szCs w:val="14"/>
                <w:color w:val="auto"/>
              </w:rPr>
              <w:t>Activity</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6,085</w:t>
            </w:r>
          </w:p>
        </w:tc>
        <w:tc>
          <w:tcPr>
            <w:tcW w:w="140" w:type="dxa"/>
            <w:vAlign w:val="bottom"/>
          </w:tcPr>
          <w:p>
            <w:pPr>
              <w:spacing w:after="0"/>
              <w:rPr>
                <w:sz w:val="16"/>
                <w:szCs w:val="16"/>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w:t>
            </w:r>
          </w:p>
        </w:tc>
        <w:tc>
          <w:tcPr>
            <w:tcW w:w="140" w:type="dxa"/>
            <w:vAlign w:val="bottom"/>
            <w:shd w:val="clear" w:color="auto" w:fill="CCEEFF"/>
          </w:tcPr>
          <w:p>
            <w:pPr>
              <w:spacing w:after="0"/>
              <w:rPr>
                <w:sz w:val="15"/>
                <w:szCs w:val="15"/>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4"/>
                <w:szCs w:val="14"/>
                <w:color w:val="auto"/>
              </w:rPr>
              <w:t>Activity</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(1,082)</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(641)</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6,712</w:t>
            </w:r>
          </w:p>
        </w:tc>
        <w:tc>
          <w:tcPr>
            <w:tcW w:w="140" w:type="dxa"/>
            <w:vAlign w:val="bottom"/>
            <w:shd w:val="clear" w:color="auto" w:fill="CCEEFF"/>
          </w:tcPr>
          <w:p>
            <w:pPr>
              <w:spacing w:after="0"/>
              <w:rPr>
                <w:sz w:val="15"/>
                <w:szCs w:val="15"/>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4"/>
                <w:szCs w:val="14"/>
                <w:color w:val="auto"/>
              </w:rPr>
              <w:t>Activity</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183</w:t>
            </w:r>
          </w:p>
        </w:tc>
        <w:tc>
          <w:tcPr>
            <w:tcW w:w="140" w:type="dxa"/>
            <w:vAlign w:val="bottom"/>
          </w:tcPr>
          <w:p>
            <w:pPr>
              <w:spacing w:after="0"/>
              <w:rPr>
                <w:sz w:val="16"/>
                <w:szCs w:val="16"/>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2010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w:t>
            </w:r>
          </w:p>
        </w:tc>
        <w:tc>
          <w:tcPr>
            <w:tcW w:w="140" w:type="dxa"/>
            <w:vAlign w:val="bottom"/>
            <w:shd w:val="clear" w:color="auto" w:fill="CCEEFF"/>
          </w:tcPr>
          <w:p>
            <w:pPr>
              <w:spacing w:after="0"/>
              <w:rPr>
                <w:sz w:val="15"/>
                <w:szCs w:val="15"/>
                <w:color w:val="auto"/>
              </w:rPr>
            </w:pPr>
          </w:p>
        </w:tc>
      </w:tr>
      <w:tr>
        <w:trPr>
          <w:trHeight w:val="22"/>
        </w:trPr>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Segments</w:t>
      </w:r>
    </w:p>
    <w:p>
      <w:pPr>
        <w:spacing w:after="0" w:line="193" w:lineRule="exact"/>
        <w:rPr>
          <w:sz w:val="20"/>
          <w:szCs w:val="20"/>
          <w:color w:val="auto"/>
        </w:rPr>
      </w:pPr>
    </w:p>
    <w:p>
      <w:pPr>
        <w:ind w:right="60" w:firstLine="282"/>
        <w:spacing w:after="0" w:line="275" w:lineRule="auto"/>
        <w:rPr>
          <w:sz w:val="20"/>
          <w:szCs w:val="20"/>
          <w:color w:val="auto"/>
        </w:rPr>
      </w:pPr>
      <w:r>
        <w:rPr>
          <w:rFonts w:ascii="Arial" w:cs="Arial" w:eastAsia="Arial" w:hAnsi="Arial"/>
          <w:sz w:val="14"/>
          <w:szCs w:val="14"/>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Contingencies and Reserves</w:t>
      </w:r>
    </w:p>
    <w:p>
      <w:pPr>
        <w:spacing w:after="0" w:line="193" w:lineRule="exact"/>
        <w:rPr>
          <w:sz w:val="20"/>
          <w:szCs w:val="20"/>
          <w:color w:val="auto"/>
        </w:rPr>
      </w:pPr>
    </w:p>
    <w:p>
      <w:pPr>
        <w:ind w:right="100" w:firstLine="284"/>
        <w:spacing w:after="0" w:line="270" w:lineRule="auto"/>
        <w:rPr>
          <w:sz w:val="20"/>
          <w:szCs w:val="20"/>
          <w:color w:val="auto"/>
        </w:rPr>
      </w:pPr>
      <w:r>
        <w:rPr>
          <w:rFonts w:ascii="Arial" w:cs="Arial" w:eastAsia="Arial" w:hAnsi="Arial"/>
          <w:sz w:val="14"/>
          <w:szCs w:val="14"/>
          <w:b w:val="1"/>
          <w:bCs w:val="1"/>
          <w:i w:val="1"/>
          <w:iCs w:val="1"/>
          <w:color w:val="auto"/>
        </w:rPr>
        <w:t xml:space="preserve">Loss Contingencies. </w:t>
      </w:r>
      <w:r>
        <w:rPr>
          <w:rFonts w:ascii="Arial" w:cs="Arial" w:eastAsia="Arial" w:hAnsi="Arial"/>
          <w:sz w:val="14"/>
          <w:szCs w:val="14"/>
          <w:color w:val="auto"/>
        </w:rPr>
        <w:t>Sonus is subject to ongoing business risks arising in the ordinary course of business that affect the estimation process of the carrying value of assets, the recording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liabilities and the possibility of various loss contingencies. An estimated loss contingency is accrued when it is probable that a liability has been incurred or an asset has been impaired and the amount of loss can be reasonably estimated. Sonus regularly evaluates current information available to determine whether such amounts should be adjusted and records changes in estimates in the period they become known.</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193" w:lineRule="exact"/>
        <w:rPr>
          <w:sz w:val="20"/>
          <w:szCs w:val="20"/>
          <w:color w:val="auto"/>
        </w:rPr>
      </w:pPr>
    </w:p>
    <w:p>
      <w:pPr>
        <w:ind w:right="520" w:firstLine="279"/>
        <w:spacing w:after="0" w:line="330" w:lineRule="auto"/>
        <w:rPr>
          <w:sz w:val="20"/>
          <w:szCs w:val="20"/>
          <w:color w:val="auto"/>
        </w:rPr>
      </w:pPr>
      <w:r>
        <w:rPr>
          <w:rFonts w:ascii="Arial" w:cs="Arial" w:eastAsia="Arial" w:hAnsi="Arial"/>
          <w:sz w:val="13"/>
          <w:szCs w:val="13"/>
          <w:b w:val="1"/>
          <w:bCs w:val="1"/>
          <w:i w:val="1"/>
          <w:iCs w:val="1"/>
          <w:color w:val="auto"/>
        </w:rPr>
        <w:t xml:space="preserve">Allowance for Doubtful Accounts. </w:t>
      </w:r>
      <w:r>
        <w:rPr>
          <w:rFonts w:ascii="Arial" w:cs="Arial" w:eastAsia="Arial" w:hAnsi="Arial"/>
          <w:sz w:val="13"/>
          <w:szCs w:val="13"/>
          <w:color w:val="auto"/>
        </w:rPr>
        <w:t>Sonus establishes billing terms at the time it negotiates purchase agreements with its customers. Sonus monitors its outstanding receivables for timely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payments and potential collection issues. An allowance for doubtful accounts is estimated based on Sonus' assessment of the collectibility of specific customer accounts.</w:t>
      </w:r>
    </w:p>
    <w:p>
      <w:pPr>
        <w:spacing w:after="0" w:line="113" w:lineRule="exact"/>
        <w:rPr>
          <w:sz w:val="20"/>
          <w:szCs w:val="20"/>
          <w:color w:val="auto"/>
        </w:rPr>
      </w:pPr>
    </w:p>
    <w:p>
      <w:pPr>
        <w:jc w:val="both"/>
        <w:ind w:right="40" w:firstLine="284"/>
        <w:spacing w:after="0" w:line="275" w:lineRule="auto"/>
        <w:rPr>
          <w:sz w:val="20"/>
          <w:szCs w:val="20"/>
          <w:color w:val="auto"/>
        </w:rPr>
      </w:pPr>
      <w:r>
        <w:rPr>
          <w:rFonts w:ascii="Arial" w:cs="Arial" w:eastAsia="Arial" w:hAnsi="Arial"/>
          <w:sz w:val="14"/>
          <w:szCs w:val="14"/>
          <w:b w:val="1"/>
          <w:bCs w:val="1"/>
          <w:i w:val="1"/>
          <w:iCs w:val="1"/>
          <w:color w:val="auto"/>
        </w:rPr>
        <w:t xml:space="preserve">Royalty Accrual. </w:t>
      </w:r>
      <w:r>
        <w:rPr>
          <w:rFonts w:ascii="Arial" w:cs="Arial" w:eastAsia="Arial" w:hAnsi="Arial"/>
          <w:sz w:val="14"/>
          <w:szCs w:val="14"/>
          <w:color w:val="auto"/>
        </w:rPr>
        <w:t>Sonus accrues for royalties for technology that it licenses from vendors based on established royalty rates and usage. In certain cases, Sonus has been contacted by third parties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who claim that Sonus' products infringe on certain intellectual property of the third party. Sonus evaluates these claims and accrues for royalties when it is probable that the obligation has been incurred and the amounts are reasonably estimable.</w:t>
      </w:r>
    </w:p>
    <w:p>
      <w:pPr>
        <w:spacing w:after="0" w:line="146" w:lineRule="exact"/>
        <w:rPr>
          <w:sz w:val="20"/>
          <w:szCs w:val="20"/>
          <w:color w:val="auto"/>
        </w:rPr>
      </w:pPr>
    </w:p>
    <w:p>
      <w:pPr>
        <w:ind w:right="20" w:firstLine="284"/>
        <w:spacing w:after="0" w:line="270" w:lineRule="auto"/>
        <w:rPr>
          <w:sz w:val="20"/>
          <w:szCs w:val="20"/>
          <w:color w:val="auto"/>
        </w:rPr>
      </w:pPr>
      <w:r>
        <w:rPr>
          <w:rFonts w:ascii="Arial" w:cs="Arial" w:eastAsia="Arial" w:hAnsi="Arial"/>
          <w:sz w:val="14"/>
          <w:szCs w:val="14"/>
          <w:b w:val="1"/>
          <w:bCs w:val="1"/>
          <w:i w:val="1"/>
          <w:iCs w:val="1"/>
          <w:color w:val="auto"/>
        </w:rPr>
        <w:t xml:space="preserve">Reserve for Litigation and Legal Fees. </w:t>
      </w:r>
      <w:r>
        <w:rPr>
          <w:rFonts w:ascii="Arial" w:cs="Arial" w:eastAsia="Arial" w:hAnsi="Arial"/>
          <w:sz w:val="14"/>
          <w:szCs w:val="14"/>
          <w:color w:val="auto"/>
        </w:rPr>
        <w:t>Sonus is subject to various legal claims, including securities litigation. Sonus reserves for legal contingencies and legal fees when it is probable that a loss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been incurred and the amounts are reasonably estimable. Sonus' director and officer liability insurance policies provide only limited liability protection relating to the securities class action and derivative lawsuits against Sonus and certain of its officers and directors. The ultimate outcome of these items is uncertain and the potential loss, if any, may be significantly different than the amounts Sonus has previously accrued.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for Income Taxes</w:t>
      </w:r>
    </w:p>
    <w:p>
      <w:pPr>
        <w:spacing w:after="0" w:line="193" w:lineRule="exact"/>
        <w:rPr>
          <w:sz w:val="20"/>
          <w:szCs w:val="20"/>
          <w:color w:val="auto"/>
        </w:rPr>
      </w:pPr>
    </w:p>
    <w:p>
      <w:pPr>
        <w:ind w:right="40" w:firstLine="284"/>
        <w:spacing w:after="0" w:line="266" w:lineRule="auto"/>
        <w:rPr>
          <w:sz w:val="20"/>
          <w:szCs w:val="20"/>
          <w:color w:val="auto"/>
        </w:rPr>
      </w:pPr>
      <w:r>
        <w:rPr>
          <w:rFonts w:ascii="Arial" w:cs="Arial" w:eastAsia="Arial" w:hAnsi="Arial"/>
          <w:sz w:val="14"/>
          <w:szCs w:val="14"/>
          <w:color w:val="auto"/>
        </w:rPr>
        <w:t>Deferred tax assets and liabilities are recognized for the expected future consequences of events that have been reflected in the financial statements. Deferred tax assets and liabilities are determined based on the differences between the book and tax bases of assets and liabilities and operating loss carryforwards, using tax rates expected to be in effect for the years in which the differences are expected to reverse. Such differences arise primarily from stock-based compensation, depreciation, accruals and reserves, deferred revenue, tax credits, net operating loss carryforwards and allowances for accounts receivable. Sonus records valuation allowances to reduce deferred income tax assets to the amount that is more likely than not to be realized. Sonus has not provided for U.S. income taxes on the undistributed earnings of non-U.S. subsidiaries, as the Company plans to permanently reinvest these amounts. Cumulative undistributed foreign earnings were $19.0 million at December 31, 2010 and $15.5 million at December 31, 2009.</w:t>
      </w:r>
    </w:p>
    <w:p>
      <w:pPr>
        <w:spacing w:after="0" w:line="153" w:lineRule="exact"/>
        <w:rPr>
          <w:sz w:val="20"/>
          <w:szCs w:val="20"/>
          <w:color w:val="auto"/>
        </w:rPr>
      </w:pPr>
    </w:p>
    <w:p>
      <w:pPr>
        <w:ind w:firstLine="282"/>
        <w:spacing w:after="0" w:line="305" w:lineRule="auto"/>
        <w:rPr>
          <w:sz w:val="20"/>
          <w:szCs w:val="20"/>
          <w:color w:val="auto"/>
        </w:rPr>
      </w:pPr>
      <w:r>
        <w:rPr>
          <w:rFonts w:ascii="Arial" w:cs="Arial" w:eastAsia="Arial" w:hAnsi="Arial"/>
          <w:sz w:val="13"/>
          <w:szCs w:val="13"/>
          <w:color w:val="auto"/>
        </w:rPr>
        <w:t>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93" w:lineRule="exact"/>
        <w:rPr>
          <w:sz w:val="20"/>
          <w:szCs w:val="20"/>
          <w:color w:val="auto"/>
        </w:rPr>
      </w:pPr>
    </w:p>
    <w:p>
      <w:pPr>
        <w:ind w:right="80" w:firstLine="284"/>
        <w:spacing w:after="0" w:line="378" w:lineRule="auto"/>
        <w:rPr>
          <w:sz w:val="20"/>
          <w:szCs w:val="20"/>
          <w:color w:val="auto"/>
        </w:rPr>
      </w:pPr>
      <w:r>
        <w:rPr>
          <w:rFonts w:ascii="Arial" w:cs="Arial" w:eastAsia="Arial" w:hAnsi="Arial"/>
          <w:sz w:val="12"/>
          <w:szCs w:val="12"/>
          <w:color w:val="auto"/>
        </w:rPr>
        <w:t xml:space="preserve">In October 2009, an update was issued to </w:t>
      </w:r>
      <w:r>
        <w:rPr>
          <w:rFonts w:ascii="Arial" w:cs="Arial" w:eastAsia="Arial" w:hAnsi="Arial"/>
          <w:sz w:val="12"/>
          <w:szCs w:val="12"/>
          <w:i w:val="1"/>
          <w:iCs w:val="1"/>
          <w:color w:val="auto"/>
        </w:rPr>
        <w:t>Certain Arrangements that Include Software Elements</w:t>
      </w:r>
      <w:r>
        <w:rPr>
          <w:rFonts w:ascii="Arial" w:cs="Arial" w:eastAsia="Arial" w:hAnsi="Arial"/>
          <w:sz w:val="12"/>
          <w:szCs w:val="12"/>
          <w:color w:val="auto"/>
        </w:rPr>
        <w:t>. This update removes tangible products from the scope of software revenue guidance and provides guidance on determining whether software deliverables in an arrangement that includes a tangible product are covered by the scope of the software revenue guidance. This update will require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SUMMARY OF SIGNIFICANT ACCOUNTING POLICIES (Continued)</w:t>
      </w:r>
    </w:p>
    <w:p>
      <w:pPr>
        <w:spacing w:after="0" w:line="200" w:lineRule="exact"/>
        <w:rPr>
          <w:sz w:val="20"/>
          <w:szCs w:val="20"/>
          <w:color w:val="auto"/>
        </w:rPr>
      </w:pPr>
    </w:p>
    <w:p>
      <w:pPr>
        <w:spacing w:after="0" w:line="364" w:lineRule="exact"/>
        <w:rPr>
          <w:sz w:val="20"/>
          <w:szCs w:val="20"/>
          <w:color w:val="auto"/>
        </w:rPr>
      </w:pPr>
    </w:p>
    <w:p>
      <w:pPr>
        <w:spacing w:after="0" w:line="286" w:lineRule="auto"/>
        <w:rPr>
          <w:sz w:val="20"/>
          <w:szCs w:val="20"/>
          <w:color w:val="auto"/>
        </w:rPr>
      </w:pPr>
      <w:r>
        <w:rPr>
          <w:rFonts w:ascii="Arial" w:cs="Arial" w:eastAsia="Arial" w:hAnsi="Arial"/>
          <w:sz w:val="13"/>
          <w:szCs w:val="13"/>
          <w:color w:val="auto"/>
        </w:rPr>
        <w:t xml:space="preserve">Company to account for many of its multiple element arrangements as non-software transactions and could impact the timing and amounts of revenue recognized. This update is effective for the Company beginning January 1, 2011. The adoption of this update will affect the Company's multiple-element arrangements that contain tangible products (hardware) with software elements, which comprise the majority of the Company's revenue transactions. Previously, for arrangements accounted for under Statement of Position 97-2, </w:t>
      </w:r>
      <w:r>
        <w:rPr>
          <w:rFonts w:ascii="Arial" w:cs="Arial" w:eastAsia="Arial" w:hAnsi="Arial"/>
          <w:sz w:val="13"/>
          <w:szCs w:val="13"/>
          <w:i w:val="1"/>
          <w:iCs w:val="1"/>
          <w:color w:val="auto"/>
        </w:rPr>
        <w:t>Software Revenue Recognition</w:t>
      </w:r>
      <w:r>
        <w:rPr>
          <w:rFonts w:ascii="Arial" w:cs="Arial" w:eastAsia="Arial" w:hAnsi="Arial"/>
          <w:sz w:val="13"/>
          <w:szCs w:val="13"/>
          <w:color w:val="auto"/>
        </w:rPr>
        <w:t>, revenue from transactions for which vendor specific objective evidence of fair value ("VSOE") did not exist for each undelivered element of the transaction would remain deferred until either VSOE was established or the undelivered element was delivered. The new guidance prescribes a methodology for determining the fair value, or best estimated selling price, of deliverables on an individual element basis, including elements for which VSOE previously did not exist. Although each element will be allocated a best estimated selling price under the new methodology, the timing of revenue recognition will generally not be affected because the revenue from the majority of the Company's sales contracts for multiple-element arrangements is recognized either upon shipment of the products or upon customer acceptance. Customer acceptance generally does not occur until either both shipment of product and delivery of professional services or the expiration date of the contractual acceptance period. Accordingly, the Company believes that the adoption of this update will not have a material effect on its consolidated financial position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EARNINGS (LOSS) PER SHARE</w:t>
      </w:r>
    </w:p>
    <w:p>
      <w:pPr>
        <w:spacing w:after="0" w:line="193" w:lineRule="exact"/>
        <w:rPr>
          <w:sz w:val="20"/>
          <w:szCs w:val="20"/>
          <w:color w:val="auto"/>
        </w:rPr>
      </w:pPr>
    </w:p>
    <w:p>
      <w:pPr>
        <w:ind w:right="80" w:firstLine="284"/>
        <w:spacing w:after="0" w:line="275" w:lineRule="auto"/>
        <w:rPr>
          <w:sz w:val="20"/>
          <w:szCs w:val="20"/>
          <w:color w:val="auto"/>
        </w:rPr>
      </w:pPr>
      <w:r>
        <w:rPr>
          <w:rFonts w:ascii="Arial" w:cs="Arial" w:eastAsia="Arial" w:hAnsi="Arial"/>
          <w:sz w:val="14"/>
          <w:szCs w:val="14"/>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calculations of shares used to compute basic and diluted earnings (loss) per share are as follows (in thousands):</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7060" w:type="dxa"/>
            <w:vAlign w:val="bottom"/>
          </w:tcPr>
          <w:p>
            <w:pPr>
              <w:spacing w:after="0"/>
              <w:rPr>
                <w:sz w:val="11"/>
                <w:szCs w:val="11"/>
                <w:color w:val="auto"/>
              </w:rPr>
            </w:pPr>
          </w:p>
        </w:tc>
        <w:tc>
          <w:tcPr>
            <w:tcW w:w="210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Year ended December 31,</w:t>
            </w:r>
          </w:p>
        </w:tc>
      </w:tr>
      <w:tr>
        <w:trPr>
          <w:trHeight w:val="111"/>
        </w:trPr>
        <w:tc>
          <w:tcPr>
            <w:tcW w:w="7060" w:type="dxa"/>
            <w:vAlign w:val="bottom"/>
          </w:tcPr>
          <w:p>
            <w:pPr>
              <w:spacing w:after="0"/>
              <w:rPr>
                <w:sz w:val="9"/>
                <w:szCs w:val="9"/>
                <w:color w:val="auto"/>
              </w:rPr>
            </w:pPr>
          </w:p>
        </w:tc>
        <w:tc>
          <w:tcPr>
            <w:tcW w:w="560" w:type="dxa"/>
            <w:vAlign w:val="bottom"/>
            <w:tcBorders>
              <w:top w:val="single" w:sz="8" w:color="auto"/>
              <w:bottom w:val="single" w:sz="8" w:color="auto"/>
            </w:tcBorders>
          </w:tcPr>
          <w:p>
            <w:pPr>
              <w:jc w:val="right"/>
              <w:ind w:right="116"/>
              <w:spacing w:after="0" w:line="111" w:lineRule="exact"/>
              <w:rPr>
                <w:sz w:val="20"/>
                <w:szCs w:val="20"/>
                <w:color w:val="auto"/>
              </w:rPr>
            </w:pPr>
            <w:r>
              <w:rPr>
                <w:rFonts w:ascii="Arial" w:cs="Arial" w:eastAsia="Arial" w:hAnsi="Arial"/>
                <w:sz w:val="11"/>
                <w:szCs w:val="11"/>
                <w:b w:val="1"/>
                <w:bCs w:val="1"/>
                <w:color w:val="auto"/>
              </w:rPr>
              <w:t>2010</w:t>
            </w: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14"/>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14"/>
              <w:spacing w:after="0" w:line="11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9"/>
                <w:szCs w:val="9"/>
                <w:color w:val="auto"/>
              </w:rPr>
            </w:pPr>
          </w:p>
        </w:tc>
      </w:tr>
      <w:tr>
        <w:trPr>
          <w:trHeight w:val="166"/>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outstanding—basic</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273,730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271,477</w:t>
            </w:r>
          </w:p>
        </w:tc>
        <w:tc>
          <w:tcPr>
            <w:tcW w:w="140" w:type="dxa"/>
            <w:vAlign w:val="bottom"/>
            <w:shd w:val="clear" w:color="auto" w:fill="CCEEFF"/>
          </w:tcPr>
          <w:p>
            <w:pPr>
              <w:spacing w:after="0"/>
              <w:rPr>
                <w:sz w:val="14"/>
                <w:szCs w:val="14"/>
                <w:color w:val="auto"/>
              </w:rPr>
            </w:pPr>
          </w:p>
        </w:tc>
      </w:tr>
      <w:tr>
        <w:trPr>
          <w:trHeight w:val="189"/>
        </w:trPr>
        <w:tc>
          <w:tcPr>
            <w:tcW w:w="7060" w:type="dxa"/>
            <w:vAlign w:val="bottom"/>
          </w:tcPr>
          <w:p>
            <w:pPr>
              <w:spacing w:after="0"/>
              <w:rPr>
                <w:sz w:val="20"/>
                <w:szCs w:val="20"/>
                <w:color w:val="auto"/>
              </w:rPr>
            </w:pPr>
            <w:r>
              <w:rPr>
                <w:rFonts w:ascii="Arial" w:cs="Arial" w:eastAsia="Arial" w:hAnsi="Arial"/>
                <w:sz w:val="14"/>
                <w:szCs w:val="14"/>
                <w:color w:val="auto"/>
              </w:rPr>
              <w:t>Potential dilutive common shares</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74"/>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outstanding—diluted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275,470</w:t>
            </w: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273,730</w:t>
            </w: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271,477</w:t>
            </w:r>
          </w:p>
        </w:tc>
        <w:tc>
          <w:tcPr>
            <w:tcW w:w="140" w:type="dxa"/>
            <w:vAlign w:val="bottom"/>
            <w:shd w:val="clear" w:color="auto" w:fill="CCEEFF"/>
          </w:tcPr>
          <w:p>
            <w:pPr>
              <w:spacing w:after="0"/>
              <w:rPr>
                <w:sz w:val="15"/>
                <w:szCs w:val="15"/>
                <w:color w:val="auto"/>
              </w:rPr>
            </w:pPr>
          </w:p>
        </w:tc>
      </w:tr>
      <w:tr>
        <w:trPr>
          <w:trHeight w:val="22"/>
        </w:trPr>
        <w:tc>
          <w:tcPr>
            <w:tcW w:w="7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Options to purchase the Company's common stock and unvested shares of restricted stock and performance-based stock awards aggregating approximately 20.8 million shares for the year ended December 31, 2010, 28.1 million shares for the year ended December 31, 2009 and 40.9 million shares for the year ended December 31, 2008 have not been included in the computation of diluted loss per share because their effect would have been antidilutive.</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60"/>
          </w:cols>
          <w:pgMar w:left="220" w:top="132" w:right="31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CASH EQUIVALENTS, MARKETABLE SECURITIES AND INVESTMENTS</w:t>
      </w:r>
    </w:p>
    <w:p>
      <w:pPr>
        <w:spacing w:after="0" w:line="193" w:lineRule="exact"/>
        <w:rPr>
          <w:sz w:val="20"/>
          <w:szCs w:val="20"/>
          <w:color w:val="auto"/>
        </w:rPr>
      </w:pPr>
    </w:p>
    <w:p>
      <w:pPr>
        <w:ind w:right="80" w:firstLine="284"/>
        <w:spacing w:after="0" w:line="289" w:lineRule="auto"/>
        <w:rPr>
          <w:sz w:val="20"/>
          <w:szCs w:val="20"/>
          <w:color w:val="auto"/>
        </w:rPr>
      </w:pPr>
      <w:r>
        <w:rPr>
          <w:rFonts w:ascii="Arial" w:cs="Arial" w:eastAsia="Arial" w:hAnsi="Arial"/>
          <w:sz w:val="14"/>
          <w:szCs w:val="14"/>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37" w:lineRule="exact"/>
        <w:rPr>
          <w:sz w:val="20"/>
          <w:szCs w:val="20"/>
          <w:color w:val="auto"/>
        </w:rPr>
      </w:pPr>
    </w:p>
    <w:p>
      <w:pPr>
        <w:jc w:val="both"/>
        <w:ind w:right="200" w:firstLine="284"/>
        <w:spacing w:after="0" w:line="341" w:lineRule="auto"/>
        <w:rPr>
          <w:sz w:val="20"/>
          <w:szCs w:val="20"/>
          <w:color w:val="auto"/>
        </w:rPr>
      </w:pPr>
      <w:r>
        <w:rPr>
          <w:rFonts w:ascii="Arial" w:cs="Arial" w:eastAsia="Arial" w:hAnsi="Arial"/>
          <w:sz w:val="12"/>
          <w:szCs w:val="12"/>
          <w:color w:val="auto"/>
        </w:rPr>
        <w:t>During the year ended December 31, 2010, the Company sold $8.4 million of available-for-sale securities and realized approximately $7,000 of gains and no losses as a result of these sales on a specific identification basis. During the year ended December 31, 2009, the Company sold $6.0 million of available-for-sale securities and realized approximately $17,000 of gains and no losses as a result of these sales on a specific identification basis. These amounts are included in the Company's consolidated statement of operations for the years ended December 31, 2010 and 2009.</w:t>
      </w:r>
    </w:p>
    <w:p>
      <w:pPr>
        <w:spacing w:after="0" w:line="111" w:lineRule="exact"/>
        <w:rPr>
          <w:sz w:val="20"/>
          <w:szCs w:val="20"/>
          <w:color w:val="auto"/>
        </w:rPr>
      </w:pPr>
    </w:p>
    <w:p>
      <w:pPr>
        <w:ind w:right="60" w:firstLine="284"/>
        <w:spacing w:after="0" w:line="270" w:lineRule="auto"/>
        <w:rPr>
          <w:sz w:val="20"/>
          <w:szCs w:val="20"/>
          <w:color w:val="auto"/>
        </w:rPr>
      </w:pPr>
      <w:r>
        <w:rPr>
          <w:rFonts w:ascii="Arial" w:cs="Arial" w:eastAsia="Arial" w:hAnsi="Arial"/>
          <w:sz w:val="14"/>
          <w:szCs w:val="14"/>
          <w:color w:val="auto"/>
        </w:rPr>
        <w:t>On June 12, 2008, the Company transferred its held-to-maturity portfolio of debt securities, aggregating $373.1 million, to the available-for-sale category. Subsequent to the transfer of its held-to-maturity portfolio to the available-for-sale category, the Company sold $90.6 million of available-for-sale securities. The Company realized approximately $82,000 of gains and $10,000 of losses in the period from June 12, 2008 through December 31, 2008 as a result of these sales. These amounts are included in the Company's consolidated statement of operations for the year ended December 31, 2008.</w:t>
      </w:r>
    </w:p>
    <w:p>
      <w:pPr>
        <w:spacing w:after="0" w:line="150" w:lineRule="exact"/>
        <w:rPr>
          <w:sz w:val="20"/>
          <w:szCs w:val="20"/>
          <w:color w:val="auto"/>
        </w:rPr>
      </w:pPr>
    </w:p>
    <w:p>
      <w:pPr>
        <w:ind w:right="300" w:firstLine="284"/>
        <w:spacing w:after="0" w:line="275" w:lineRule="auto"/>
        <w:rPr>
          <w:sz w:val="20"/>
          <w:szCs w:val="20"/>
          <w:color w:val="auto"/>
        </w:rPr>
      </w:pPr>
      <w:r>
        <w:rPr>
          <w:rFonts w:ascii="Arial" w:cs="Arial" w:eastAsia="Arial" w:hAnsi="Arial"/>
          <w:sz w:val="14"/>
          <w:szCs w:val="14"/>
          <w:color w:val="auto"/>
        </w:rPr>
        <w:t>Marketable securities and investments with continuous unrealized losses for one year or greater at December 31, 2010 were nominal; however, since the Company does not intend to sell these securities and does not believe it will be required to sell any securities before they recover in value, it does not believe these declines are other-than-temporary. The Company had no marketable securities or investments with continuous unrealized losses for one year or greater at December 31, 2009.</w:t>
      </w:r>
    </w:p>
    <w:p>
      <w:pPr>
        <w:spacing w:after="0" w:line="146" w:lineRule="exact"/>
        <w:rPr>
          <w:sz w:val="20"/>
          <w:szCs w:val="20"/>
          <w:color w:val="auto"/>
        </w:rPr>
      </w:pPr>
    </w:p>
    <w:p>
      <w:pPr>
        <w:ind w:right="20" w:firstLine="282"/>
        <w:spacing w:after="0" w:line="289" w:lineRule="auto"/>
        <w:rPr>
          <w:sz w:val="20"/>
          <w:szCs w:val="20"/>
          <w:color w:val="auto"/>
        </w:rPr>
      </w:pPr>
      <w:r>
        <w:rPr>
          <w:rFonts w:ascii="Arial" w:cs="Arial" w:eastAsia="Arial" w:hAnsi="Arial"/>
          <w:sz w:val="14"/>
          <w:szCs w:val="14"/>
          <w:color w:val="auto"/>
        </w:rPr>
        <w:t>The amortized cost, gross unrealized gains and losses and fair value of the Company's marketable debt and equity securities and investments at December 31, 2010 and 2009 were comprised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1"/>
                <w:szCs w:val="11"/>
                <w:b w:val="1"/>
                <w:bCs w:val="1"/>
                <w:color w:val="auto"/>
                <w:w w:val="98"/>
              </w:rPr>
              <w:t>December 31, 2010</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20" w:type="dxa"/>
            <w:vAlign w:val="bottom"/>
            <w:gridSpan w:val="2"/>
          </w:tcPr>
          <w:p>
            <w:pPr>
              <w:jc w:val="right"/>
              <w:spacing w:after="0" w:line="100" w:lineRule="exact"/>
              <w:rPr>
                <w:sz w:val="20"/>
                <w:szCs w:val="20"/>
                <w:color w:val="auto"/>
              </w:rPr>
            </w:pPr>
            <w:r>
              <w:rPr>
                <w:rFonts w:ascii="Arial" w:cs="Arial" w:eastAsia="Arial" w:hAnsi="Arial"/>
                <w:sz w:val="11"/>
                <w:szCs w:val="11"/>
                <w:b w:val="1"/>
                <w:bCs w:val="1"/>
                <w:color w:val="auto"/>
              </w:rPr>
              <w:t>Amortized</w:t>
            </w:r>
          </w:p>
        </w:tc>
        <w:tc>
          <w:tcPr>
            <w:tcW w:w="140" w:type="dxa"/>
            <w:vAlign w:val="bottom"/>
          </w:tcPr>
          <w:p>
            <w:pPr>
              <w:spacing w:after="0"/>
              <w:rPr>
                <w:sz w:val="8"/>
                <w:szCs w:val="8"/>
                <w:color w:val="auto"/>
              </w:rPr>
            </w:pPr>
          </w:p>
        </w:tc>
        <w:tc>
          <w:tcPr>
            <w:tcW w:w="640" w:type="dxa"/>
            <w:vAlign w:val="bottom"/>
            <w:gridSpan w:val="2"/>
          </w:tcPr>
          <w:p>
            <w:pPr>
              <w:jc w:val="right"/>
              <w:ind w:right="11"/>
              <w:spacing w:after="0" w:line="100" w:lineRule="exact"/>
              <w:rPr>
                <w:sz w:val="20"/>
                <w:szCs w:val="20"/>
                <w:color w:val="auto"/>
              </w:rPr>
            </w:pPr>
            <w:r>
              <w:rPr>
                <w:rFonts w:ascii="Arial" w:cs="Arial" w:eastAsia="Arial" w:hAnsi="Arial"/>
                <w:sz w:val="11"/>
                <w:szCs w:val="11"/>
                <w:b w:val="1"/>
                <w:bCs w:val="1"/>
                <w:color w:val="auto"/>
                <w:w w:val="96"/>
              </w:rPr>
              <w:t>Unrealized</w:t>
            </w:r>
          </w:p>
        </w:tc>
        <w:tc>
          <w:tcPr>
            <w:tcW w:w="120" w:type="dxa"/>
            <w:vAlign w:val="bottom"/>
          </w:tcPr>
          <w:p>
            <w:pPr>
              <w:spacing w:after="0"/>
              <w:rPr>
                <w:sz w:val="8"/>
                <w:szCs w:val="8"/>
                <w:color w:val="auto"/>
              </w:rPr>
            </w:pPr>
          </w:p>
        </w:tc>
        <w:tc>
          <w:tcPr>
            <w:tcW w:w="760" w:type="dxa"/>
            <w:vAlign w:val="bottom"/>
            <w:gridSpan w:val="3"/>
          </w:tcPr>
          <w:p>
            <w:pPr>
              <w:jc w:val="right"/>
              <w:ind w:right="180"/>
              <w:spacing w:after="0" w:line="100" w:lineRule="exact"/>
              <w:rPr>
                <w:sz w:val="20"/>
                <w:szCs w:val="20"/>
                <w:color w:val="auto"/>
              </w:rPr>
            </w:pPr>
            <w:r>
              <w:rPr>
                <w:rFonts w:ascii="Arial" w:cs="Arial" w:eastAsia="Arial" w:hAnsi="Arial"/>
                <w:sz w:val="11"/>
                <w:szCs w:val="11"/>
                <w:b w:val="1"/>
                <w:bCs w:val="1"/>
                <w:color w:val="auto"/>
              </w:rPr>
              <w:t>Unrealized</w:t>
            </w:r>
          </w:p>
        </w:tc>
        <w:tc>
          <w:tcPr>
            <w:tcW w:w="140" w:type="dxa"/>
            <w:vAlign w:val="bottom"/>
          </w:tcPr>
          <w:p>
            <w:pPr>
              <w:spacing w:after="0"/>
              <w:rPr>
                <w:sz w:val="8"/>
                <w:szCs w:val="8"/>
                <w:color w:val="auto"/>
              </w:rPr>
            </w:pPr>
          </w:p>
        </w:tc>
        <w:tc>
          <w:tcPr>
            <w:tcW w:w="500" w:type="dxa"/>
            <w:vAlign w:val="bottom"/>
          </w:tcPr>
          <w:p>
            <w:pPr>
              <w:jc w:val="right"/>
              <w:ind w:right="151"/>
              <w:spacing w:after="0" w:line="100" w:lineRule="exact"/>
              <w:rPr>
                <w:sz w:val="20"/>
                <w:szCs w:val="20"/>
                <w:color w:val="auto"/>
              </w:rPr>
            </w:pPr>
            <w:r>
              <w:rPr>
                <w:rFonts w:ascii="Arial" w:cs="Arial" w:eastAsia="Arial" w:hAnsi="Arial"/>
                <w:sz w:val="11"/>
                <w:szCs w:val="11"/>
                <w:b w:val="1"/>
                <w:bCs w:val="1"/>
                <w:color w:val="auto"/>
              </w:rPr>
              <w:t>Fair</w:t>
            </w:r>
          </w:p>
        </w:tc>
        <w:tc>
          <w:tcPr>
            <w:tcW w:w="1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w w:val="97"/>
              </w:rPr>
              <w:t>gains</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w w:val="87"/>
              </w:rPr>
              <w:t>losses</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w w:val="99"/>
              </w:rPr>
              <w:t>value</w:t>
            </w:r>
          </w:p>
        </w:tc>
        <w:tc>
          <w:tcPr>
            <w:tcW w:w="1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Cash equivalents</w:t>
            </w:r>
          </w:p>
        </w:tc>
        <w:tc>
          <w:tcPr>
            <w:tcW w:w="3040" w:type="dxa"/>
            <w:vAlign w:val="bottom"/>
            <w:gridSpan w:val="2"/>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15,285</w:t>
            </w: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340" w:type="dxa"/>
            <w:vAlign w:val="bottom"/>
            <w:gridSpan w:val="2"/>
            <w:vMerge w:val="restart"/>
          </w:tcPr>
          <w:p>
            <w:pPr>
              <w:ind w:left="1160"/>
              <w:spacing w:after="0"/>
              <w:rPr>
                <w:sz w:val="20"/>
                <w:szCs w:val="20"/>
                <w:color w:val="auto"/>
              </w:rPr>
            </w:pPr>
            <w:r>
              <w:rPr>
                <w:rFonts w:ascii="Arial" w:cs="Arial" w:eastAsia="Arial" w:hAnsi="Arial"/>
                <w:sz w:val="14"/>
                <w:szCs w:val="14"/>
                <w:i w:val="1"/>
                <w:iCs w:val="1"/>
                <w:color w:val="auto"/>
              </w:rPr>
              <w:t>Marketable securities</w:t>
            </w: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continu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340" w:type="dxa"/>
            <w:vAlign w:val="bottom"/>
            <w:gridSpan w:val="2"/>
            <w:vMerge w:val="continue"/>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government agency notes</w:t>
            </w:r>
          </w:p>
        </w:tc>
        <w:tc>
          <w:tcPr>
            <w:tcW w:w="3040" w:type="dxa"/>
            <w:vAlign w:val="bottom"/>
            <w:gridSpan w:val="2"/>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85,021</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Foreign government notes</w:t>
            </w: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8,787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8,789</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135,935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135,977</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Commercial paper</w:t>
            </w: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17,988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17,989</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Certificates of deposit</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258,711</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258,831</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3180" w:type="dxa"/>
            <w:vAlign w:val="bottom"/>
            <w:shd w:val="clear" w:color="auto" w:fill="CCEEFF"/>
          </w:tcPr>
          <w:p>
            <w:pPr>
              <w:spacing w:after="0" w:line="156" w:lineRule="exact"/>
              <w:rPr>
                <w:sz w:val="20"/>
                <w:szCs w:val="20"/>
                <w:color w:val="auto"/>
              </w:rPr>
            </w:pPr>
            <w:r>
              <w:rPr>
                <w:rFonts w:ascii="Arial" w:cs="Arial" w:eastAsia="Arial" w:hAnsi="Arial"/>
                <w:sz w:val="14"/>
                <w:szCs w:val="14"/>
                <w:i w:val="1"/>
                <w:iCs w:val="1"/>
                <w:color w:val="auto"/>
              </w:rPr>
              <w:t>Investments</w:t>
            </w:r>
          </w:p>
        </w:tc>
        <w:tc>
          <w:tcPr>
            <w:tcW w:w="2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U.S. government agency notes</w:t>
            </w:r>
          </w:p>
        </w:tc>
        <w:tc>
          <w:tcPr>
            <w:tcW w:w="3040" w:type="dxa"/>
            <w:vAlign w:val="bottom"/>
            <w:gridSpan w:val="2"/>
          </w:tcPr>
          <w:p>
            <w:pPr>
              <w:jc w:val="right"/>
              <w:ind w:right="7"/>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56,373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56,376</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23,163</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180" w:type="dxa"/>
            <w:vAlign w:val="bottom"/>
          </w:tcPr>
          <w:p>
            <w:pPr>
              <w:ind w:left="100"/>
              <w:spacing w:after="0"/>
              <w:rPr>
                <w:sz w:val="20"/>
                <w:szCs w:val="20"/>
                <w:color w:val="auto"/>
              </w:rPr>
            </w:pPr>
            <w:r>
              <w:rPr>
                <w:rFonts w:ascii="Arial" w:cs="Arial" w:eastAsia="Arial" w:hAnsi="Arial"/>
                <w:sz w:val="14"/>
                <w:szCs w:val="14"/>
                <w:color w:val="auto"/>
              </w:rPr>
              <w:t>Certificates of deposit</w:t>
            </w: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7,548</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60" w:type="dxa"/>
            <w:vAlign w:val="bottom"/>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87,087</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920" w:type="dxa"/>
            <w:vAlign w:val="bottom"/>
            <w:vMerge w:val="restart"/>
          </w:tcPr>
          <w:p>
            <w:pPr>
              <w:jc w:val="right"/>
              <w:ind w:right="1389"/>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29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CASH EQUIVALENTS, MARKETABLE SECURITIES AND INVESTMENTS (Continued)</w:t>
      </w:r>
    </w:p>
    <w:p>
      <w:pPr>
        <w:spacing w:after="0" w:line="200" w:lineRule="exact"/>
        <w:rPr>
          <w:sz w:val="20"/>
          <w:szCs w:val="20"/>
          <w:color w:val="auto"/>
        </w:rPr>
      </w:pPr>
    </w:p>
    <w:p>
      <w:pPr>
        <w:spacing w:after="0" w:line="383"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6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1"/>
                <w:szCs w:val="11"/>
                <w:b w:val="1"/>
                <w:bCs w:val="1"/>
                <w:color w:val="auto"/>
                <w:w w:val="98"/>
              </w:rPr>
              <w:t>December 31, 2009</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100" w:type="dxa"/>
            <w:vAlign w:val="bottom"/>
          </w:tcPr>
          <w:p>
            <w:pPr>
              <w:spacing w:after="0"/>
              <w:rPr>
                <w:sz w:val="8"/>
                <w:szCs w:val="8"/>
                <w:color w:val="auto"/>
              </w:rPr>
            </w:pPr>
          </w:p>
        </w:tc>
        <w:tc>
          <w:tcPr>
            <w:tcW w:w="620" w:type="dxa"/>
            <w:vAlign w:val="bottom"/>
            <w:gridSpan w:val="2"/>
          </w:tcPr>
          <w:p>
            <w:pPr>
              <w:jc w:val="right"/>
              <w:spacing w:after="0" w:line="100" w:lineRule="exact"/>
              <w:rPr>
                <w:sz w:val="20"/>
                <w:szCs w:val="20"/>
                <w:color w:val="auto"/>
              </w:rPr>
            </w:pPr>
            <w:r>
              <w:rPr>
                <w:rFonts w:ascii="Arial" w:cs="Arial" w:eastAsia="Arial" w:hAnsi="Arial"/>
                <w:sz w:val="11"/>
                <w:szCs w:val="11"/>
                <w:b w:val="1"/>
                <w:bCs w:val="1"/>
                <w:color w:val="auto"/>
              </w:rPr>
              <w:t>Amortized</w:t>
            </w:r>
          </w:p>
        </w:tc>
        <w:tc>
          <w:tcPr>
            <w:tcW w:w="140" w:type="dxa"/>
            <w:vAlign w:val="bottom"/>
          </w:tcPr>
          <w:p>
            <w:pPr>
              <w:spacing w:after="0"/>
              <w:rPr>
                <w:sz w:val="8"/>
                <w:szCs w:val="8"/>
                <w:color w:val="auto"/>
              </w:rPr>
            </w:pPr>
          </w:p>
        </w:tc>
        <w:tc>
          <w:tcPr>
            <w:tcW w:w="640" w:type="dxa"/>
            <w:vAlign w:val="bottom"/>
            <w:gridSpan w:val="2"/>
          </w:tcPr>
          <w:p>
            <w:pPr>
              <w:jc w:val="right"/>
              <w:ind w:right="12"/>
              <w:spacing w:after="0" w:line="100" w:lineRule="exact"/>
              <w:rPr>
                <w:sz w:val="20"/>
                <w:szCs w:val="20"/>
                <w:color w:val="auto"/>
              </w:rPr>
            </w:pPr>
            <w:r>
              <w:rPr>
                <w:rFonts w:ascii="Arial" w:cs="Arial" w:eastAsia="Arial" w:hAnsi="Arial"/>
                <w:sz w:val="11"/>
                <w:szCs w:val="11"/>
                <w:b w:val="1"/>
                <w:bCs w:val="1"/>
                <w:color w:val="auto"/>
                <w:w w:val="96"/>
              </w:rPr>
              <w:t>Unrealized</w:t>
            </w:r>
          </w:p>
        </w:tc>
        <w:tc>
          <w:tcPr>
            <w:tcW w:w="120" w:type="dxa"/>
            <w:vAlign w:val="bottom"/>
          </w:tcPr>
          <w:p>
            <w:pPr>
              <w:spacing w:after="0"/>
              <w:rPr>
                <w:sz w:val="8"/>
                <w:szCs w:val="8"/>
                <w:color w:val="auto"/>
              </w:rPr>
            </w:pPr>
          </w:p>
        </w:tc>
        <w:tc>
          <w:tcPr>
            <w:tcW w:w="760" w:type="dxa"/>
            <w:vAlign w:val="bottom"/>
            <w:gridSpan w:val="3"/>
          </w:tcPr>
          <w:p>
            <w:pPr>
              <w:jc w:val="right"/>
              <w:ind w:right="180"/>
              <w:spacing w:after="0" w:line="100" w:lineRule="exact"/>
              <w:rPr>
                <w:sz w:val="20"/>
                <w:szCs w:val="20"/>
                <w:color w:val="auto"/>
              </w:rPr>
            </w:pPr>
            <w:r>
              <w:rPr>
                <w:rFonts w:ascii="Arial" w:cs="Arial" w:eastAsia="Arial" w:hAnsi="Arial"/>
                <w:sz w:val="11"/>
                <w:szCs w:val="11"/>
                <w:b w:val="1"/>
                <w:bCs w:val="1"/>
                <w:color w:val="auto"/>
              </w:rPr>
              <w:t>Unrealized</w:t>
            </w:r>
          </w:p>
        </w:tc>
        <w:tc>
          <w:tcPr>
            <w:tcW w:w="140" w:type="dxa"/>
            <w:vAlign w:val="bottom"/>
          </w:tcPr>
          <w:p>
            <w:pPr>
              <w:spacing w:after="0"/>
              <w:rPr>
                <w:sz w:val="8"/>
                <w:szCs w:val="8"/>
                <w:color w:val="auto"/>
              </w:rPr>
            </w:pPr>
          </w:p>
        </w:tc>
        <w:tc>
          <w:tcPr>
            <w:tcW w:w="500" w:type="dxa"/>
            <w:vAlign w:val="bottom"/>
          </w:tcPr>
          <w:p>
            <w:pPr>
              <w:jc w:val="right"/>
              <w:ind w:right="152"/>
              <w:spacing w:after="0" w:line="100" w:lineRule="exact"/>
              <w:rPr>
                <w:sz w:val="20"/>
                <w:szCs w:val="20"/>
                <w:color w:val="auto"/>
              </w:rPr>
            </w:pPr>
            <w:r>
              <w:rPr>
                <w:rFonts w:ascii="Arial" w:cs="Arial" w:eastAsia="Arial" w:hAnsi="Arial"/>
                <w:sz w:val="11"/>
                <w:szCs w:val="11"/>
                <w:b w:val="1"/>
                <w:bCs w:val="1"/>
                <w:color w:val="auto"/>
              </w:rPr>
              <w:t>Fair</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w w:val="97"/>
              </w:rPr>
              <w:t>gains</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w w:val="87"/>
              </w:rPr>
              <w:t>losses</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w w:val="99"/>
              </w:rPr>
              <w:t>value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1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Cash equivalents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95,843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100" w:type="dxa"/>
            <w:vAlign w:val="bottom"/>
            <w:vMerge w:val="restart"/>
          </w:tcPr>
          <w:p>
            <w:pPr>
              <w:spacing w:after="0"/>
              <w:rPr>
                <w:sz w:val="20"/>
                <w:szCs w:val="20"/>
                <w:color w:val="auto"/>
              </w:rPr>
            </w:pPr>
            <w:r>
              <w:rPr>
                <w:rFonts w:ascii="Arial" w:cs="Arial" w:eastAsia="Arial" w:hAnsi="Arial"/>
                <w:sz w:val="14"/>
                <w:szCs w:val="14"/>
                <w:i w:val="1"/>
                <w:iCs w:val="1"/>
                <w:color w:val="auto"/>
              </w:rPr>
              <w:t>Marketable securities</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Municipal obligations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00"/>
              <w:spacing w:after="0"/>
              <w:rPr>
                <w:sz w:val="20"/>
                <w:szCs w:val="20"/>
                <w:color w:val="auto"/>
              </w:rPr>
            </w:pPr>
            <w:r>
              <w:rPr>
                <w:rFonts w:ascii="Arial" w:cs="Arial" w:eastAsia="Arial" w:hAnsi="Arial"/>
                <w:sz w:val="14"/>
                <w:szCs w:val="14"/>
                <w:color w:val="auto"/>
              </w:rPr>
              <w:t>U.S. government agency notes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86,534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86,754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77,843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0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44,567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44,577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Certificates of deposit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238,744</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239,223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shd w:val="clear" w:color="auto" w:fill="CCEEFF"/>
          </w:tcPr>
          <w:p>
            <w:pPr>
              <w:spacing w:after="0" w:line="156" w:lineRule="exact"/>
              <w:rPr>
                <w:sz w:val="20"/>
                <w:szCs w:val="20"/>
                <w:color w:val="auto"/>
              </w:rPr>
            </w:pPr>
            <w:r>
              <w:rPr>
                <w:rFonts w:ascii="Arial" w:cs="Arial" w:eastAsia="Arial" w:hAnsi="Arial"/>
                <w:sz w:val="14"/>
                <w:szCs w:val="14"/>
                <w:i w:val="1"/>
                <w:iCs w:val="1"/>
                <w:color w:val="auto"/>
              </w:rPr>
              <w:t>Investments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100"/>
              <w:spacing w:after="0"/>
              <w:rPr>
                <w:sz w:val="20"/>
                <w:szCs w:val="20"/>
                <w:color w:val="auto"/>
              </w:rPr>
            </w:pPr>
            <w:r>
              <w:rPr>
                <w:rFonts w:ascii="Arial" w:cs="Arial" w:eastAsia="Arial" w:hAnsi="Arial"/>
                <w:sz w:val="14"/>
                <w:szCs w:val="14"/>
                <w:color w:val="auto"/>
              </w:rPr>
              <w:t>U.S. government agency notes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6,444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6,455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49,653</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Company's available-for-sale debt securities that are classified as Investments in the consolidated balance sheet mature after one year but within two years or less from the balance sheet date.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Hierarchy</w:t>
      </w:r>
    </w:p>
    <w:p>
      <w:pPr>
        <w:spacing w:after="0" w:line="193" w:lineRule="exact"/>
        <w:rPr>
          <w:sz w:val="20"/>
          <w:szCs w:val="20"/>
          <w:color w:val="auto"/>
        </w:rPr>
      </w:pPr>
    </w:p>
    <w:p>
      <w:pPr>
        <w:ind w:right="20" w:firstLine="284"/>
        <w:spacing w:after="0" w:line="270"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Level 1 applies to assets or liabilities for which there are quoted prices in active markets for identical assets or liabilities.</w:t>
      </w:r>
    </w:p>
    <w:p>
      <w:pPr>
        <w:spacing w:after="0" w:line="189" w:lineRule="exact"/>
        <w:rPr>
          <w:sz w:val="20"/>
          <w:szCs w:val="20"/>
          <w:color w:val="auto"/>
        </w:rPr>
      </w:pPr>
    </w:p>
    <w:p>
      <w:pPr>
        <w:ind w:left="880" w:right="20"/>
        <w:spacing w:after="0" w:line="289" w:lineRule="auto"/>
        <w:rPr>
          <w:sz w:val="20"/>
          <w:szCs w:val="20"/>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Level 2 applies to assets or liabilities for which there are inputs that are directly or indirectly observable in the marketplace, such as quoted prices for similar assets or liabilities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in active markets or quoted prices for identical assets or liabilities in markets with insufficient volume or infrequent transactions (less active markets).</w:t>
      </w:r>
    </w:p>
    <w:p>
      <w:pPr>
        <w:spacing w:after="0" w:line="137" w:lineRule="exact"/>
        <w:rPr>
          <w:sz w:val="20"/>
          <w:szCs w:val="20"/>
          <w:color w:val="auto"/>
        </w:rPr>
      </w:pPr>
    </w:p>
    <w:p>
      <w:pPr>
        <w:ind w:left="880"/>
        <w:spacing w:after="0" w:line="289" w:lineRule="auto"/>
        <w:rPr>
          <w:sz w:val="20"/>
          <w:szCs w:val="20"/>
          <w:color w:val="auto"/>
        </w:rPr>
      </w:pPr>
      <w:r>
        <w:rPr>
          <w:rFonts w:ascii="Arial" w:cs="Arial" w:eastAsia="Arial" w:hAnsi="Arial"/>
          <w:sz w:val="14"/>
          <w:szCs w:val="14"/>
          <w:color w:val="auto"/>
        </w:rPr>
        <w:t>Level 3. Level 3 applies to assets or liabilities for which there are unobservable inputs to the valuation methodology that are significant to the measurement of the fair value of the assets or liabilities.</w:t>
      </w:r>
    </w:p>
    <w:p>
      <w:pPr>
        <w:spacing w:after="0" w:line="137" w:lineRule="exact"/>
        <w:rPr>
          <w:sz w:val="20"/>
          <w:szCs w:val="20"/>
          <w:color w:val="auto"/>
        </w:rPr>
      </w:pPr>
    </w:p>
    <w:p>
      <w:pPr>
        <w:ind w:right="300" w:firstLine="282"/>
        <w:spacing w:after="0" w:line="289" w:lineRule="auto"/>
        <w:rPr>
          <w:sz w:val="20"/>
          <w:szCs w:val="20"/>
          <w:color w:val="auto"/>
        </w:rPr>
      </w:pPr>
      <w:r>
        <w:rPr>
          <w:rFonts w:ascii="Arial" w:cs="Arial" w:eastAsia="Arial" w:hAnsi="Arial"/>
          <w:sz w:val="14"/>
          <w:szCs w:val="14"/>
          <w:color w:val="auto"/>
        </w:rPr>
        <w:t>The following table shows the fair value of the Company's financial assets at December 31, 2010 and 2009. These financial assets are comprised of the Company's available for sale debt and equity</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80"/>
          </w:cols>
          <w:pgMar w:left="220" w:top="132" w:right="29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CASH EQUIVALENTS, MARKETABLE SECURITIES AND INVESTMENTS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reported under the captions Cash and cash equivalents, Marketable securities and Investments in the consolidated balance sheets (in thousands):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6"/>
          </w:tcPr>
          <w:p>
            <w:pPr>
              <w:jc w:val="center"/>
              <w:ind w:left="434"/>
              <w:spacing w:after="0"/>
              <w:rPr>
                <w:sz w:val="20"/>
                <w:szCs w:val="20"/>
                <w:color w:val="auto"/>
              </w:rPr>
            </w:pPr>
            <w:r>
              <w:rPr>
                <w:rFonts w:ascii="Arial" w:cs="Arial" w:eastAsia="Arial" w:hAnsi="Arial"/>
                <w:sz w:val="11"/>
                <w:szCs w:val="11"/>
                <w:b w:val="1"/>
                <w:bCs w:val="1"/>
                <w:color w:val="auto"/>
                <w:w w:val="88"/>
              </w:rPr>
              <w:t>Fair value measurements at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Total carrying</w:t>
            </w: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5"/>
          </w:tcPr>
          <w:p>
            <w:pPr>
              <w:jc w:val="center"/>
              <w:ind w:left="534"/>
              <w:spacing w:after="0"/>
              <w:rPr>
                <w:sz w:val="20"/>
                <w:szCs w:val="20"/>
                <w:color w:val="auto"/>
              </w:rPr>
            </w:pPr>
            <w:r>
              <w:rPr>
                <w:rFonts w:ascii="Arial" w:cs="Arial" w:eastAsia="Arial" w:hAnsi="Arial"/>
                <w:sz w:val="11"/>
                <w:szCs w:val="11"/>
                <w:b w:val="1"/>
                <w:bCs w:val="1"/>
                <w:color w:val="auto"/>
                <w:w w:val="88"/>
              </w:rPr>
              <w:t>December 31, 2010 using:</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3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78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89"/>
              </w:rPr>
              <w:t>Quoted prices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89"/>
              </w:rPr>
              <w:t>Significant other</w:t>
            </w:r>
          </w:p>
        </w:tc>
        <w:tc>
          <w:tcPr>
            <w:tcW w:w="100" w:type="dxa"/>
            <w:vAlign w:val="bottom"/>
          </w:tcPr>
          <w:p>
            <w:pPr>
              <w:spacing w:after="0"/>
              <w:rPr>
                <w:sz w:val="8"/>
                <w:szCs w:val="8"/>
                <w:color w:val="auto"/>
              </w:rPr>
            </w:pPr>
          </w:p>
        </w:tc>
        <w:tc>
          <w:tcPr>
            <w:tcW w:w="640" w:type="dxa"/>
            <w:vAlign w:val="bottom"/>
          </w:tcPr>
          <w:p>
            <w:pPr>
              <w:jc w:val="center"/>
              <w:ind w:right="33"/>
              <w:spacing w:after="0" w:line="100" w:lineRule="exact"/>
              <w:rPr>
                <w:sz w:val="20"/>
                <w:szCs w:val="20"/>
                <w:color w:val="auto"/>
              </w:rPr>
            </w:pPr>
            <w:r>
              <w:rPr>
                <w:rFonts w:ascii="Arial" w:cs="Arial" w:eastAsia="Arial" w:hAnsi="Arial"/>
                <w:sz w:val="11"/>
                <w:szCs w:val="11"/>
                <w:b w:val="1"/>
                <w:bCs w:val="1"/>
                <w:color w:val="auto"/>
                <w:w w:val="88"/>
              </w:rPr>
              <w:t>Significant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7"/>
              </w:rPr>
              <w:t>value at</w:t>
            </w:r>
          </w:p>
        </w:tc>
        <w:tc>
          <w:tcPr>
            <w:tcW w:w="140" w:type="dxa"/>
            <w:vAlign w:val="bottom"/>
          </w:tcPr>
          <w:p>
            <w:pPr>
              <w:spacing w:after="0"/>
              <w:rPr>
                <w:sz w:val="10"/>
                <w:szCs w:val="10"/>
                <w:color w:val="auto"/>
              </w:rPr>
            </w:pPr>
          </w:p>
        </w:tc>
        <w:tc>
          <w:tcPr>
            <w:tcW w:w="640" w:type="dxa"/>
            <w:vAlign w:val="bottom"/>
          </w:tcPr>
          <w:p>
            <w:pPr>
              <w:jc w:val="center"/>
              <w:ind w:right="74"/>
              <w:spacing w:after="0" w:line="121" w:lineRule="exact"/>
              <w:rPr>
                <w:sz w:val="20"/>
                <w:szCs w:val="20"/>
                <w:color w:val="auto"/>
              </w:rPr>
            </w:pPr>
            <w:r>
              <w:rPr>
                <w:rFonts w:ascii="Arial" w:cs="Arial" w:eastAsia="Arial" w:hAnsi="Arial"/>
                <w:sz w:val="11"/>
                <w:szCs w:val="11"/>
                <w:b w:val="1"/>
                <w:bCs w:val="1"/>
                <w:color w:val="auto"/>
                <w:w w:val="86"/>
              </w:rPr>
              <w:t>in active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observable</w:t>
            </w:r>
          </w:p>
        </w:tc>
        <w:tc>
          <w:tcPr>
            <w:tcW w:w="88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unobservable</w:t>
            </w: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640" w:type="dxa"/>
            <w:vAlign w:val="bottom"/>
          </w:tcPr>
          <w:p>
            <w:pPr>
              <w:jc w:val="center"/>
              <w:ind w:right="74"/>
              <w:spacing w:after="0" w:line="121" w:lineRule="exact"/>
              <w:rPr>
                <w:sz w:val="20"/>
                <w:szCs w:val="20"/>
                <w:color w:val="auto"/>
              </w:rPr>
            </w:pPr>
            <w:r>
              <w:rPr>
                <w:rFonts w:ascii="Arial" w:cs="Arial" w:eastAsia="Arial" w:hAnsi="Arial"/>
                <w:sz w:val="11"/>
                <w:szCs w:val="11"/>
                <w:b w:val="1"/>
                <w:bCs w:val="1"/>
                <w:color w:val="auto"/>
                <w:w w:val="89"/>
              </w:rPr>
              <w:t>markets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4"/>
              </w:rPr>
              <w:t>inputs</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2010</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94"/>
              </w:rPr>
              <w:t>(Level 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(Level 2)</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1"/>
                <w:szCs w:val="11"/>
                <w:b w:val="1"/>
                <w:bCs w:val="1"/>
                <w:color w:val="auto"/>
                <w:w w:val="94"/>
              </w:rPr>
              <w:t>(Level 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3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60" w:type="dxa"/>
            <w:vAlign w:val="bottom"/>
            <w:vMerge w:val="restart"/>
          </w:tcPr>
          <w:p>
            <w:pPr>
              <w:spacing w:after="0"/>
              <w:rPr>
                <w:sz w:val="20"/>
                <w:szCs w:val="20"/>
                <w:color w:val="auto"/>
              </w:rPr>
            </w:pPr>
            <w:r>
              <w:rPr>
                <w:rFonts w:ascii="Arial" w:cs="Arial" w:eastAsia="Arial" w:hAnsi="Arial"/>
                <w:sz w:val="14"/>
                <w:szCs w:val="14"/>
                <w:i w:val="1"/>
                <w:iCs w:val="1"/>
                <w:color w:val="auto"/>
              </w:rPr>
              <w:t>Marketable securities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U.S. government agency notes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85,021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tcPr>
          <w:p>
            <w:pPr>
              <w:ind w:left="100"/>
              <w:spacing w:after="0"/>
              <w:rPr>
                <w:sz w:val="20"/>
                <w:szCs w:val="20"/>
                <w:color w:val="auto"/>
              </w:rPr>
            </w:pPr>
            <w:r>
              <w:rPr>
                <w:rFonts w:ascii="Arial" w:cs="Arial" w:eastAsia="Arial" w:hAnsi="Arial"/>
                <w:sz w:val="14"/>
                <w:szCs w:val="14"/>
                <w:color w:val="auto"/>
              </w:rPr>
              <w:t>Foreign government notes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8,789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135,977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135,977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tcPr>
          <w:p>
            <w:pPr>
              <w:ind w:left="100"/>
              <w:spacing w:after="0"/>
              <w:rPr>
                <w:sz w:val="20"/>
                <w:szCs w:val="20"/>
                <w:color w:val="auto"/>
              </w:rPr>
            </w:pPr>
            <w:r>
              <w:rPr>
                <w:rFonts w:ascii="Arial" w:cs="Arial" w:eastAsia="Arial" w:hAnsi="Arial"/>
                <w:sz w:val="14"/>
                <w:szCs w:val="14"/>
                <w:color w:val="auto"/>
              </w:rPr>
              <w:t>Commercial paper</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17,989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Certificates of deposit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258,831</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258,831</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shd w:val="clear" w:color="auto" w:fill="CCEEFF"/>
          </w:tcPr>
          <w:p>
            <w:pPr>
              <w:spacing w:after="0" w:line="156" w:lineRule="exact"/>
              <w:rPr>
                <w:sz w:val="20"/>
                <w:szCs w:val="20"/>
                <w:color w:val="auto"/>
              </w:rPr>
            </w:pPr>
            <w:r>
              <w:rPr>
                <w:rFonts w:ascii="Arial" w:cs="Arial" w:eastAsia="Arial" w:hAnsi="Arial"/>
                <w:sz w:val="14"/>
                <w:szCs w:val="14"/>
                <w:i w:val="1"/>
                <w:iCs w:val="1"/>
                <w:color w:val="auto"/>
              </w:rPr>
              <w:t>Investments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100"/>
              <w:spacing w:after="0"/>
              <w:rPr>
                <w:sz w:val="20"/>
                <w:szCs w:val="20"/>
                <w:color w:val="auto"/>
              </w:rPr>
            </w:pPr>
            <w:r>
              <w:rPr>
                <w:rFonts w:ascii="Arial" w:cs="Arial" w:eastAsia="Arial" w:hAnsi="Arial"/>
                <w:sz w:val="14"/>
                <w:szCs w:val="14"/>
                <w:color w:val="auto"/>
              </w:rPr>
              <w:t>U.S. government agency notes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56,376</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56,376</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360" w:type="dxa"/>
            <w:vAlign w:val="bottom"/>
          </w:tcPr>
          <w:p>
            <w:pPr>
              <w:ind w:left="100"/>
              <w:spacing w:after="0"/>
              <w:rPr>
                <w:sz w:val="20"/>
                <w:szCs w:val="20"/>
                <w:color w:val="auto"/>
              </w:rPr>
            </w:pPr>
            <w:r>
              <w:rPr>
                <w:rFonts w:ascii="Arial" w:cs="Arial" w:eastAsia="Arial" w:hAnsi="Arial"/>
                <w:sz w:val="14"/>
                <w:szCs w:val="14"/>
                <w:color w:val="auto"/>
              </w:rPr>
              <w:t>Certificates of deposit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7,548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5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6"/>
          </w:tcPr>
          <w:p>
            <w:pPr>
              <w:jc w:val="center"/>
              <w:ind w:left="434"/>
              <w:spacing w:after="0"/>
              <w:rPr>
                <w:sz w:val="20"/>
                <w:szCs w:val="20"/>
                <w:color w:val="auto"/>
              </w:rPr>
            </w:pPr>
            <w:r>
              <w:rPr>
                <w:rFonts w:ascii="Arial" w:cs="Arial" w:eastAsia="Arial" w:hAnsi="Arial"/>
                <w:sz w:val="11"/>
                <w:szCs w:val="11"/>
                <w:b w:val="1"/>
                <w:bCs w:val="1"/>
                <w:color w:val="auto"/>
                <w:w w:val="88"/>
              </w:rPr>
              <w:t>Fair value measurements at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Total carrying</w:t>
            </w: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5"/>
          </w:tcPr>
          <w:p>
            <w:pPr>
              <w:jc w:val="center"/>
              <w:ind w:left="534"/>
              <w:spacing w:after="0"/>
              <w:rPr>
                <w:sz w:val="20"/>
                <w:szCs w:val="20"/>
                <w:color w:val="auto"/>
              </w:rPr>
            </w:pPr>
            <w:r>
              <w:rPr>
                <w:rFonts w:ascii="Arial" w:cs="Arial" w:eastAsia="Arial" w:hAnsi="Arial"/>
                <w:sz w:val="11"/>
                <w:szCs w:val="11"/>
                <w:b w:val="1"/>
                <w:bCs w:val="1"/>
                <w:color w:val="auto"/>
                <w:w w:val="88"/>
              </w:rPr>
              <w:t>December 31, 2009 using:</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3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78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89"/>
              </w:rPr>
              <w:t>Quoted prices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89"/>
              </w:rPr>
              <w:t>Significant other</w:t>
            </w:r>
          </w:p>
        </w:tc>
        <w:tc>
          <w:tcPr>
            <w:tcW w:w="100" w:type="dxa"/>
            <w:vAlign w:val="bottom"/>
          </w:tcPr>
          <w:p>
            <w:pPr>
              <w:spacing w:after="0"/>
              <w:rPr>
                <w:sz w:val="8"/>
                <w:szCs w:val="8"/>
                <w:color w:val="auto"/>
              </w:rPr>
            </w:pPr>
          </w:p>
        </w:tc>
        <w:tc>
          <w:tcPr>
            <w:tcW w:w="640" w:type="dxa"/>
            <w:vAlign w:val="bottom"/>
          </w:tcPr>
          <w:p>
            <w:pPr>
              <w:jc w:val="center"/>
              <w:ind w:right="33"/>
              <w:spacing w:after="0" w:line="100" w:lineRule="exact"/>
              <w:rPr>
                <w:sz w:val="20"/>
                <w:szCs w:val="20"/>
                <w:color w:val="auto"/>
              </w:rPr>
            </w:pPr>
            <w:r>
              <w:rPr>
                <w:rFonts w:ascii="Arial" w:cs="Arial" w:eastAsia="Arial" w:hAnsi="Arial"/>
                <w:sz w:val="11"/>
                <w:szCs w:val="11"/>
                <w:b w:val="1"/>
                <w:bCs w:val="1"/>
                <w:color w:val="auto"/>
                <w:w w:val="88"/>
              </w:rPr>
              <w:t>Significant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7"/>
              </w:rPr>
              <w:t>value at</w:t>
            </w:r>
          </w:p>
        </w:tc>
        <w:tc>
          <w:tcPr>
            <w:tcW w:w="140" w:type="dxa"/>
            <w:vAlign w:val="bottom"/>
          </w:tcPr>
          <w:p>
            <w:pPr>
              <w:spacing w:after="0"/>
              <w:rPr>
                <w:sz w:val="10"/>
                <w:szCs w:val="10"/>
                <w:color w:val="auto"/>
              </w:rPr>
            </w:pPr>
          </w:p>
        </w:tc>
        <w:tc>
          <w:tcPr>
            <w:tcW w:w="640" w:type="dxa"/>
            <w:vAlign w:val="bottom"/>
          </w:tcPr>
          <w:p>
            <w:pPr>
              <w:jc w:val="center"/>
              <w:ind w:right="74"/>
              <w:spacing w:after="0" w:line="121" w:lineRule="exact"/>
              <w:rPr>
                <w:sz w:val="20"/>
                <w:szCs w:val="20"/>
                <w:color w:val="auto"/>
              </w:rPr>
            </w:pPr>
            <w:r>
              <w:rPr>
                <w:rFonts w:ascii="Arial" w:cs="Arial" w:eastAsia="Arial" w:hAnsi="Arial"/>
                <w:sz w:val="11"/>
                <w:szCs w:val="11"/>
                <w:b w:val="1"/>
                <w:bCs w:val="1"/>
                <w:color w:val="auto"/>
                <w:w w:val="86"/>
              </w:rPr>
              <w:t>in active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6"/>
              </w:rPr>
              <w:t>observable</w:t>
            </w:r>
          </w:p>
        </w:tc>
        <w:tc>
          <w:tcPr>
            <w:tcW w:w="88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86"/>
              </w:rPr>
              <w:t>unobservable</w:t>
            </w:r>
          </w:p>
        </w:tc>
        <w:tc>
          <w:tcPr>
            <w:tcW w:w="0" w:type="dxa"/>
            <w:vAlign w:val="bottom"/>
          </w:tcPr>
          <w:p>
            <w:pPr>
              <w:spacing w:after="0"/>
              <w:rPr>
                <w:sz w:val="1"/>
                <w:szCs w:val="1"/>
                <w:color w:val="auto"/>
              </w:rPr>
            </w:pPr>
          </w:p>
        </w:tc>
      </w:tr>
      <w:tr>
        <w:trPr>
          <w:trHeight w:val="120"/>
        </w:trPr>
        <w:tc>
          <w:tcPr>
            <w:tcW w:w="5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640" w:type="dxa"/>
            <w:vAlign w:val="bottom"/>
          </w:tcPr>
          <w:p>
            <w:pPr>
              <w:jc w:val="center"/>
              <w:ind w:right="74"/>
              <w:spacing w:after="0" w:line="121" w:lineRule="exact"/>
              <w:rPr>
                <w:sz w:val="20"/>
                <w:szCs w:val="20"/>
                <w:color w:val="auto"/>
              </w:rPr>
            </w:pPr>
            <w:r>
              <w:rPr>
                <w:rFonts w:ascii="Arial" w:cs="Arial" w:eastAsia="Arial" w:hAnsi="Arial"/>
                <w:sz w:val="11"/>
                <w:szCs w:val="11"/>
                <w:b w:val="1"/>
                <w:bCs w:val="1"/>
                <w:color w:val="auto"/>
                <w:w w:val="89"/>
              </w:rPr>
              <w:t>markets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4"/>
              </w:rPr>
              <w:t>inputs</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1"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31"/>
        </w:trPr>
        <w:tc>
          <w:tcPr>
            <w:tcW w:w="5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2009</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94"/>
              </w:rPr>
              <w:t>(Level 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(Level 2)</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1"/>
                <w:szCs w:val="11"/>
                <w:b w:val="1"/>
                <w:bCs w:val="1"/>
                <w:color w:val="auto"/>
                <w:w w:val="94"/>
              </w:rPr>
              <w:t>(Level 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3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95,843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60" w:type="dxa"/>
            <w:vAlign w:val="bottom"/>
            <w:vMerge w:val="restart"/>
          </w:tcPr>
          <w:p>
            <w:pPr>
              <w:spacing w:after="0"/>
              <w:rPr>
                <w:sz w:val="20"/>
                <w:szCs w:val="20"/>
                <w:color w:val="auto"/>
              </w:rPr>
            </w:pPr>
            <w:r>
              <w:rPr>
                <w:rFonts w:ascii="Arial" w:cs="Arial" w:eastAsia="Arial" w:hAnsi="Arial"/>
                <w:sz w:val="14"/>
                <w:szCs w:val="14"/>
                <w:i w:val="1"/>
                <w:iCs w:val="1"/>
                <w:color w:val="auto"/>
              </w:rPr>
              <w:t>Marketable securities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Municipal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tcPr>
          <w:p>
            <w:pPr>
              <w:ind w:left="100"/>
              <w:spacing w:after="0"/>
              <w:rPr>
                <w:sz w:val="20"/>
                <w:szCs w:val="20"/>
                <w:color w:val="auto"/>
              </w:rPr>
            </w:pPr>
            <w:r>
              <w:rPr>
                <w:rFonts w:ascii="Arial" w:cs="Arial" w:eastAsia="Arial" w:hAnsi="Arial"/>
                <w:sz w:val="14"/>
                <w:szCs w:val="14"/>
                <w:color w:val="auto"/>
              </w:rPr>
              <w:t>U.S. government agency notes</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86,754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86,754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tcPr>
          <w:p>
            <w:pPr>
              <w:ind w:left="100"/>
              <w:spacing w:after="0"/>
              <w:rPr>
                <w:sz w:val="20"/>
                <w:szCs w:val="20"/>
                <w:color w:val="auto"/>
              </w:rPr>
            </w:pPr>
            <w:r>
              <w:rPr>
                <w:rFonts w:ascii="Arial" w:cs="Arial" w:eastAsia="Arial" w:hAnsi="Arial"/>
                <w:sz w:val="14"/>
                <w:szCs w:val="14"/>
                <w:color w:val="auto"/>
              </w:rPr>
              <w:t>Commercial paper</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44,577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Certificates of deposit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239,223</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54,297</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184,926</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shd w:val="clear" w:color="auto" w:fill="CCEEFF"/>
          </w:tcPr>
          <w:p>
            <w:pPr>
              <w:spacing w:after="0" w:line="156" w:lineRule="exact"/>
              <w:rPr>
                <w:sz w:val="20"/>
                <w:szCs w:val="20"/>
                <w:color w:val="auto"/>
              </w:rPr>
            </w:pPr>
            <w:r>
              <w:rPr>
                <w:rFonts w:ascii="Arial" w:cs="Arial" w:eastAsia="Arial" w:hAnsi="Arial"/>
                <w:sz w:val="14"/>
                <w:szCs w:val="14"/>
                <w:i w:val="1"/>
                <w:iCs w:val="1"/>
                <w:color w:val="auto"/>
              </w:rPr>
              <w:t>Investments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100"/>
              <w:spacing w:after="0"/>
              <w:rPr>
                <w:sz w:val="20"/>
                <w:szCs w:val="20"/>
                <w:color w:val="auto"/>
              </w:rPr>
            </w:pPr>
            <w:r>
              <w:rPr>
                <w:rFonts w:ascii="Arial" w:cs="Arial" w:eastAsia="Arial" w:hAnsi="Arial"/>
                <w:sz w:val="14"/>
                <w:szCs w:val="14"/>
                <w:color w:val="auto"/>
              </w:rPr>
              <w:t>U.S. government agency notes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6,455</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6,455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49,598</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21,328</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28,270</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76"/>
        <w:spacing w:after="0" w:line="289" w:lineRule="auto"/>
        <w:rPr>
          <w:sz w:val="20"/>
          <w:szCs w:val="20"/>
          <w:color w:val="auto"/>
        </w:rPr>
      </w:pPr>
      <w:r>
        <w:rPr>
          <w:rFonts w:ascii="Arial" w:cs="Arial" w:eastAsia="Arial" w:hAnsi="Arial"/>
          <w:sz w:val="14"/>
          <w:szCs w:val="14"/>
          <w:color w:val="auto"/>
        </w:rPr>
        <w:t>At December 31, 2010, the Company's marketable securities and investments have been valued on the basis of valuations provided by third-party pricing services, as derived from such services' pricing</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260"/>
          </w:cols>
          <w:pgMar w:left="220" w:top="132" w:right="41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CASH EQUIVALENTS, MARKETABLE SECURITIES AND INVESTMENTS (Continued)</w:t>
      </w:r>
    </w:p>
    <w:p>
      <w:pPr>
        <w:spacing w:after="0" w:line="200" w:lineRule="exact"/>
        <w:rPr>
          <w:sz w:val="20"/>
          <w:szCs w:val="20"/>
          <w:color w:val="auto"/>
        </w:rPr>
      </w:pPr>
    </w:p>
    <w:p>
      <w:pPr>
        <w:spacing w:after="0" w:line="364" w:lineRule="exact"/>
        <w:rPr>
          <w:sz w:val="20"/>
          <w:szCs w:val="20"/>
          <w:color w:val="auto"/>
        </w:rPr>
      </w:pPr>
    </w:p>
    <w:p>
      <w:pPr>
        <w:ind w:right="240"/>
        <w:spacing w:after="0" w:line="270" w:lineRule="auto"/>
        <w:rPr>
          <w:sz w:val="20"/>
          <w:szCs w:val="20"/>
          <w:color w:val="auto"/>
        </w:rPr>
      </w:pPr>
      <w:r>
        <w:rPr>
          <w:rFonts w:ascii="Arial" w:cs="Arial" w:eastAsia="Arial" w:hAnsi="Arial"/>
          <w:sz w:val="14"/>
          <w:szCs w:val="14"/>
          <w:color w:val="auto"/>
        </w:rPr>
        <w:t>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At December 31, 2009, certain of the Company's corporate debt securities were valued based on quoted prices for the specific securities in an active market and were therefore classified as Level 1.</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ACCOUNTS RECEIVABLE</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Accounts receivable consist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8"/>
          </w:tcPr>
          <w:p>
            <w:pPr>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gridSpan w:val="2"/>
          </w:tcPr>
          <w:p>
            <w:pPr>
              <w:jc w:val="right"/>
              <w:ind w:right="65"/>
              <w:spacing w:after="0" w:line="111" w:lineRule="exact"/>
              <w:rPr>
                <w:sz w:val="20"/>
                <w:szCs w:val="20"/>
                <w:color w:val="auto"/>
              </w:rPr>
            </w:pPr>
            <w:r>
              <w:rPr>
                <w:rFonts w:ascii="Arial" w:cs="Arial" w:eastAsia="Arial" w:hAnsi="Arial"/>
                <w:sz w:val="11"/>
                <w:szCs w:val="11"/>
                <w:b w:val="1"/>
                <w:bCs w:val="1"/>
                <w:color w:val="auto"/>
                <w:w w:val="81"/>
              </w:rPr>
              <w:t>2010</w:t>
            </w:r>
          </w:p>
        </w:tc>
        <w:tc>
          <w:tcPr>
            <w:tcW w:w="6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8"/>
                <w:szCs w:val="8"/>
                <w:b w:val="1"/>
                <w:bCs w:val="1"/>
                <w:color w:val="auto"/>
                <w:w w:val="78"/>
              </w:rPr>
              <w:t>2009</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Earned accounts receivable</w:t>
            </w: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8"/>
              </w:rPr>
              <w:t>20,833</w:t>
            </w: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4"/>
              </w:rPr>
              <w:t>20,759</w:t>
            </w:r>
          </w:p>
        </w:tc>
        <w:tc>
          <w:tcPr>
            <w:tcW w:w="120" w:type="dxa"/>
            <w:vAlign w:val="bottom"/>
            <w:tcBorders>
              <w:right w:val="single" w:sz="8" w:color="CCEEFF"/>
            </w:tcBorders>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Unearned accounts receivable</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8"/>
              </w:rPr>
              <w:t>32,293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4"/>
              </w:rPr>
              <w:t>27,905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Accounts receivable, gross</w:t>
            </w: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8"/>
              </w:rPr>
              <w:t>53,126</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4"/>
              </w:rPr>
              <w:t>48,664</w:t>
            </w:r>
          </w:p>
        </w:tc>
        <w:tc>
          <w:tcPr>
            <w:tcW w:w="120" w:type="dxa"/>
            <w:vAlign w:val="bottom"/>
            <w:tcBorders>
              <w:right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Allowance for doubtful accounts</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4"/>
                <w:szCs w:val="14"/>
                <w:color w:val="auto"/>
              </w:rPr>
              <w:t>(313)</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(666)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receivable, net</w:t>
            </w: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8"/>
              </w:rPr>
              <w:t>52,813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top w:val="single" w:sz="8" w:color="auto"/>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4"/>
              </w:rPr>
              <w:t>47,998</w:t>
            </w:r>
          </w:p>
        </w:tc>
        <w:tc>
          <w:tcPr>
            <w:tcW w:w="120" w:type="dxa"/>
            <w:vAlign w:val="bottom"/>
            <w:tcBorders>
              <w:right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gridSpan w:val="4"/>
            <w:vMerge w:val="restart"/>
          </w:tcPr>
          <w:p>
            <w:pPr>
              <w:ind w:left="280"/>
              <w:spacing w:after="0"/>
              <w:rPr>
                <w:sz w:val="20"/>
                <w:szCs w:val="20"/>
                <w:color w:val="auto"/>
              </w:rPr>
            </w:pPr>
            <w:r>
              <w:rPr>
                <w:rFonts w:ascii="Arial" w:cs="Arial" w:eastAsia="Arial" w:hAnsi="Arial"/>
                <w:sz w:val="14"/>
                <w:szCs w:val="14"/>
                <w:color w:val="auto"/>
                <w:w w:val="94"/>
              </w:rPr>
              <w:t>The activity in the Company's allowance for doubtful accounts is as follows (in thousands):</w:t>
            </w: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00" w:type="dxa"/>
            <w:vAlign w:val="bottom"/>
            <w:gridSpan w:val="4"/>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600" w:type="dxa"/>
            <w:vAlign w:val="bottom"/>
            <w:gridSpan w:val="4"/>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gridSpan w:val="5"/>
          </w:tcPr>
          <w:p>
            <w:pPr>
              <w:jc w:val="center"/>
              <w:spacing w:after="0"/>
              <w:rPr>
                <w:sz w:val="20"/>
                <w:szCs w:val="20"/>
                <w:color w:val="auto"/>
              </w:rPr>
            </w:pPr>
            <w:r>
              <w:rPr>
                <w:rFonts w:ascii="Arial" w:cs="Arial" w:eastAsia="Arial" w:hAnsi="Arial"/>
                <w:sz w:val="11"/>
                <w:szCs w:val="11"/>
                <w:b w:val="1"/>
                <w:bCs w:val="1"/>
                <w:color w:val="auto"/>
                <w:w w:val="87"/>
              </w:rPr>
              <w:t>Balance at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jc w:val="center"/>
              <w:ind w:right="1280"/>
              <w:spacing w:after="0"/>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4"/>
          </w:tcPr>
          <w:p>
            <w:pPr>
              <w:jc w:val="center"/>
              <w:spacing w:after="0" w:line="121" w:lineRule="exact"/>
              <w:rPr>
                <w:sz w:val="20"/>
                <w:szCs w:val="20"/>
                <w:color w:val="auto"/>
              </w:rPr>
            </w:pPr>
            <w:r>
              <w:rPr>
                <w:rFonts w:ascii="Arial" w:cs="Arial" w:eastAsia="Arial" w:hAnsi="Arial"/>
                <w:sz w:val="11"/>
                <w:szCs w:val="11"/>
                <w:b w:val="1"/>
                <w:bCs w:val="1"/>
                <w:color w:val="auto"/>
                <w:w w:val="87"/>
              </w:rPr>
              <w:t>beginning</w:t>
            </w:r>
          </w:p>
        </w:tc>
        <w:tc>
          <w:tcPr>
            <w:tcW w:w="140" w:type="dxa"/>
            <w:vAlign w:val="bottom"/>
          </w:tcPr>
          <w:p>
            <w:pPr>
              <w:spacing w:after="0"/>
              <w:rPr>
                <w:sz w:val="10"/>
                <w:szCs w:val="10"/>
                <w:color w:val="auto"/>
              </w:rPr>
            </w:pPr>
          </w:p>
        </w:tc>
        <w:tc>
          <w:tcPr>
            <w:tcW w:w="620" w:type="dxa"/>
            <w:vAlign w:val="bottom"/>
            <w:gridSpan w:val="5"/>
          </w:tcPr>
          <w:p>
            <w:pPr>
              <w:jc w:val="right"/>
              <w:ind w:right="49"/>
              <w:spacing w:after="0" w:line="121" w:lineRule="exact"/>
              <w:rPr>
                <w:sz w:val="20"/>
                <w:szCs w:val="20"/>
                <w:color w:val="auto"/>
              </w:rPr>
            </w:pPr>
            <w:r>
              <w:rPr>
                <w:rFonts w:ascii="Arial" w:cs="Arial" w:eastAsia="Arial" w:hAnsi="Arial"/>
                <w:sz w:val="11"/>
                <w:szCs w:val="11"/>
                <w:b w:val="1"/>
                <w:bCs w:val="1"/>
                <w:color w:val="auto"/>
              </w:rPr>
              <w:t>Charges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3"/>
          </w:tcPr>
          <w:p>
            <w:pPr>
              <w:jc w:val="center"/>
              <w:ind w:right="1420"/>
              <w:spacing w:after="0" w:line="121" w:lineRule="exact"/>
              <w:rPr>
                <w:sz w:val="20"/>
                <w:szCs w:val="20"/>
                <w:color w:val="auto"/>
              </w:rPr>
            </w:pPr>
            <w:r>
              <w:rPr>
                <w:rFonts w:ascii="Arial" w:cs="Arial" w:eastAsia="Arial" w:hAnsi="Arial"/>
                <w:sz w:val="11"/>
                <w:szCs w:val="11"/>
                <w:b w:val="1"/>
                <w:bCs w:val="1"/>
                <w:color w:val="auto"/>
                <w:w w:val="84"/>
              </w:rPr>
              <w:t>end of</w:t>
            </w:r>
          </w:p>
        </w:tc>
        <w:tc>
          <w:tcPr>
            <w:tcW w:w="0" w:type="dxa"/>
            <w:vAlign w:val="bottom"/>
          </w:tcPr>
          <w:p>
            <w:pPr>
              <w:spacing w:after="0"/>
              <w:rPr>
                <w:sz w:val="1"/>
                <w:szCs w:val="1"/>
                <w:color w:val="auto"/>
              </w:rPr>
            </w:pPr>
          </w:p>
        </w:tc>
      </w:tr>
      <w:tr>
        <w:trPr>
          <w:trHeight w:val="131"/>
        </w:trPr>
        <w:tc>
          <w:tcPr>
            <w:tcW w:w="5600" w:type="dxa"/>
            <w:vAlign w:val="bottom"/>
            <w:gridSpan w:val="4"/>
          </w:tcPr>
          <w:p>
            <w:pPr>
              <w:ind w:left="1160"/>
              <w:spacing w:after="0"/>
              <w:rPr>
                <w:sz w:val="20"/>
                <w:szCs w:val="20"/>
                <w:color w:val="auto"/>
              </w:rPr>
            </w:pPr>
            <w:r>
              <w:rPr>
                <w:rFonts w:ascii="Arial" w:cs="Arial" w:eastAsia="Arial" w:hAnsi="Arial"/>
                <w:sz w:val="11"/>
                <w:szCs w:val="11"/>
                <w:b w:val="1"/>
                <w:bCs w:val="1"/>
                <w:color w:val="auto"/>
              </w:rPr>
              <w:t>Year ended December 31,</w:t>
            </w: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of year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5"/>
          </w:tcPr>
          <w:p>
            <w:pPr>
              <w:jc w:val="right"/>
              <w:ind w:right="9"/>
              <w:spacing w:after="0"/>
              <w:rPr>
                <w:sz w:val="20"/>
                <w:szCs w:val="20"/>
                <w:color w:val="auto"/>
              </w:rPr>
            </w:pPr>
            <w:r>
              <w:rPr>
                <w:rFonts w:ascii="Arial" w:cs="Arial" w:eastAsia="Arial" w:hAnsi="Arial"/>
                <w:sz w:val="11"/>
                <w:szCs w:val="11"/>
                <w:b w:val="1"/>
                <w:bCs w:val="1"/>
                <w:color w:val="auto"/>
                <w:w w:val="90"/>
              </w:rPr>
              <w:t>to expense</w:t>
            </w:r>
          </w:p>
        </w:tc>
        <w:tc>
          <w:tcPr>
            <w:tcW w:w="120" w:type="dxa"/>
            <w:vAlign w:val="bottom"/>
          </w:tcPr>
          <w:p>
            <w:pPr>
              <w:spacing w:after="0"/>
              <w:rPr>
                <w:sz w:val="11"/>
                <w:szCs w:val="11"/>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rPr>
              <w:t>Write-offs</w:t>
            </w:r>
          </w:p>
        </w:tc>
        <w:tc>
          <w:tcPr>
            <w:tcW w:w="140" w:type="dxa"/>
            <w:vAlign w:val="bottom"/>
          </w:tcPr>
          <w:p>
            <w:pPr>
              <w:spacing w:after="0"/>
              <w:rPr>
                <w:sz w:val="11"/>
                <w:szCs w:val="11"/>
                <w:color w:val="auto"/>
              </w:rPr>
            </w:pPr>
          </w:p>
        </w:tc>
        <w:tc>
          <w:tcPr>
            <w:tcW w:w="1780" w:type="dxa"/>
            <w:vAlign w:val="bottom"/>
            <w:gridSpan w:val="3"/>
          </w:tcPr>
          <w:p>
            <w:pPr>
              <w:jc w:val="center"/>
              <w:ind w:right="1420"/>
              <w:spacing w:after="0"/>
              <w:rPr>
                <w:sz w:val="20"/>
                <w:szCs w:val="20"/>
                <w:color w:val="auto"/>
              </w:rPr>
            </w:pPr>
            <w:r>
              <w:rPr>
                <w:rFonts w:ascii="Arial" w:cs="Arial" w:eastAsia="Arial" w:hAnsi="Arial"/>
                <w:sz w:val="11"/>
                <w:szCs w:val="11"/>
                <w:b w:val="1"/>
                <w:bCs w:val="1"/>
                <w:color w:val="auto"/>
                <w:w w:val="88"/>
              </w:rPr>
              <w:t>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(353)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1,028</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590</w:t>
            </w:r>
          </w:p>
        </w:tc>
        <w:tc>
          <w:tcPr>
            <w:tcW w:w="340" w:type="dxa"/>
            <w:vAlign w:val="bottom"/>
            <w:gridSpan w:val="2"/>
          </w:tcPr>
          <w:p>
            <w:pPr>
              <w:jc w:val="right"/>
              <w:ind w:right="8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(952)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666</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2008</w:t>
            </w:r>
          </w:p>
        </w:tc>
        <w:tc>
          <w:tcPr>
            <w:tcW w:w="1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(259)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(6) INVENTORY</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600" w:type="dxa"/>
            <w:vAlign w:val="bottom"/>
            <w:gridSpan w:val="4"/>
          </w:tcPr>
          <w:p>
            <w:pPr>
              <w:ind w:left="300"/>
              <w:spacing w:after="0"/>
              <w:rPr>
                <w:sz w:val="20"/>
                <w:szCs w:val="20"/>
                <w:color w:val="auto"/>
              </w:rPr>
            </w:pPr>
            <w:r>
              <w:rPr>
                <w:rFonts w:ascii="Arial" w:cs="Arial" w:eastAsia="Arial" w:hAnsi="Arial"/>
                <w:sz w:val="14"/>
                <w:szCs w:val="14"/>
                <w:color w:val="auto"/>
              </w:rPr>
              <w:t>Inventory consists of the following (in thousands):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7"/>
              </w:rPr>
              <w:t>December 31,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3"/>
          </w:tcPr>
          <w:p>
            <w:pPr>
              <w:jc w:val="right"/>
              <w:ind w:right="145"/>
              <w:spacing w:after="0" w:line="111" w:lineRule="exact"/>
              <w:rPr>
                <w:sz w:val="20"/>
                <w:szCs w:val="20"/>
                <w:color w:val="auto"/>
              </w:rPr>
            </w:pPr>
            <w:r>
              <w:rPr>
                <w:rFonts w:ascii="Arial" w:cs="Arial" w:eastAsia="Arial" w:hAnsi="Arial"/>
                <w:sz w:val="11"/>
                <w:szCs w:val="11"/>
                <w:b w:val="1"/>
                <w:bCs w:val="1"/>
                <w:color w:val="auto"/>
                <w:w w:val="89"/>
              </w:rPr>
              <w:t>2010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gridSpan w:val="4"/>
          </w:tcPr>
          <w:p>
            <w:pPr>
              <w:jc w:val="right"/>
              <w:ind w:right="145"/>
              <w:spacing w:after="0" w:line="11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On-hand final assemblies and finished goods inventories</w:t>
            </w: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7"/>
              </w:rPr>
              <w:t>15,026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right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4"/>
              </w:rPr>
              <w:t>11,036</w:t>
            </w:r>
          </w:p>
        </w:tc>
        <w:tc>
          <w:tcPr>
            <w:tcW w:w="120" w:type="dxa"/>
            <w:vAlign w:val="bottom"/>
            <w:tcBorders>
              <w:right w:val="single" w:sz="8" w:color="CCEEFF"/>
            </w:tcBorders>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Deferred cost of goods sold</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25,803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4"/>
              </w:rPr>
              <w:t>20,132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7"/>
              </w:rPr>
              <w:t>40,829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4"/>
              </w:rPr>
              <w:t>31,168</w:t>
            </w:r>
          </w:p>
        </w:tc>
        <w:tc>
          <w:tcPr>
            <w:tcW w:w="120" w:type="dxa"/>
            <w:vAlign w:val="bottom"/>
            <w:tcBorders>
              <w:right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Less current portion</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4"/>
                <w:szCs w:val="14"/>
                <w:color w:val="auto"/>
                <w:w w:val="88"/>
              </w:rPr>
              <w:t>(22,499)</w:t>
            </w:r>
          </w:p>
        </w:tc>
        <w:tc>
          <w:tcPr>
            <w:tcW w:w="80" w:type="dxa"/>
            <w:vAlign w:val="bottom"/>
          </w:tcPr>
          <w:p>
            <w:pPr>
              <w:spacing w:after="0"/>
              <w:rPr>
                <w:sz w:val="16"/>
                <w:szCs w:val="16"/>
                <w:color w:val="auto"/>
              </w:rPr>
            </w:pPr>
          </w:p>
        </w:tc>
        <w:tc>
          <w:tcPr>
            <w:tcW w:w="740" w:type="dxa"/>
            <w:vAlign w:val="bottom"/>
            <w:gridSpan w:val="5"/>
          </w:tcPr>
          <w:p>
            <w:pPr>
              <w:jc w:val="right"/>
              <w:ind w:right="80"/>
              <w:spacing w:after="0"/>
              <w:rPr>
                <w:sz w:val="20"/>
                <w:szCs w:val="20"/>
                <w:color w:val="auto"/>
              </w:rPr>
            </w:pPr>
            <w:r>
              <w:rPr>
                <w:rFonts w:ascii="Arial" w:cs="Arial" w:eastAsia="Arial" w:hAnsi="Arial"/>
                <w:sz w:val="14"/>
                <w:szCs w:val="14"/>
                <w:color w:val="auto"/>
              </w:rPr>
              <w:t>(21,925)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Noncurrent portion (included in Other assets)</w:t>
            </w: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7"/>
              </w:rPr>
              <w:t>18,330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top w:val="single" w:sz="8" w:color="auto"/>
              <w:right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9,243</w:t>
            </w:r>
          </w:p>
        </w:tc>
        <w:tc>
          <w:tcPr>
            <w:tcW w:w="120" w:type="dxa"/>
            <w:vAlign w:val="bottom"/>
            <w:tcBorders>
              <w:right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vMerge w:val="restart"/>
          </w:tcPr>
          <w:p>
            <w:pPr>
              <w:jc w:val="right"/>
              <w:ind w:right="1429"/>
              <w:spacing w:after="0"/>
              <w:rPr>
                <w:sz w:val="20"/>
                <w:szCs w:val="20"/>
                <w:color w:val="auto"/>
              </w:rPr>
            </w:pPr>
            <w:r>
              <w:rPr>
                <w:rFonts w:ascii="Arial" w:cs="Arial" w:eastAsia="Arial" w:hAnsi="Arial"/>
                <w:sz w:val="14"/>
                <w:szCs w:val="14"/>
                <w:color w:val="auto"/>
              </w:rPr>
              <w:t>72</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180" w:type="dxa"/>
            <w:vAlign w:val="bottom"/>
            <w:tcBorders>
              <w:bottom w:val="single" w:sz="8" w:color="808080"/>
            </w:tcBorders>
          </w:tcPr>
          <w:p>
            <w:pPr>
              <w:spacing w:after="0"/>
              <w:rPr>
                <w:sz w:val="15"/>
                <w:szCs w:val="15"/>
                <w:color w:val="auto"/>
              </w:rPr>
            </w:pPr>
          </w:p>
        </w:tc>
        <w:tc>
          <w:tcPr>
            <w:tcW w:w="170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PROPERTY AND EQUIPMENT</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Property and equipment consists of the following (in thousands):</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3620" w:type="dxa"/>
            <w:vAlign w:val="bottom"/>
          </w:tcPr>
          <w:p>
            <w:pPr>
              <w:spacing w:after="0"/>
              <w:rPr>
                <w:sz w:val="11"/>
                <w:szCs w:val="11"/>
                <w:color w:val="auto"/>
              </w:rPr>
            </w:pPr>
          </w:p>
        </w:tc>
        <w:tc>
          <w:tcPr>
            <w:tcW w:w="3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Useful Life</w:t>
            </w:r>
          </w:p>
        </w:tc>
        <w:tc>
          <w:tcPr>
            <w:tcW w:w="160" w:type="dxa"/>
            <w:vAlign w:val="bottom"/>
            <w:vMerge w:val="restart"/>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620" w:type="dxa"/>
            <w:vAlign w:val="bottom"/>
          </w:tcPr>
          <w:p>
            <w:pPr>
              <w:spacing w:after="0"/>
              <w:rPr>
                <w:sz w:val="9"/>
                <w:szCs w:val="9"/>
                <w:color w:val="auto"/>
              </w:rPr>
            </w:pPr>
          </w:p>
        </w:tc>
        <w:tc>
          <w:tcPr>
            <w:tcW w:w="3480" w:type="dxa"/>
            <w:vAlign w:val="bottom"/>
            <w:tcBorders>
              <w:bottom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93"/>
              <w:spacing w:after="0" w:line="111" w:lineRule="exact"/>
              <w:rPr>
                <w:sz w:val="20"/>
                <w:szCs w:val="20"/>
                <w:color w:val="auto"/>
              </w:rPr>
            </w:pPr>
            <w:r>
              <w:rPr>
                <w:rFonts w:ascii="Arial" w:cs="Arial" w:eastAsia="Arial" w:hAnsi="Arial"/>
                <w:sz w:val="11"/>
                <w:szCs w:val="11"/>
                <w:b w:val="1"/>
                <w:bCs w:val="1"/>
                <w:color w:val="auto"/>
              </w:rPr>
              <w:t>2010</w:t>
            </w: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1"/>
              <w:spacing w:after="0" w:line="111" w:lineRule="exact"/>
              <w:rPr>
                <w:sz w:val="20"/>
                <w:szCs w:val="20"/>
                <w:color w:val="auto"/>
              </w:rPr>
            </w:pPr>
            <w:r>
              <w:rPr>
                <w:rFonts w:ascii="Arial" w:cs="Arial" w:eastAsia="Arial" w:hAnsi="Arial"/>
                <w:sz w:val="11"/>
                <w:szCs w:val="11"/>
                <w:b w:val="1"/>
                <w:bCs w:val="1"/>
                <w:color w:val="auto"/>
                <w:w w:val="89"/>
              </w:rPr>
              <w:t>2009</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Equipment</w:t>
            </w:r>
          </w:p>
        </w:tc>
        <w:tc>
          <w:tcPr>
            <w:tcW w:w="36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3 years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64,440</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61,504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Arial" w:cs="Arial" w:eastAsia="Arial" w:hAnsi="Arial"/>
                <w:sz w:val="14"/>
                <w:szCs w:val="14"/>
                <w:color w:val="auto"/>
              </w:rPr>
              <w:t>Software</w:t>
            </w:r>
          </w:p>
        </w:tc>
        <w:tc>
          <w:tcPr>
            <w:tcW w:w="364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2 years</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12,733</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36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3-5 years</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36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Shorter of the life of the lease or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6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estimated useful life (1-5 years)</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9,777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8,094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62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88,010</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81,868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(66,726)</w:t>
            </w:r>
          </w:p>
        </w:tc>
        <w:tc>
          <w:tcPr>
            <w:tcW w:w="2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(67,222)</w:t>
            </w:r>
          </w:p>
        </w:tc>
        <w:tc>
          <w:tcPr>
            <w:tcW w:w="0" w:type="dxa"/>
            <w:vAlign w:val="bottom"/>
          </w:tcPr>
          <w:p>
            <w:pPr>
              <w:spacing w:after="0"/>
              <w:rPr>
                <w:sz w:val="1"/>
                <w:szCs w:val="1"/>
                <w:color w:val="auto"/>
              </w:rPr>
            </w:pPr>
          </w:p>
        </w:tc>
      </w:tr>
      <w:tr>
        <w:trPr>
          <w:trHeight w:val="174"/>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21,284</w:t>
            </w:r>
          </w:p>
        </w:tc>
        <w:tc>
          <w:tcPr>
            <w:tcW w:w="1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282"/>
        <w:spacing w:after="0" w:line="289" w:lineRule="auto"/>
        <w:rPr>
          <w:sz w:val="20"/>
          <w:szCs w:val="20"/>
          <w:color w:val="auto"/>
        </w:rPr>
      </w:pPr>
      <w:r>
        <w:rPr>
          <w:rFonts w:ascii="Arial" w:cs="Arial" w:eastAsia="Arial" w:hAnsi="Arial"/>
          <w:sz w:val="14"/>
          <w:szCs w:val="14"/>
          <w:color w:val="auto"/>
        </w:rPr>
        <w:t>The Company recorded depreciation and amortization expense related to property and equipment of $11.2 million for the year ended December 31, 2010, $10.1 million for the year ended December 31, 2009 and $11.7 million for the year ended December 31, 2008.</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Property and equipment under capital leases included in the amounts above are as follows (in thousands):</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1"/>
                <w:szCs w:val="11"/>
                <w:b w:val="1"/>
                <w:bCs w:val="1"/>
                <w:color w:val="auto"/>
              </w:rPr>
              <w:t>December 31,</w:t>
            </w:r>
          </w:p>
        </w:tc>
      </w:tr>
      <w:tr>
        <w:trPr>
          <w:trHeight w:val="111"/>
        </w:trPr>
        <w:tc>
          <w:tcPr>
            <w:tcW w:w="57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6"/>
              <w:spacing w:after="0" w:line="111" w:lineRule="exact"/>
              <w:rPr>
                <w:sz w:val="20"/>
                <w:szCs w:val="20"/>
                <w:color w:val="auto"/>
              </w:rPr>
            </w:pPr>
            <w:r>
              <w:rPr>
                <w:rFonts w:ascii="Arial" w:cs="Arial" w:eastAsia="Arial" w:hAnsi="Arial"/>
                <w:sz w:val="11"/>
                <w:szCs w:val="11"/>
                <w:b w:val="1"/>
                <w:bCs w:val="1"/>
                <w:color w:val="auto"/>
                <w:w w:val="89"/>
              </w:rPr>
              <w:t>2010</w:t>
            </w: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3"/>
              <w:spacing w:after="0" w:line="111" w:lineRule="exact"/>
              <w:rPr>
                <w:sz w:val="20"/>
                <w:szCs w:val="20"/>
                <w:color w:val="auto"/>
              </w:rPr>
            </w:pPr>
            <w:r>
              <w:rPr>
                <w:rFonts w:ascii="Arial" w:cs="Arial" w:eastAsia="Arial" w:hAnsi="Arial"/>
                <w:sz w:val="11"/>
                <w:szCs w:val="11"/>
                <w:b w:val="1"/>
                <w:bCs w:val="1"/>
                <w:color w:val="auto"/>
                <w:w w:val="89"/>
              </w:rPr>
              <w:t>2009</w:t>
            </w:r>
          </w:p>
        </w:tc>
        <w:tc>
          <w:tcPr>
            <w:tcW w:w="120" w:type="dxa"/>
            <w:vAlign w:val="bottom"/>
          </w:tcPr>
          <w:p>
            <w:pPr>
              <w:spacing w:after="0"/>
              <w:rPr>
                <w:sz w:val="9"/>
                <w:szCs w:val="9"/>
                <w:color w:val="auto"/>
              </w:rPr>
            </w:pPr>
          </w:p>
        </w:tc>
      </w:tr>
      <w:tr>
        <w:trPr>
          <w:trHeight w:val="166"/>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14"/>
                <w:szCs w:val="14"/>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0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(592)</w:t>
            </w:r>
          </w:p>
        </w:tc>
      </w:tr>
      <w:tr>
        <w:trPr>
          <w:trHeight w:val="174"/>
        </w:trPr>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under capital leases,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5"/>
                <w:szCs w:val="15"/>
                <w:color w:val="auto"/>
              </w:rPr>
            </w:pPr>
          </w:p>
        </w:tc>
      </w:tr>
      <w:tr>
        <w:trPr>
          <w:trHeight w:val="22"/>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284"/>
        <w:spacing w:after="0" w:line="275" w:lineRule="auto"/>
        <w:rPr>
          <w:sz w:val="20"/>
          <w:szCs w:val="20"/>
          <w:color w:val="auto"/>
        </w:rPr>
      </w:pPr>
      <w:r>
        <w:rPr>
          <w:rFonts w:ascii="Arial" w:cs="Arial" w:eastAsia="Arial" w:hAnsi="Arial"/>
          <w:sz w:val="14"/>
          <w:szCs w:val="14"/>
          <w:color w:val="auto"/>
        </w:rPr>
        <w:t>In 2010, 2009 and 2008, the Company removed certain depreciable assets that were no longer in service. The gross amount of such assets totaled $12.2 million in 2010, $3.3 million in 2009 and $7.3 million in 2008. The Company recorded losses on the disposal of these assets of $0.1 million in the year ended December 31, 2010, $0.2 million in the year ended December 31, 2009 and $0.3 million in the year ended December 31, 2008.</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net book values of the Company's property and equipment by geographic area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60" w:type="dxa"/>
            <w:vAlign w:val="bottom"/>
            <w:gridSpan w:val="6"/>
          </w:tcPr>
          <w:p>
            <w:pPr>
              <w:ind w:left="1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1"/>
        </w:trPr>
        <w:tc>
          <w:tcPr>
            <w:tcW w:w="23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3"/>
              <w:spacing w:after="0" w:line="111" w:lineRule="exact"/>
              <w:rPr>
                <w:sz w:val="20"/>
                <w:szCs w:val="20"/>
                <w:color w:val="auto"/>
              </w:rPr>
            </w:pPr>
            <w:r>
              <w:rPr>
                <w:rFonts w:ascii="Arial" w:cs="Arial" w:eastAsia="Arial" w:hAnsi="Arial"/>
                <w:sz w:val="11"/>
                <w:szCs w:val="11"/>
                <w:b w:val="1"/>
                <w:bCs w:val="1"/>
                <w:color w:val="auto"/>
                <w:w w:val="97"/>
              </w:rPr>
              <w:t>2010</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1"/>
              <w:spacing w:after="0" w:line="111" w:lineRule="exact"/>
              <w:rPr>
                <w:sz w:val="20"/>
                <w:szCs w:val="20"/>
                <w:color w:val="auto"/>
              </w:rPr>
            </w:pPr>
            <w:r>
              <w:rPr>
                <w:rFonts w:ascii="Arial" w:cs="Arial" w:eastAsia="Arial" w:hAnsi="Arial"/>
                <w:sz w:val="11"/>
                <w:szCs w:val="11"/>
                <w:b w:val="1"/>
                <w:bCs w:val="1"/>
                <w:color w:val="auto"/>
                <w:w w:val="97"/>
              </w:rPr>
              <w:t>2009</w:t>
            </w:r>
          </w:p>
        </w:tc>
        <w:tc>
          <w:tcPr>
            <w:tcW w:w="1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14,444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11,094</w:t>
            </w:r>
          </w:p>
        </w:tc>
        <w:tc>
          <w:tcPr>
            <w:tcW w:w="120" w:type="dxa"/>
            <w:vAlign w:val="bottom"/>
            <w:shd w:val="clear" w:color="auto" w:fill="CCEEFF"/>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Asia/Pacific</w:t>
            </w: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Europe</w:t>
            </w:r>
          </w:p>
        </w:tc>
        <w:tc>
          <w:tcPr>
            <w:tcW w:w="3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Canada</w:t>
            </w: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21,284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14,646</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0" w:type="dxa"/>
            <w:vAlign w:val="bottom"/>
            <w:vMerge w:val="restart"/>
          </w:tcPr>
          <w:p>
            <w:pPr>
              <w:jc w:val="right"/>
              <w:ind w:right="1889"/>
              <w:spacing w:after="0"/>
              <w:rPr>
                <w:sz w:val="20"/>
                <w:szCs w:val="20"/>
                <w:color w:val="auto"/>
              </w:rPr>
            </w:pPr>
            <w:r>
              <w:rPr>
                <w:rFonts w:ascii="Arial" w:cs="Arial" w:eastAsia="Arial" w:hAnsi="Arial"/>
                <w:sz w:val="14"/>
                <w:szCs w:val="14"/>
                <w:color w:val="auto"/>
              </w:rPr>
              <w:t>73</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34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3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INTANGIBLE ASSETS AND GOODWILL</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Company's intangible assets at December 31, 2010 and 2009 consist of the following (in thousands):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w w:val="95"/>
              </w:rPr>
              <w:t>Accumulated</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31"/>
        </w:trPr>
        <w:tc>
          <w:tcPr>
            <w:tcW w:w="3600" w:type="dxa"/>
            <w:vAlign w:val="bottom"/>
            <w:gridSpan w:val="3"/>
          </w:tcPr>
          <w:p>
            <w:pPr>
              <w:spacing w:after="0"/>
              <w:rPr>
                <w:sz w:val="20"/>
                <w:szCs w:val="20"/>
                <w:color w:val="auto"/>
              </w:rPr>
            </w:pPr>
            <w:r>
              <w:rPr>
                <w:rFonts w:ascii="Arial" w:cs="Arial" w:eastAsia="Arial" w:hAnsi="Arial"/>
                <w:sz w:val="11"/>
                <w:szCs w:val="11"/>
                <w:b w:val="1"/>
                <w:bCs w:val="1"/>
                <w:color w:val="auto"/>
              </w:rPr>
              <w:t>December 31, 2010</w:t>
            </w:r>
          </w:p>
        </w:tc>
        <w:tc>
          <w:tcPr>
            <w:tcW w:w="24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1"/>
              </w:rPr>
              <w:t>Useful life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3"/>
              <w:spacing w:after="0"/>
              <w:rPr>
                <w:sz w:val="20"/>
                <w:szCs w:val="20"/>
                <w:color w:val="auto"/>
              </w:rPr>
            </w:pPr>
            <w:r>
              <w:rPr>
                <w:rFonts w:ascii="Arial" w:cs="Arial" w:eastAsia="Arial" w:hAnsi="Arial"/>
                <w:sz w:val="11"/>
                <w:szCs w:val="11"/>
                <w:b w:val="1"/>
                <w:bCs w:val="1"/>
                <w:color w:val="auto"/>
                <w:w w:val="97"/>
              </w:rPr>
              <w:t>Cost</w:t>
            </w:r>
          </w:p>
        </w:tc>
        <w:tc>
          <w:tcPr>
            <w:tcW w:w="1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w w:val="97"/>
              </w:rPr>
              <w:t>amortization</w:t>
            </w:r>
          </w:p>
        </w:tc>
        <w:tc>
          <w:tcPr>
            <w:tcW w:w="14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1"/>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Intellectual property</w:t>
            </w:r>
          </w:p>
        </w:tc>
        <w:tc>
          <w:tcPr>
            <w:tcW w:w="2980" w:type="dxa"/>
            <w:vAlign w:val="bottom"/>
            <w:gridSpan w:val="2"/>
            <w:shd w:val="clear" w:color="auto" w:fill="CCEEFF"/>
          </w:tcPr>
          <w:p>
            <w:pPr>
              <w:ind w:left="2440"/>
              <w:spacing w:after="0"/>
              <w:rPr>
                <w:sz w:val="20"/>
                <w:szCs w:val="20"/>
                <w:color w:val="auto"/>
              </w:rPr>
            </w:pPr>
            <w:r>
              <w:rPr>
                <w:rFonts w:ascii="Arial" w:cs="Arial" w:eastAsia="Arial" w:hAnsi="Arial"/>
                <w:sz w:val="14"/>
                <w:szCs w:val="14"/>
                <w:color w:val="auto"/>
              </w:rPr>
              <w:t>5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Arial" w:cs="Arial" w:eastAsia="Arial" w:hAnsi="Arial"/>
                <w:sz w:val="14"/>
                <w:szCs w:val="14"/>
                <w:color w:val="auto"/>
              </w:rPr>
              <w:t>Order backlog</w:t>
            </w:r>
          </w:p>
        </w:tc>
        <w:tc>
          <w:tcPr>
            <w:tcW w:w="2980" w:type="dxa"/>
            <w:vAlign w:val="bottom"/>
            <w:gridSpan w:val="2"/>
          </w:tcPr>
          <w:p>
            <w:pPr>
              <w:ind w:left="2440"/>
              <w:spacing w:after="0"/>
              <w:rPr>
                <w:sz w:val="20"/>
                <w:szCs w:val="20"/>
                <w:color w:val="auto"/>
              </w:rPr>
            </w:pPr>
            <w:r>
              <w:rPr>
                <w:rFonts w:ascii="Arial" w:cs="Arial" w:eastAsia="Arial" w:hAnsi="Arial"/>
                <w:sz w:val="14"/>
                <w:szCs w:val="14"/>
                <w:color w:val="auto"/>
              </w:rPr>
              <w:t>1 year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w w:val="95"/>
              </w:rPr>
              <w:t>Accumulated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31"/>
        </w:trPr>
        <w:tc>
          <w:tcPr>
            <w:tcW w:w="3600" w:type="dxa"/>
            <w:vAlign w:val="bottom"/>
            <w:gridSpan w:val="3"/>
          </w:tcPr>
          <w:p>
            <w:pPr>
              <w:spacing w:after="0"/>
              <w:rPr>
                <w:sz w:val="20"/>
                <w:szCs w:val="20"/>
                <w:color w:val="auto"/>
              </w:rPr>
            </w:pPr>
            <w:r>
              <w:rPr>
                <w:rFonts w:ascii="Arial" w:cs="Arial" w:eastAsia="Arial" w:hAnsi="Arial"/>
                <w:sz w:val="11"/>
                <w:szCs w:val="11"/>
                <w:b w:val="1"/>
                <w:bCs w:val="1"/>
                <w:color w:val="auto"/>
              </w:rPr>
              <w:t>December 31, 2009</w:t>
            </w:r>
          </w:p>
        </w:tc>
        <w:tc>
          <w:tcPr>
            <w:tcW w:w="24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1"/>
              </w:rPr>
              <w:t>Useful life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3"/>
              <w:spacing w:after="0"/>
              <w:rPr>
                <w:sz w:val="20"/>
                <w:szCs w:val="20"/>
                <w:color w:val="auto"/>
              </w:rPr>
            </w:pPr>
            <w:r>
              <w:rPr>
                <w:rFonts w:ascii="Arial" w:cs="Arial" w:eastAsia="Arial" w:hAnsi="Arial"/>
                <w:sz w:val="11"/>
                <w:szCs w:val="11"/>
                <w:b w:val="1"/>
                <w:bCs w:val="1"/>
                <w:color w:val="auto"/>
                <w:w w:val="97"/>
              </w:rPr>
              <w:t>Cost</w:t>
            </w:r>
          </w:p>
        </w:tc>
        <w:tc>
          <w:tcPr>
            <w:tcW w:w="1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w w:val="97"/>
              </w:rPr>
              <w:t>amortization</w:t>
            </w:r>
          </w:p>
        </w:tc>
        <w:tc>
          <w:tcPr>
            <w:tcW w:w="140" w:type="dxa"/>
            <w:vAlign w:val="bottom"/>
          </w:tcPr>
          <w:p>
            <w:pPr>
              <w:spacing w:after="0"/>
              <w:rPr>
                <w:sz w:val="11"/>
                <w:szCs w:val="11"/>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1"/>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Intellectual property</w:t>
            </w:r>
          </w:p>
        </w:tc>
        <w:tc>
          <w:tcPr>
            <w:tcW w:w="2980" w:type="dxa"/>
            <w:vAlign w:val="bottom"/>
            <w:gridSpan w:val="2"/>
            <w:shd w:val="clear" w:color="auto" w:fill="CCEEFF"/>
          </w:tcPr>
          <w:p>
            <w:pPr>
              <w:ind w:left="2440"/>
              <w:spacing w:after="0"/>
              <w:rPr>
                <w:sz w:val="20"/>
                <w:szCs w:val="20"/>
                <w:color w:val="auto"/>
              </w:rPr>
            </w:pPr>
            <w:r>
              <w:rPr>
                <w:rFonts w:ascii="Arial" w:cs="Arial" w:eastAsia="Arial" w:hAnsi="Arial"/>
                <w:sz w:val="14"/>
                <w:szCs w:val="14"/>
                <w:color w:val="auto"/>
              </w:rPr>
              <w:t>5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Arial" w:cs="Arial" w:eastAsia="Arial" w:hAnsi="Arial"/>
                <w:sz w:val="14"/>
                <w:szCs w:val="14"/>
                <w:color w:val="auto"/>
              </w:rPr>
              <w:t>Order backlog</w:t>
            </w:r>
          </w:p>
        </w:tc>
        <w:tc>
          <w:tcPr>
            <w:tcW w:w="2980" w:type="dxa"/>
            <w:vAlign w:val="bottom"/>
            <w:gridSpan w:val="2"/>
          </w:tcPr>
          <w:p>
            <w:pPr>
              <w:ind w:left="2440"/>
              <w:spacing w:after="0"/>
              <w:rPr>
                <w:sz w:val="20"/>
                <w:szCs w:val="20"/>
                <w:color w:val="auto"/>
              </w:rPr>
            </w:pPr>
            <w:r>
              <w:rPr>
                <w:rFonts w:ascii="Arial" w:cs="Arial" w:eastAsia="Arial" w:hAnsi="Arial"/>
                <w:sz w:val="14"/>
                <w:szCs w:val="14"/>
                <w:color w:val="auto"/>
              </w:rPr>
              <w:t>1 year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80" w:firstLine="282"/>
        <w:spacing w:after="0" w:line="289" w:lineRule="auto"/>
        <w:rPr>
          <w:sz w:val="20"/>
          <w:szCs w:val="20"/>
          <w:color w:val="auto"/>
        </w:rPr>
      </w:pPr>
      <w:r>
        <w:rPr>
          <w:rFonts w:ascii="Arial" w:cs="Arial" w:eastAsia="Arial" w:hAnsi="Arial"/>
          <w:sz w:val="14"/>
          <w:szCs w:val="14"/>
          <w:color w:val="auto"/>
        </w:rPr>
        <w:t>The Company amortizes its intangible assets over the estimated useful lives of the respective assets. Amortization expense related to intangible assets was $0.7 million in the year ended December 31, 2010, $0.2 million in the year ended December 31, 2009 and $1.2 million in the year ended December 31, 2008.</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Estimated future amortization expense for the Company's intangible assets at December 31, 2010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40" w:type="dxa"/>
            <w:vAlign w:val="bottom"/>
            <w:gridSpan w:val="2"/>
          </w:tcPr>
          <w:p>
            <w:pPr>
              <w:ind w:left="2300"/>
              <w:spacing w:after="0"/>
              <w:rPr>
                <w:sz w:val="20"/>
                <w:szCs w:val="20"/>
                <w:color w:val="auto"/>
              </w:rPr>
            </w:pPr>
            <w:r>
              <w:rPr>
                <w:rFonts w:ascii="Arial" w:cs="Arial" w:eastAsia="Arial" w:hAnsi="Arial"/>
                <w:sz w:val="11"/>
                <w:szCs w:val="11"/>
                <w:b w:val="1"/>
                <w:bCs w:val="1"/>
                <w:color w:val="auto"/>
                <w:w w:val="91"/>
              </w:rPr>
              <w:t>Years ending December 31,</w:t>
            </w:r>
          </w:p>
        </w:tc>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2011</w:t>
            </w:r>
          </w:p>
        </w:tc>
        <w:tc>
          <w:tcPr>
            <w:tcW w:w="5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2012</w:t>
            </w: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4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2014</w:t>
            </w:r>
          </w:p>
        </w:tc>
        <w:tc>
          <w:tcPr>
            <w:tcW w:w="4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00" w:type="dxa"/>
            <w:vAlign w:val="bottom"/>
            <w:vMerge w:val="restart"/>
          </w:tcPr>
          <w:p>
            <w:pPr>
              <w:jc w:val="right"/>
              <w:ind w:right="2669"/>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808080"/>
            </w:tcBorders>
          </w:tcPr>
          <w:p>
            <w:pPr>
              <w:spacing w:after="0"/>
              <w:rPr>
                <w:sz w:val="15"/>
                <w:szCs w:val="15"/>
                <w:color w:val="auto"/>
              </w:rPr>
            </w:pPr>
          </w:p>
        </w:tc>
        <w:tc>
          <w:tcPr>
            <w:tcW w:w="1340" w:type="dxa"/>
            <w:vAlign w:val="bottom"/>
            <w:tcBorders>
              <w:bottom w:val="single" w:sz="8" w:color="808080"/>
            </w:tcBorders>
          </w:tcPr>
          <w:p>
            <w:pPr>
              <w:spacing w:after="0"/>
              <w:rPr>
                <w:sz w:val="15"/>
                <w:szCs w:val="15"/>
                <w:color w:val="auto"/>
              </w:rPr>
            </w:pPr>
          </w:p>
        </w:tc>
        <w:tc>
          <w:tcPr>
            <w:tcW w:w="49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3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INTANGIBLE ASSETS AND GOODWILL (Continued)</w:t>
      </w:r>
    </w:p>
    <w:p>
      <w:pPr>
        <w:spacing w:after="0" w:line="193" w:lineRule="exact"/>
        <w:rPr>
          <w:sz w:val="20"/>
          <w:szCs w:val="20"/>
          <w:color w:val="auto"/>
        </w:rPr>
      </w:pPr>
    </w:p>
    <w:p>
      <w:pPr>
        <w:ind w:right="200" w:firstLine="284"/>
        <w:spacing w:after="0" w:line="289" w:lineRule="auto"/>
        <w:rPr>
          <w:sz w:val="20"/>
          <w:szCs w:val="20"/>
          <w:color w:val="auto"/>
        </w:rPr>
      </w:pPr>
      <w:r>
        <w:rPr>
          <w:rFonts w:ascii="Arial" w:cs="Arial" w:eastAsia="Arial" w:hAnsi="Arial"/>
          <w:sz w:val="14"/>
          <w:szCs w:val="14"/>
          <w:color w:val="auto"/>
        </w:rPr>
        <w:t>Goodwill is recorded when the consideration for an acquisition exceeds the fair value of net tangible and identifiable intangible assets acquired. The changes in the carrying amount of goodwill during the years ended December 31, 2010 and 2009 are as follows (in thousands):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5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w w:val="97"/>
              </w:rPr>
              <w:t>2010</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w w:val="97"/>
              </w:rPr>
              <w:t>2009</w:t>
            </w:r>
          </w:p>
        </w:tc>
        <w:tc>
          <w:tcPr>
            <w:tcW w:w="120" w:type="dxa"/>
            <w:vAlign w:val="bottom"/>
          </w:tcPr>
          <w:p>
            <w:pPr>
              <w:spacing w:after="0"/>
              <w:rPr>
                <w:sz w:val="11"/>
                <w:szCs w:val="11"/>
                <w:color w:val="auto"/>
              </w:rPr>
            </w:pPr>
          </w:p>
        </w:tc>
      </w:tr>
      <w:tr>
        <w:trPr>
          <w:trHeight w:val="166"/>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5"/>
        </w:trPr>
        <w:tc>
          <w:tcPr>
            <w:tcW w:w="5480" w:type="dxa"/>
            <w:vAlign w:val="bottom"/>
          </w:tcPr>
          <w:p>
            <w:pPr>
              <w:ind w:left="120"/>
              <w:spacing w:after="0"/>
              <w:rPr>
                <w:sz w:val="20"/>
                <w:szCs w:val="20"/>
                <w:color w:val="auto"/>
              </w:rPr>
            </w:pPr>
            <w:r>
              <w:rPr>
                <w:rFonts w:ascii="Arial" w:cs="Arial" w:eastAsia="Arial" w:hAnsi="Arial"/>
                <w:sz w:val="14"/>
                <w:szCs w:val="14"/>
                <w:color w:val="auto"/>
              </w:rPr>
              <w:t>Goodwill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8,168</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8,159</w:t>
            </w:r>
          </w:p>
        </w:tc>
        <w:tc>
          <w:tcPr>
            <w:tcW w:w="120" w:type="dxa"/>
            <w:vAlign w:val="bottom"/>
          </w:tcPr>
          <w:p>
            <w:pPr>
              <w:spacing w:after="0"/>
              <w:rPr>
                <w:sz w:val="15"/>
                <w:szCs w:val="15"/>
                <w:color w:val="auto"/>
              </w:rPr>
            </w:pPr>
          </w:p>
        </w:tc>
      </w:tr>
      <w:tr>
        <w:trPr>
          <w:trHeight w:val="175"/>
        </w:trPr>
        <w:tc>
          <w:tcPr>
            <w:tcW w:w="5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impairment losses</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(3,106)</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(3,106)</w:t>
            </w:r>
          </w:p>
        </w:tc>
      </w:tr>
      <w:tr>
        <w:trPr>
          <w:trHeight w:val="22"/>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54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5,053</w:t>
            </w:r>
          </w:p>
        </w:tc>
        <w:tc>
          <w:tcPr>
            <w:tcW w:w="120" w:type="dxa"/>
            <w:vAlign w:val="bottom"/>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54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Balance at January 1</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5"/>
        </w:trPr>
        <w:tc>
          <w:tcPr>
            <w:tcW w:w="5480" w:type="dxa"/>
            <w:vAlign w:val="bottom"/>
          </w:tcPr>
          <w:p>
            <w:pPr>
              <w:ind w:left="120"/>
              <w:spacing w:after="0"/>
              <w:rPr>
                <w:sz w:val="20"/>
                <w:szCs w:val="20"/>
                <w:color w:val="auto"/>
              </w:rPr>
            </w:pPr>
            <w:r>
              <w:rPr>
                <w:rFonts w:ascii="Arial" w:cs="Arial" w:eastAsia="Arial" w:hAnsi="Arial"/>
                <w:sz w:val="14"/>
                <w:szCs w:val="14"/>
                <w:color w:val="auto"/>
              </w:rPr>
              <w:t>Goodwill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8,159</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8,131</w:t>
            </w:r>
          </w:p>
        </w:tc>
        <w:tc>
          <w:tcPr>
            <w:tcW w:w="120" w:type="dxa"/>
            <w:vAlign w:val="bottom"/>
          </w:tcPr>
          <w:p>
            <w:pPr>
              <w:spacing w:after="0"/>
              <w:rPr>
                <w:sz w:val="15"/>
                <w:szCs w:val="15"/>
                <w:color w:val="auto"/>
              </w:rPr>
            </w:pPr>
          </w:p>
        </w:tc>
      </w:tr>
      <w:tr>
        <w:trPr>
          <w:trHeight w:val="175"/>
        </w:trPr>
        <w:tc>
          <w:tcPr>
            <w:tcW w:w="5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impairment losses</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(3,106)</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(3,106)</w:t>
            </w:r>
          </w:p>
        </w:tc>
      </w:tr>
      <w:tr>
        <w:trPr>
          <w:trHeight w:val="22"/>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5,053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5,025</w:t>
            </w:r>
          </w:p>
        </w:tc>
        <w:tc>
          <w:tcPr>
            <w:tcW w:w="120" w:type="dxa"/>
            <w:vAlign w:val="bottom"/>
          </w:tcPr>
          <w:p>
            <w:pPr>
              <w:spacing w:after="0"/>
              <w:rPr>
                <w:sz w:val="14"/>
                <w:szCs w:val="14"/>
                <w:color w:val="auto"/>
              </w:rPr>
            </w:pPr>
          </w:p>
        </w:tc>
      </w:tr>
      <w:tr>
        <w:trPr>
          <w:trHeight w:val="175"/>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 adjustment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r>
      <w:tr>
        <w:trPr>
          <w:trHeight w:val="22"/>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54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5,053</w:t>
            </w:r>
          </w:p>
        </w:tc>
        <w:tc>
          <w:tcPr>
            <w:tcW w:w="120" w:type="dxa"/>
            <w:vAlign w:val="bottom"/>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performed its annual test for impairment of goodwill at November 30, 2010, and concluded that there was no impairment.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EXPENSES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Accrued expenses consist of the following (in thousands):</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ind w:left="180"/>
              <w:spacing w:after="0"/>
              <w:rPr>
                <w:sz w:val="20"/>
                <w:szCs w:val="20"/>
                <w:color w:val="auto"/>
              </w:rPr>
            </w:pPr>
            <w:r>
              <w:rPr>
                <w:rFonts w:ascii="Arial" w:cs="Arial" w:eastAsia="Arial" w:hAnsi="Arial"/>
                <w:sz w:val="11"/>
                <w:szCs w:val="11"/>
                <w:b w:val="1"/>
                <w:bCs w:val="1"/>
                <w:color w:val="auto"/>
              </w:rPr>
              <w:t>December 31,</w:t>
            </w:r>
          </w:p>
        </w:tc>
      </w:tr>
      <w:tr>
        <w:trPr>
          <w:trHeight w:val="111"/>
        </w:trPr>
        <w:tc>
          <w:tcPr>
            <w:tcW w:w="546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2"/>
              <w:spacing w:after="0" w:line="111" w:lineRule="exact"/>
              <w:rPr>
                <w:sz w:val="20"/>
                <w:szCs w:val="20"/>
                <w:color w:val="auto"/>
              </w:rPr>
            </w:pPr>
            <w:r>
              <w:rPr>
                <w:rFonts w:ascii="Arial" w:cs="Arial" w:eastAsia="Arial" w:hAnsi="Arial"/>
                <w:sz w:val="11"/>
                <w:szCs w:val="11"/>
                <w:b w:val="1"/>
                <w:bCs w:val="1"/>
                <w:color w:val="auto"/>
                <w:w w:val="97"/>
              </w:rPr>
              <w:t>2010</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0"/>
              <w:spacing w:after="0" w:line="111" w:lineRule="exact"/>
              <w:rPr>
                <w:sz w:val="20"/>
                <w:szCs w:val="20"/>
                <w:color w:val="auto"/>
              </w:rPr>
            </w:pPr>
            <w:r>
              <w:rPr>
                <w:rFonts w:ascii="Arial" w:cs="Arial" w:eastAsia="Arial" w:hAnsi="Arial"/>
                <w:sz w:val="11"/>
                <w:szCs w:val="11"/>
                <w:b w:val="1"/>
                <w:bCs w:val="1"/>
                <w:color w:val="auto"/>
                <w:w w:val="97"/>
              </w:rPr>
              <w:t>2009</w:t>
            </w:r>
          </w:p>
        </w:tc>
        <w:tc>
          <w:tcPr>
            <w:tcW w:w="120" w:type="dxa"/>
            <w:vAlign w:val="bottom"/>
          </w:tcPr>
          <w:p>
            <w:pPr>
              <w:spacing w:after="0"/>
              <w:rPr>
                <w:sz w:val="9"/>
                <w:szCs w:val="9"/>
                <w:color w:val="auto"/>
              </w:rPr>
            </w:pPr>
          </w:p>
        </w:tc>
      </w:tr>
      <w:tr>
        <w:trPr>
          <w:trHeight w:val="166"/>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Employee compensation and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22,263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11,892</w:t>
            </w:r>
          </w:p>
        </w:tc>
        <w:tc>
          <w:tcPr>
            <w:tcW w:w="120" w:type="dxa"/>
            <w:vAlign w:val="bottom"/>
            <w:shd w:val="clear" w:color="auto" w:fill="CCEEFF"/>
          </w:tcPr>
          <w:p>
            <w:pPr>
              <w:spacing w:after="0"/>
              <w:rPr>
                <w:sz w:val="14"/>
                <w:szCs w:val="14"/>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5"/>
                <w:szCs w:val="15"/>
                <w:color w:val="auto"/>
              </w:rPr>
            </w:pPr>
          </w:p>
        </w:tc>
      </w:tr>
      <w:tr>
        <w:trPr>
          <w:trHeight w:val="175"/>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15"/>
                <w:szCs w:val="15"/>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4"/>
                <w:szCs w:val="14"/>
                <w:color w:val="auto"/>
              </w:rPr>
              <w:t>Royalties</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1,039</w:t>
            </w:r>
          </w:p>
        </w:tc>
        <w:tc>
          <w:tcPr>
            <w:tcW w:w="120" w:type="dxa"/>
            <w:vAlign w:val="bottom"/>
          </w:tcPr>
          <w:p>
            <w:pPr>
              <w:spacing w:after="0"/>
              <w:rPr>
                <w:sz w:val="15"/>
                <w:szCs w:val="15"/>
                <w:color w:val="auto"/>
              </w:rPr>
            </w:pPr>
          </w:p>
        </w:tc>
      </w:tr>
      <w:tr>
        <w:trPr>
          <w:trHeight w:val="175"/>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5"/>
                <w:szCs w:val="15"/>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4"/>
                <w:szCs w:val="14"/>
                <w:color w:val="auto"/>
              </w:rPr>
              <w:t>Sales taxes payable</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2,278</w:t>
            </w:r>
          </w:p>
        </w:tc>
        <w:tc>
          <w:tcPr>
            <w:tcW w:w="120" w:type="dxa"/>
            <w:vAlign w:val="bottom"/>
          </w:tcPr>
          <w:p>
            <w:pPr>
              <w:spacing w:after="0"/>
              <w:rPr>
                <w:sz w:val="15"/>
                <w:szCs w:val="15"/>
                <w:color w:val="auto"/>
              </w:rPr>
            </w:pPr>
          </w:p>
        </w:tc>
      </w:tr>
      <w:tr>
        <w:trPr>
          <w:trHeight w:val="175"/>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Other taxes</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5"/>
                <w:szCs w:val="15"/>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4"/>
                <w:szCs w:val="14"/>
                <w:color w:val="auto"/>
              </w:rPr>
              <w:t>Restructuring</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r>
      <w:tr>
        <w:trPr>
          <w:trHeight w:val="175"/>
        </w:trPr>
        <w:tc>
          <w:tcPr>
            <w:tcW w:w="54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20" w:type="dxa"/>
            <w:vAlign w:val="bottom"/>
            <w:shd w:val="clear" w:color="auto" w:fill="CCEEFF"/>
          </w:tcPr>
          <w:p>
            <w:pPr>
              <w:spacing w:after="0"/>
              <w:rPr>
                <w:sz w:val="15"/>
                <w:szCs w:val="15"/>
                <w:color w:val="auto"/>
              </w:rPr>
            </w:pPr>
          </w:p>
        </w:tc>
      </w:tr>
      <w:tr>
        <w:trPr>
          <w:trHeight w:val="22"/>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54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29,999</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19,292</w:t>
            </w:r>
          </w:p>
        </w:tc>
        <w:tc>
          <w:tcPr>
            <w:tcW w:w="12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RESTRUCTURING ACCRUAL</w:t>
      </w:r>
    </w:p>
    <w:p>
      <w:pPr>
        <w:spacing w:after="0" w:line="193" w:lineRule="exact"/>
        <w:rPr>
          <w:sz w:val="20"/>
          <w:szCs w:val="20"/>
          <w:color w:val="auto"/>
        </w:rPr>
      </w:pPr>
    </w:p>
    <w:p>
      <w:pPr>
        <w:ind w:firstLine="284"/>
        <w:spacing w:after="0" w:line="270" w:lineRule="auto"/>
        <w:rPr>
          <w:sz w:val="20"/>
          <w:szCs w:val="20"/>
          <w:color w:val="auto"/>
        </w:rPr>
      </w:pPr>
      <w:r>
        <w:rPr>
          <w:rFonts w:ascii="Arial" w:cs="Arial" w:eastAsia="Arial" w:hAnsi="Arial"/>
          <w:sz w:val="14"/>
          <w:szCs w:val="14"/>
          <w:color w:val="auto"/>
        </w:rPr>
        <w:t>On August 24, 2010, the Company committed to a restructuring initiative to close its offices in Ottawa, Canada and in Darmstadt, Germany, to relocate its Freehold, New Jersey facility to a smaller, more cost-effective space in the same area and to reduce its workforce by 12 people, or approximately 1% of employees worldwide (the "2010 restructuring initiative"). The Company recorded $1.1 million of restructuring expense in the third quarter of fiscal 2010, representing severance and related expenses for the headcount reduction component of the 2010 restructuring initiative. These headcount reduction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RESTRUCTURING ACCRUAL (Continued)</w:t>
      </w:r>
    </w:p>
    <w:p>
      <w:pPr>
        <w:spacing w:after="0" w:line="200" w:lineRule="exact"/>
        <w:rPr>
          <w:sz w:val="20"/>
          <w:szCs w:val="20"/>
          <w:color w:val="auto"/>
        </w:rPr>
      </w:pPr>
    </w:p>
    <w:p>
      <w:pPr>
        <w:spacing w:after="0" w:line="364" w:lineRule="exact"/>
        <w:rPr>
          <w:sz w:val="20"/>
          <w:szCs w:val="20"/>
          <w:color w:val="auto"/>
        </w:rPr>
      </w:pPr>
    </w:p>
    <w:p>
      <w:pPr>
        <w:ind w:right="200"/>
        <w:spacing w:after="0" w:line="297" w:lineRule="auto"/>
        <w:rPr>
          <w:sz w:val="20"/>
          <w:szCs w:val="20"/>
          <w:color w:val="auto"/>
        </w:rPr>
      </w:pPr>
      <w:r>
        <w:rPr>
          <w:rFonts w:ascii="Arial" w:cs="Arial" w:eastAsia="Arial" w:hAnsi="Arial"/>
          <w:sz w:val="13"/>
          <w:szCs w:val="13"/>
          <w:color w:val="auto"/>
        </w:rPr>
        <w:t>actions were completed in the three months ended September 30, 2010. The Company recorded $0.4 million in the fourth quarter of fiscal 2010 primarily related to the closing of the Ottawa, Canada facility. During the fourth quarter of fiscal 2010, as a result of changing business circumstances in certain geographic areas, including the availability of suitable replacement facilities and certain customer relationships, the Company elected not to close its office in Darmstadt, Germany, or to relocate its Freehold, New Jersey facility. As a result, the Company does not expect to record restructuring expense related to either of these facilities. The payments related to the 2010 restructuring initiative were completed in the fourth quarter of fiscal 2010.</w:t>
      </w:r>
    </w:p>
    <w:p>
      <w:pPr>
        <w:spacing w:after="0" w:line="134" w:lineRule="exact"/>
        <w:rPr>
          <w:sz w:val="20"/>
          <w:szCs w:val="20"/>
          <w:color w:val="auto"/>
        </w:rPr>
      </w:pPr>
    </w:p>
    <w:p>
      <w:pPr>
        <w:ind w:right="60" w:firstLine="284"/>
        <w:spacing w:after="0" w:line="270" w:lineRule="auto"/>
        <w:rPr>
          <w:sz w:val="20"/>
          <w:szCs w:val="20"/>
          <w:color w:val="auto"/>
        </w:rPr>
      </w:pPr>
      <w:r>
        <w:rPr>
          <w:rFonts w:ascii="Arial" w:cs="Arial" w:eastAsia="Arial" w:hAnsi="Arial"/>
          <w:sz w:val="14"/>
          <w:szCs w:val="14"/>
          <w:color w:val="auto"/>
        </w:rPr>
        <w:t>In the year ended December 31, 2009, the Company recorded restructuring expenses aggregating $3.5 million related to three restructuring initiatives implemented as part of the Company's efforts to right-size the business to align with market needs and opportunities while managing costs to position Sonus for profitable growth. These restructuring initiatives occurred on January 9, 2009, March 9, 2009 and August 12, 2009. As a result of these restructuring initiatives, the Company reduced its workforce by approximately 190 employees worldwide. The payments related to these initiatives were completed in fiscal 2009.</w:t>
      </w:r>
    </w:p>
    <w:p>
      <w:pPr>
        <w:spacing w:after="0" w:line="150" w:lineRule="exact"/>
        <w:rPr>
          <w:sz w:val="20"/>
          <w:szCs w:val="20"/>
          <w:color w:val="auto"/>
        </w:rPr>
      </w:pPr>
    </w:p>
    <w:p>
      <w:pPr>
        <w:ind w:right="100" w:firstLine="284"/>
        <w:spacing w:after="0" w:line="275" w:lineRule="auto"/>
        <w:rPr>
          <w:sz w:val="20"/>
          <w:szCs w:val="20"/>
          <w:color w:val="auto"/>
        </w:rPr>
      </w:pPr>
      <w:r>
        <w:rPr>
          <w:rFonts w:ascii="Arial" w:cs="Arial" w:eastAsia="Arial" w:hAnsi="Arial"/>
          <w:sz w:val="14"/>
          <w:szCs w:val="14"/>
          <w:color w:val="auto"/>
        </w:rPr>
        <w:t>In fiscal 2008, the Company recorded $0.7 million of restructuring expense related to a restructuring initiative implemented as part of the Company's efforts to right-size the business to align with market opportunities while managing costs to position Sonus for profitable growth. Approximately 50 employees, or 5% of the then-current workforce, were affected by such restructuring initiative. The payments related to these initiatives were completed in fiscal 2009.</w:t>
      </w:r>
    </w:p>
    <w:p>
      <w:pPr>
        <w:spacing w:after="0" w:line="146" w:lineRule="exact"/>
        <w:rPr>
          <w:sz w:val="20"/>
          <w:szCs w:val="20"/>
          <w:color w:val="auto"/>
        </w:rPr>
      </w:pPr>
    </w:p>
    <w:p>
      <w:pPr>
        <w:ind w:right="40" w:firstLine="282"/>
        <w:spacing w:after="0" w:line="289" w:lineRule="auto"/>
        <w:rPr>
          <w:sz w:val="20"/>
          <w:szCs w:val="20"/>
          <w:color w:val="auto"/>
        </w:rPr>
      </w:pPr>
      <w:r>
        <w:rPr>
          <w:rFonts w:ascii="Arial" w:cs="Arial" w:eastAsia="Arial" w:hAnsi="Arial"/>
          <w:sz w:val="14"/>
          <w:szCs w:val="14"/>
          <w:color w:val="auto"/>
        </w:rPr>
        <w:t>The Company reports expense for its restructuring initiatives as separately in the consolidated statements of operations. The table below summarizes the severance and related costs activity related to the Company's restructuring initiatives during the year ended December 31, 2010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Initiatives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7"/>
              <w:spacing w:after="0"/>
              <w:rPr>
                <w:sz w:val="20"/>
                <w:szCs w:val="20"/>
                <w:color w:val="auto"/>
              </w:rPr>
            </w:pPr>
            <w:r>
              <w:rPr>
                <w:rFonts w:ascii="Arial" w:cs="Arial" w:eastAsia="Arial" w:hAnsi="Arial"/>
                <w:sz w:val="11"/>
                <w:szCs w:val="11"/>
                <w:b w:val="1"/>
                <w:bCs w:val="1"/>
                <w:color w:val="auto"/>
                <w:w w:val="86"/>
              </w:rPr>
              <w:t>Charges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charged to</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(reversals)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4"/>
          </w:tcPr>
          <w:p>
            <w:pPr>
              <w:jc w:val="center"/>
              <w:ind w:right="1280"/>
              <w:spacing w:after="0" w:line="121" w:lineRule="exact"/>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20"/>
        </w:trPr>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line="121" w:lineRule="exact"/>
              <w:rPr>
                <w:sz w:val="20"/>
                <w:szCs w:val="20"/>
                <w:color w:val="auto"/>
              </w:rPr>
            </w:pPr>
            <w:r>
              <w:rPr>
                <w:rFonts w:ascii="Arial" w:cs="Arial" w:eastAsia="Arial" w:hAnsi="Arial"/>
                <w:sz w:val="11"/>
                <w:szCs w:val="11"/>
                <w:b w:val="1"/>
                <w:bCs w:val="1"/>
                <w:color w:val="auto"/>
                <w:w w:val="94"/>
              </w:rPr>
              <w:t>expense in</w:t>
            </w:r>
          </w:p>
        </w:tc>
        <w:tc>
          <w:tcPr>
            <w:tcW w:w="120" w:type="dxa"/>
            <w:vAlign w:val="bottom"/>
          </w:tcPr>
          <w:p>
            <w:pPr>
              <w:spacing w:after="0"/>
              <w:rPr>
                <w:sz w:val="10"/>
                <w:szCs w:val="10"/>
                <w:color w:val="auto"/>
              </w:rPr>
            </w:pPr>
          </w:p>
        </w:tc>
        <w:tc>
          <w:tcPr>
            <w:tcW w:w="6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86"/>
              </w:rPr>
              <w:t>for changes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300"/>
              <w:spacing w:after="0" w:line="121" w:lineRule="exact"/>
              <w:rPr>
                <w:sz w:val="20"/>
                <w:szCs w:val="20"/>
                <w:color w:val="auto"/>
              </w:rPr>
            </w:pPr>
            <w:r>
              <w:rPr>
                <w:rFonts w:ascii="Arial" w:cs="Arial" w:eastAsia="Arial" w:hAnsi="Arial"/>
                <w:sz w:val="11"/>
                <w:szCs w:val="11"/>
                <w:b w:val="1"/>
                <w:bCs w:val="1"/>
                <w:color w:val="auto"/>
                <w:w w:val="96"/>
              </w:rPr>
              <w:t>Cash</w:t>
            </w:r>
          </w:p>
        </w:tc>
        <w:tc>
          <w:tcPr>
            <w:tcW w:w="80" w:type="dxa"/>
            <w:vAlign w:val="bottom"/>
          </w:tcPr>
          <w:p>
            <w:pPr>
              <w:spacing w:after="0"/>
              <w:rPr>
                <w:sz w:val="10"/>
                <w:szCs w:val="10"/>
                <w:color w:val="auto"/>
              </w:rPr>
            </w:pPr>
          </w:p>
        </w:tc>
        <w:tc>
          <w:tcPr>
            <w:tcW w:w="480" w:type="dxa"/>
            <w:vAlign w:val="bottom"/>
          </w:tcPr>
          <w:p>
            <w:pPr>
              <w:jc w:val="right"/>
              <w:ind w:right="33"/>
              <w:spacing w:after="0" w:line="121" w:lineRule="exact"/>
              <w:rPr>
                <w:sz w:val="20"/>
                <w:szCs w:val="20"/>
                <w:color w:val="auto"/>
              </w:rPr>
            </w:pPr>
            <w:r>
              <w:rPr>
                <w:rFonts w:ascii="Arial" w:cs="Arial" w:eastAsia="Arial" w:hAnsi="Arial"/>
                <w:sz w:val="11"/>
                <w:szCs w:val="11"/>
                <w:b w:val="1"/>
                <w:bCs w:val="1"/>
                <w:color w:val="auto"/>
                <w:w w:val="89"/>
              </w:rPr>
              <w:t>Foreign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3"/>
          </w:tcPr>
          <w:p>
            <w:pPr>
              <w:jc w:val="center"/>
              <w:ind w:right="1400"/>
              <w:spacing w:after="0" w:line="121" w:lineRule="exact"/>
              <w:rPr>
                <w:sz w:val="20"/>
                <w:szCs w:val="20"/>
                <w:color w:val="auto"/>
              </w:rPr>
            </w:pPr>
            <w:r>
              <w:rPr>
                <w:rFonts w:ascii="Arial" w:cs="Arial" w:eastAsia="Arial" w:hAnsi="Arial"/>
                <w:sz w:val="11"/>
                <w:szCs w:val="11"/>
                <w:b w:val="1"/>
                <w:bCs w:val="1"/>
                <w:color w:val="auto"/>
                <w:w w:val="81"/>
              </w:rPr>
              <w:t>end</w:t>
            </w:r>
          </w:p>
        </w:tc>
        <w:tc>
          <w:tcPr>
            <w:tcW w:w="0" w:type="dxa"/>
            <w:vAlign w:val="bottom"/>
          </w:tcPr>
          <w:p>
            <w:pPr>
              <w:spacing w:after="0"/>
              <w:rPr>
                <w:sz w:val="1"/>
                <w:szCs w:val="1"/>
                <w:color w:val="auto"/>
              </w:rPr>
            </w:pPr>
          </w:p>
        </w:tc>
      </w:tr>
      <w:tr>
        <w:trPr>
          <w:trHeight w:val="131"/>
        </w:trPr>
        <w:tc>
          <w:tcPr>
            <w:tcW w:w="2680" w:type="dxa"/>
            <w:vAlign w:val="bottom"/>
            <w:gridSpan w:val="2"/>
          </w:tcPr>
          <w:p>
            <w:pPr>
              <w:ind w:left="1160"/>
              <w:spacing w:after="0"/>
              <w:rPr>
                <w:sz w:val="20"/>
                <w:szCs w:val="20"/>
                <w:color w:val="auto"/>
              </w:rPr>
            </w:pPr>
            <w:r>
              <w:rPr>
                <w:rFonts w:ascii="Arial" w:cs="Arial" w:eastAsia="Arial" w:hAnsi="Arial"/>
                <w:sz w:val="11"/>
                <w:szCs w:val="11"/>
                <w:b w:val="1"/>
                <w:bCs w:val="1"/>
                <w:color w:val="auto"/>
                <w:w w:val="92"/>
              </w:rPr>
              <w:t>Year ended December 31, 2010</w:t>
            </w:r>
          </w:p>
        </w:tc>
        <w:tc>
          <w:tcPr>
            <w:tcW w:w="39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fiscal 2010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rPr>
                <w:sz w:val="20"/>
                <w:szCs w:val="20"/>
                <w:color w:val="auto"/>
              </w:rPr>
            </w:pPr>
            <w:r>
              <w:rPr>
                <w:rFonts w:ascii="Arial" w:cs="Arial" w:eastAsia="Arial" w:hAnsi="Arial"/>
                <w:sz w:val="11"/>
                <w:szCs w:val="11"/>
                <w:b w:val="1"/>
                <w:bCs w:val="1"/>
                <w:color w:val="auto"/>
                <w:w w:val="86"/>
              </w:rPr>
              <w:t>in estimate</w:t>
            </w:r>
          </w:p>
        </w:tc>
        <w:tc>
          <w:tcPr>
            <w:tcW w:w="140" w:type="dxa"/>
            <w:vAlign w:val="bottom"/>
          </w:tcPr>
          <w:p>
            <w:pPr>
              <w:spacing w:after="0"/>
              <w:rPr>
                <w:sz w:val="11"/>
                <w:szCs w:val="11"/>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3"/>
              </w:rPr>
              <w:t>payments</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exchange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3"/>
          </w:tcPr>
          <w:p>
            <w:pPr>
              <w:jc w:val="center"/>
              <w:ind w:right="1400"/>
              <w:spacing w:after="0"/>
              <w:rPr>
                <w:sz w:val="20"/>
                <w:szCs w:val="20"/>
                <w:color w:val="auto"/>
              </w:rPr>
            </w:pPr>
            <w:r>
              <w:rPr>
                <w:rFonts w:ascii="Arial" w:cs="Arial" w:eastAsia="Arial" w:hAnsi="Arial"/>
                <w:sz w:val="11"/>
                <w:szCs w:val="11"/>
                <w:b w:val="1"/>
                <w:bCs w:val="1"/>
                <w:color w:val="auto"/>
                <w:w w:val="88"/>
              </w:rPr>
              <w:t>of 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Severance</w:t>
            </w:r>
          </w:p>
        </w:tc>
        <w:tc>
          <w:tcPr>
            <w:tcW w:w="3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Arial" w:cs="Arial" w:eastAsia="Arial" w:hAnsi="Arial"/>
                <w:sz w:val="14"/>
                <w:szCs w:val="14"/>
                <w:color w:val="auto"/>
              </w:rPr>
              <w:t>Facilities</w:t>
            </w:r>
          </w:p>
        </w:tc>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60" w:type="dxa"/>
            <w:vAlign w:val="bottom"/>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20" w:type="dxa"/>
            <w:vAlign w:val="bottom"/>
            <w:vMerge w:val="restart"/>
          </w:tcPr>
          <w:p>
            <w:pPr>
              <w:jc w:val="right"/>
              <w:ind w:right="729"/>
              <w:spacing w:after="0"/>
              <w:rPr>
                <w:sz w:val="20"/>
                <w:szCs w:val="20"/>
                <w:color w:val="auto"/>
              </w:rPr>
            </w:pPr>
            <w:r>
              <w:rPr>
                <w:rFonts w:ascii="Arial" w:cs="Arial" w:eastAsia="Arial" w:hAnsi="Arial"/>
                <w:sz w:val="14"/>
                <w:szCs w:val="14"/>
                <w:color w:val="auto"/>
              </w:rPr>
              <w:t>76</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2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808080"/>
            </w:tcBorders>
          </w:tcPr>
          <w:p>
            <w:pPr>
              <w:spacing w:after="0"/>
              <w:rPr>
                <w:sz w:val="15"/>
                <w:szCs w:val="15"/>
                <w:color w:val="auto"/>
              </w:rPr>
            </w:pPr>
          </w:p>
        </w:tc>
        <w:tc>
          <w:tcPr>
            <w:tcW w:w="1520" w:type="dxa"/>
            <w:vAlign w:val="bottom"/>
            <w:tcBorders>
              <w:bottom w:val="single" w:sz="8" w:color="808080"/>
            </w:tcBorders>
          </w:tcPr>
          <w:p>
            <w:pPr>
              <w:spacing w:after="0"/>
              <w:rPr>
                <w:sz w:val="15"/>
                <w:szCs w:val="15"/>
                <w:color w:val="auto"/>
              </w:rPr>
            </w:pPr>
          </w:p>
        </w:tc>
        <w:tc>
          <w:tcPr>
            <w:tcW w:w="39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5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4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rPr>
              <w:t>SONUS NETWORKS, INC.</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Arial" w:cs="Arial" w:eastAsia="Arial" w:hAnsi="Arial"/>
                <w:sz w:val="14"/>
                <w:szCs w:val="14"/>
                <w:b w:val="1"/>
                <w:bCs w:val="1"/>
                <w:color w:val="auto"/>
                <w:w w:val="90"/>
              </w:rPr>
              <w:t>Notes to Consolidated Financial Statements (Continued)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(11) LONG-TERM LIABILITIES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900" w:type="dxa"/>
            <w:vAlign w:val="bottom"/>
            <w:gridSpan w:val="3"/>
          </w:tcPr>
          <w:p>
            <w:pPr>
              <w:ind w:left="300"/>
              <w:spacing w:after="0"/>
              <w:rPr>
                <w:sz w:val="20"/>
                <w:szCs w:val="20"/>
                <w:color w:val="auto"/>
              </w:rPr>
            </w:pPr>
            <w:r>
              <w:rPr>
                <w:rFonts w:ascii="Arial" w:cs="Arial" w:eastAsia="Arial" w:hAnsi="Arial"/>
                <w:sz w:val="14"/>
                <w:szCs w:val="14"/>
                <w:color w:val="auto"/>
              </w:rPr>
              <w:t>Long-term liabilities consist of the following (in thousands):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6"/>
          </w:tcPr>
          <w:p>
            <w:pPr>
              <w:jc w:val="right"/>
              <w:ind w:right="3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1"/>
        </w:trPr>
        <w:tc>
          <w:tcPr>
            <w:tcW w:w="2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74"/>
              <w:spacing w:after="0" w:line="111" w:lineRule="exact"/>
              <w:rPr>
                <w:sz w:val="20"/>
                <w:szCs w:val="20"/>
                <w:color w:val="auto"/>
              </w:rPr>
            </w:pPr>
            <w:r>
              <w:rPr>
                <w:rFonts w:ascii="Arial" w:cs="Arial" w:eastAsia="Arial" w:hAnsi="Arial"/>
                <w:sz w:val="11"/>
                <w:szCs w:val="11"/>
                <w:b w:val="1"/>
                <w:bCs w:val="1"/>
                <w:color w:val="auto"/>
                <w:w w:val="97"/>
              </w:rPr>
              <w:t>2010</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bottom w:val="single" w:sz="8" w:color="auto"/>
            </w:tcBorders>
            <w:gridSpan w:val="3"/>
          </w:tcPr>
          <w:p>
            <w:pPr>
              <w:jc w:val="right"/>
              <w:ind w:right="69"/>
              <w:spacing w:after="0" w:line="11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Deferred rent</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4,317</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1,595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1,880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Current portion of long-term liabilities</w:t>
            </w:r>
          </w:p>
        </w:tc>
        <w:tc>
          <w:tcPr>
            <w:tcW w:w="10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liabilities, net of current portion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4,138</w:t>
            </w: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1,127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00" w:type="dxa"/>
            <w:vAlign w:val="bottom"/>
            <w:gridSpan w:val="3"/>
            <w:vMerge w:val="restart"/>
          </w:tcPr>
          <w:p>
            <w:pPr>
              <w:ind w:left="280"/>
              <w:spacing w:after="0"/>
              <w:rPr>
                <w:sz w:val="20"/>
                <w:szCs w:val="20"/>
                <w:color w:val="auto"/>
              </w:rPr>
            </w:pPr>
            <w:r>
              <w:rPr>
                <w:rFonts w:ascii="Arial" w:cs="Arial" w:eastAsia="Arial" w:hAnsi="Arial"/>
                <w:sz w:val="14"/>
                <w:szCs w:val="14"/>
                <w:color w:val="auto"/>
              </w:rPr>
              <w:t>The future minimum annual payments under capital leases at December 31, 2010 are as follows (in thousands):</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9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ind w:left="2300"/>
              <w:spacing w:after="0"/>
              <w:rPr>
                <w:sz w:val="20"/>
                <w:szCs w:val="20"/>
                <w:color w:val="auto"/>
              </w:rPr>
            </w:pPr>
            <w:r>
              <w:rPr>
                <w:rFonts w:ascii="Arial" w:cs="Arial" w:eastAsia="Arial" w:hAnsi="Arial"/>
                <w:sz w:val="11"/>
                <w:szCs w:val="11"/>
                <w:b w:val="1"/>
                <w:bCs w:val="1"/>
                <w:color w:val="auto"/>
              </w:rPr>
              <w:t>Years ending December 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13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4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4"/>
                <w:szCs w:val="14"/>
                <w:color w:val="auto"/>
              </w:rPr>
              <w:t>2012</w:t>
            </w: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w:t>
            </w:r>
          </w:p>
        </w:tc>
        <w:tc>
          <w:tcPr>
            <w:tcW w:w="4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4"/>
                <w:szCs w:val="14"/>
                <w:color w:val="auto"/>
              </w:rPr>
              <w:t>2014</w:t>
            </w: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2015</w:t>
            </w:r>
          </w:p>
        </w:tc>
        <w:tc>
          <w:tcPr>
            <w:tcW w:w="4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5600" w:type="dxa"/>
            <w:vAlign w:val="bottom"/>
            <w:gridSpan w:val="2"/>
          </w:tcPr>
          <w:p>
            <w:pPr>
              <w:ind w:left="120"/>
              <w:spacing w:after="0"/>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minimum lease payments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Less amount representing interest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Present value of minimum lease payments</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Less current portion</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liabilities portion</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OPTION EXCHANGE OFFER</w:t>
      </w:r>
    </w:p>
    <w:p>
      <w:pPr>
        <w:spacing w:after="0" w:line="193" w:lineRule="exact"/>
        <w:rPr>
          <w:sz w:val="20"/>
          <w:szCs w:val="20"/>
          <w:color w:val="auto"/>
        </w:rPr>
      </w:pPr>
    </w:p>
    <w:p>
      <w:pPr>
        <w:ind w:firstLine="276"/>
        <w:spacing w:after="0" w:line="280" w:lineRule="auto"/>
        <w:rPr>
          <w:sz w:val="20"/>
          <w:szCs w:val="20"/>
          <w:color w:val="auto"/>
        </w:rPr>
      </w:pPr>
      <w:r>
        <w:rPr>
          <w:rFonts w:ascii="Arial" w:cs="Arial" w:eastAsia="Arial" w:hAnsi="Arial"/>
          <w:sz w:val="14"/>
          <w:szCs w:val="14"/>
          <w:color w:val="auto"/>
        </w:rPr>
        <w:t>At the Company's Annual Meeting of Stockholders held on June 19, 2009 (the "2009 Annual Meeting"), the Company's stockholders approved a one-time voluntary stock option exchange program (the "Exchange Offer"). On September 8, 2009, the Company commenced the Exchange Offer. Shares of restricted stock issued under the Exchange Offer were completely unvested at the time they were granted and vest over a period of three years following the exchange date, with 33</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of the shares vesting annually.</w:t>
      </w:r>
    </w:p>
    <w:p>
      <w:pPr>
        <w:spacing w:after="0" w:line="48" w:lineRule="exact"/>
        <w:rPr>
          <w:sz w:val="20"/>
          <w:szCs w:val="20"/>
          <w:color w:val="auto"/>
        </w:rPr>
      </w:pPr>
    </w:p>
    <w:p>
      <w:pPr>
        <w:jc w:val="both"/>
        <w:ind w:right="40" w:firstLine="282"/>
        <w:spacing w:after="0" w:line="270" w:lineRule="auto"/>
        <w:rPr>
          <w:sz w:val="20"/>
          <w:szCs w:val="20"/>
          <w:color w:val="auto"/>
        </w:rPr>
      </w:pPr>
      <w:r>
        <w:rPr>
          <w:rFonts w:ascii="Arial" w:cs="Arial" w:eastAsia="Arial" w:hAnsi="Arial"/>
          <w:sz w:val="14"/>
          <w:szCs w:val="14"/>
          <w:color w:val="auto"/>
        </w:rPr>
        <w:t>The Exchange Offer expired on October 5, 2009. Pursuant to the Exchange Offer, options to purchase an aggregate of 5,476,701 shares of the Company's common stock were tendered in exchange for an aggregate of 1,015,360 shares of restricted common stock. The Company recognized the insignificant incremental expense resulting from this exchange in the fourth quarter of fiscal 2009 and is recognizing the unamortized stock-based compensation expense related to the tendered stock options, aggregating $3.5 million, over the three-year vesting period of the restricted common stock issued under the Exchange Offer.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CANCELLATION AND RETIREMENT OF TREASURY STOCK</w:t>
      </w:r>
    </w:p>
    <w:p>
      <w:pPr>
        <w:spacing w:after="0" w:line="193" w:lineRule="exact"/>
        <w:rPr>
          <w:sz w:val="20"/>
          <w:szCs w:val="20"/>
          <w:color w:val="auto"/>
        </w:rPr>
      </w:pPr>
    </w:p>
    <w:p>
      <w:pPr>
        <w:jc w:val="both"/>
        <w:ind w:right="160" w:firstLine="284"/>
        <w:spacing w:after="0" w:line="275" w:lineRule="auto"/>
        <w:rPr>
          <w:sz w:val="20"/>
          <w:szCs w:val="20"/>
          <w:color w:val="auto"/>
        </w:rPr>
      </w:pPr>
      <w:r>
        <w:rPr>
          <w:rFonts w:ascii="Arial" w:cs="Arial" w:eastAsia="Arial" w:hAnsi="Arial"/>
          <w:sz w:val="14"/>
          <w:szCs w:val="14"/>
          <w:color w:val="auto"/>
        </w:rPr>
        <w:t>On October 26, 2010, the Company's Board of Directors passed a resolution to cancel and retire the 2,296,910 shares of common stock of the Company held in treasury that were issued but not outstanding, and that such shares would resume the status of authorized and unissued shares of the Company's common stock. The retirement and cancellation of the treasury shares did not have any effect on the Company's reported Total stockholders' equity at December 31, 2010.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COMPENSATION PLANS</w:t>
      </w:r>
    </w:p>
    <w:p>
      <w:pPr>
        <w:spacing w:after="0" w:line="193" w:lineRule="exact"/>
        <w:rPr>
          <w:sz w:val="20"/>
          <w:szCs w:val="20"/>
          <w:color w:val="auto"/>
        </w:rPr>
      </w:pPr>
    </w:p>
    <w:p>
      <w:pPr>
        <w:jc w:val="both"/>
        <w:ind w:firstLine="282"/>
        <w:spacing w:after="0" w:line="270" w:lineRule="auto"/>
        <w:rPr>
          <w:sz w:val="20"/>
          <w:szCs w:val="20"/>
          <w:color w:val="auto"/>
        </w:rPr>
      </w:pPr>
      <w:r>
        <w:rPr>
          <w:rFonts w:ascii="Arial" w:cs="Arial" w:eastAsia="Arial" w:hAnsi="Arial"/>
          <w:sz w:val="14"/>
          <w:szCs w:val="14"/>
          <w:color w:val="auto"/>
        </w:rPr>
        <w:t>The Company's 2007 Stock Incentive Plan (the "2007 Plan") was approved at the Company's Annual Meeting of Stockholders held on November 12, 2007, and became effective on that date. The 2007 Plan provides for the award of options to purchase the Company's common stock ("stock options"), stock appreciation rights ("SARs"),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50" w:lineRule="exact"/>
        <w:rPr>
          <w:sz w:val="20"/>
          <w:szCs w:val="20"/>
          <w:color w:val="auto"/>
        </w:rPr>
      </w:pPr>
    </w:p>
    <w:p>
      <w:pPr>
        <w:ind w:right="580" w:firstLine="276"/>
        <w:spacing w:after="0" w:line="289" w:lineRule="auto"/>
        <w:rPr>
          <w:sz w:val="20"/>
          <w:szCs w:val="20"/>
          <w:color w:val="auto"/>
        </w:rPr>
      </w:pPr>
      <w:r>
        <w:rPr>
          <w:rFonts w:ascii="Arial" w:cs="Arial" w:eastAsia="Arial" w:hAnsi="Arial"/>
          <w:sz w:val="14"/>
          <w:szCs w:val="14"/>
          <w:color w:val="auto"/>
        </w:rPr>
        <w:t>At the Company's Annual Meeting of Stockholders held on June 16, 2010 (the "2010 Annual Meeting"), the Company's stockholders approved an increase to the number of shares of the Company's common stock available for grant under the 2007 Plan by 20 million shares (the "Amended 2007 Plan").</w:t>
      </w:r>
    </w:p>
    <w:p>
      <w:pPr>
        <w:spacing w:after="0" w:line="137" w:lineRule="exact"/>
        <w:rPr>
          <w:sz w:val="20"/>
          <w:szCs w:val="20"/>
          <w:color w:val="auto"/>
        </w:rPr>
      </w:pPr>
    </w:p>
    <w:p>
      <w:pPr>
        <w:ind w:right="40" w:firstLine="276"/>
        <w:spacing w:after="0" w:line="267" w:lineRule="auto"/>
        <w:rPr>
          <w:sz w:val="20"/>
          <w:szCs w:val="20"/>
          <w:color w:val="auto"/>
        </w:rPr>
      </w:pPr>
      <w:r>
        <w:rPr>
          <w:rFonts w:ascii="Arial" w:cs="Arial" w:eastAsia="Arial" w:hAnsi="Arial"/>
          <w:sz w:val="14"/>
          <w:szCs w:val="14"/>
          <w:color w:val="auto"/>
        </w:rPr>
        <w:t>At December 31, 2010, there were 20.1 million shares available for future issuance under the Amended 2007 Plan, of which approximately 137,000 shares, or approximately 205,000 shares using the fungible share pool formula, are committed for potential future issuance to certain of the Company's executives in the form of performance-based share awards. Under the fungible share pool formula, the number of total shares available for future awards under the Amended 2007 Plan would be reduced by the fungible share pool multiple of 1.5 for each share of common stock included in an award other than a stock option or SAR award. Accordingly, the total number of shares awarded in the future under the Amended 2007 Plan could be less than the number of shares currently available for issuance.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Executive Officer Awards</w:t>
      </w:r>
    </w:p>
    <w:p>
      <w:pPr>
        <w:spacing w:after="0" w:line="193" w:lineRule="exact"/>
        <w:rPr>
          <w:sz w:val="20"/>
          <w:szCs w:val="20"/>
          <w:color w:val="auto"/>
        </w:rPr>
      </w:pPr>
    </w:p>
    <w:p>
      <w:pPr>
        <w:ind w:right="280" w:firstLine="284"/>
        <w:spacing w:after="0" w:line="275" w:lineRule="auto"/>
        <w:rPr>
          <w:sz w:val="20"/>
          <w:szCs w:val="20"/>
          <w:color w:val="auto"/>
        </w:rPr>
      </w:pPr>
      <w:r>
        <w:rPr>
          <w:rFonts w:ascii="Arial" w:cs="Arial" w:eastAsia="Arial" w:hAnsi="Arial"/>
          <w:sz w:val="14"/>
          <w:szCs w:val="14"/>
          <w:color w:val="auto"/>
        </w:rPr>
        <w:t>On October 8, 2010, Raymond P. Dolan ("Mr. Dolan") accepted an offer of employment as President and Chief Executive Officer of the Company (the "Employment Agreement"), effective October 12, 2010 (the "Commencement Date"), succeeding Dr. Richard N. Nottenburg ("Dr. Nottenburg"), the Company's previous President and Chief Executive Officer. As of October 12, 2010, Mr. Dolan also joined the Board of Directors by action of the Board of Directors.</w:t>
      </w:r>
    </w:p>
    <w:p>
      <w:pPr>
        <w:spacing w:after="0" w:line="146" w:lineRule="exact"/>
        <w:rPr>
          <w:sz w:val="20"/>
          <w:szCs w:val="20"/>
          <w:color w:val="auto"/>
        </w:rPr>
      </w:pPr>
    </w:p>
    <w:p>
      <w:pPr>
        <w:ind w:right="60" w:firstLine="284"/>
        <w:spacing w:after="0" w:line="293" w:lineRule="auto"/>
        <w:rPr>
          <w:sz w:val="20"/>
          <w:szCs w:val="20"/>
          <w:color w:val="auto"/>
        </w:rPr>
      </w:pPr>
      <w:r>
        <w:rPr>
          <w:rFonts w:ascii="Arial" w:cs="Arial" w:eastAsia="Arial" w:hAnsi="Arial"/>
          <w:sz w:val="13"/>
          <w:szCs w:val="13"/>
          <w:color w:val="auto"/>
        </w:rPr>
        <w:t>Pursuant to the terms of the Employment Agreement, on October 15, 2010, Mr. Dolan was granted an option to purchase 1,000,000 shares of the Company's common stock at an exercise price of $3.38 (the "Options"), the closing price of the Company's common stock on the date of grant. These options vest over a period of four years, with 25% vesting on the first anniversary of the Commencement Date and the remaining 75% vesting in equal monthly increments thereafter. Mr. Dolan was also granted 750,000 restricted shares of the Company's common stock, which are subject to both performance and time vesting Requirements (the "Performance Shares"). As of December 31, 2010, the performance conditions for the Performance Shares had not been established by the Company's Compensation Committee of the Board of Directors; therefore this award is not considered granted for accounting purposes.</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00"/>
          </w:cols>
          <w:pgMar w:left="220" w:top="132" w:right="27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COMPENSATION PLANS (Continued)</w:t>
      </w:r>
    </w:p>
    <w:p>
      <w:pPr>
        <w:spacing w:after="0" w:line="193" w:lineRule="exact"/>
        <w:rPr>
          <w:sz w:val="20"/>
          <w:szCs w:val="20"/>
          <w:color w:val="auto"/>
        </w:rPr>
      </w:pPr>
    </w:p>
    <w:p>
      <w:pPr>
        <w:ind w:firstLine="284"/>
        <w:spacing w:after="0" w:line="266" w:lineRule="auto"/>
        <w:rPr>
          <w:sz w:val="20"/>
          <w:szCs w:val="20"/>
          <w:color w:val="auto"/>
        </w:rPr>
      </w:pPr>
      <w:r>
        <w:rPr>
          <w:rFonts w:ascii="Arial" w:cs="Arial" w:eastAsia="Arial" w:hAnsi="Arial"/>
          <w:sz w:val="14"/>
          <w:szCs w:val="14"/>
          <w:color w:val="auto"/>
        </w:rPr>
        <w:t>On May 18, 2010, Dr. Nottenburg and the Company entered into a letter agreement (the "Retention Agreement") pursuant to which Dr. Nottenburg agreed to stay with the Company while assisting the Company with an orderly transition of his duties and responsibilities. In connection with the Retention Agreement, on June 15, 2010 Dr. Nottenburg was granted 750,000 shares of restricted stock (the "Retention Shares") under the 2007 Plan, which had an aggregate grant date fair value of $1.9 million, and he agreed to relinquish his rights to two performance-based stock grants, each in the amount of 250,000 shares of restricted stock. The Company had previously determined it was not probable that the performance conditions for these two performance-based stock grants would be satisfied; accordingly, no stock-based compensation expense had been recorded. The Company recognized $1.9 million of stock-based compensation expense related to the Retention Shares in the year ended December 31, 2010.</w:t>
      </w:r>
    </w:p>
    <w:p>
      <w:pPr>
        <w:spacing w:after="0" w:line="153" w:lineRule="exact"/>
        <w:rPr>
          <w:sz w:val="20"/>
          <w:szCs w:val="20"/>
          <w:color w:val="auto"/>
        </w:rPr>
      </w:pPr>
    </w:p>
    <w:p>
      <w:pPr>
        <w:ind w:right="480" w:firstLine="284"/>
        <w:spacing w:after="0" w:line="378" w:lineRule="auto"/>
        <w:rPr>
          <w:sz w:val="20"/>
          <w:szCs w:val="20"/>
          <w:color w:val="auto"/>
        </w:rPr>
      </w:pPr>
      <w:r>
        <w:rPr>
          <w:rFonts w:ascii="Arial" w:cs="Arial" w:eastAsia="Arial" w:hAnsi="Arial"/>
          <w:sz w:val="12"/>
          <w:szCs w:val="12"/>
          <w:color w:val="auto"/>
        </w:rPr>
        <w:t>Dr. Nottenburg's employment letter of May 13, 2008 provided for the acceleration of vesting of stock options and restricted stock on the date Dr. Nottenburg's employment was terminated, provided that certain conditions were met. The Company recognized stock-based compensation expense related to these awards of $3.9 million in the year ended December 31, 2010.</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Chief Operating Officer Awards</w:t>
      </w:r>
    </w:p>
    <w:p>
      <w:pPr>
        <w:spacing w:after="0" w:line="193" w:lineRule="exact"/>
        <w:rPr>
          <w:sz w:val="20"/>
          <w:szCs w:val="20"/>
          <w:color w:val="auto"/>
        </w:rPr>
      </w:pPr>
    </w:p>
    <w:p>
      <w:pPr>
        <w:ind w:right="60" w:firstLine="284"/>
        <w:spacing w:after="0" w:line="293" w:lineRule="auto"/>
        <w:rPr>
          <w:sz w:val="20"/>
          <w:szCs w:val="20"/>
          <w:color w:val="auto"/>
        </w:rPr>
      </w:pPr>
      <w:r>
        <w:rPr>
          <w:rFonts w:ascii="Arial" w:cs="Arial" w:eastAsia="Arial" w:hAnsi="Arial"/>
          <w:sz w:val="13"/>
          <w:szCs w:val="13"/>
          <w:color w:val="auto"/>
        </w:rPr>
        <w:t>On December 30, 2010, the Company announced that Gurudutt Pai stepped down as Executive Vice President and Chief Operating Officer, effective immediately, citing personal reasons. In connection with Mr. Pai's departure, the Company and Mr. Pai entered into a letter agreement dated December 29, 2010 (the "Separation Letter"). Pursuant to the Separation Letter and his employment agreement, the Company accelerated the vesting of certain unvested options to purchase the Company's common stock and shares of restricted stock. In addition, the Company paid Mr. Pai $66,000 in exchange for his forfeiture of certain other unvested options to purchase the Company's common stock that would have vested on his departure. As a result, the Company recognized stock-based compensation expense, net of forfeitures, aggregating $0.5 million in the year ended December 31, 2010 related to Mr. Pai's departure.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193" w:lineRule="exact"/>
        <w:rPr>
          <w:sz w:val="20"/>
          <w:szCs w:val="20"/>
          <w:color w:val="auto"/>
        </w:rPr>
      </w:pPr>
    </w:p>
    <w:p>
      <w:pPr>
        <w:ind w:right="20" w:firstLine="284"/>
        <w:spacing w:after="0" w:line="297" w:lineRule="auto"/>
        <w:rPr>
          <w:sz w:val="20"/>
          <w:szCs w:val="20"/>
          <w:color w:val="auto"/>
        </w:rPr>
      </w:pPr>
      <w:r>
        <w:rPr>
          <w:rFonts w:ascii="Arial" w:cs="Arial" w:eastAsia="Arial" w:hAnsi="Arial"/>
          <w:sz w:val="13"/>
          <w:szCs w:val="13"/>
          <w:color w:val="auto"/>
        </w:rPr>
        <w:t>Options are issued to purchase shares of common stock of the Company at prices that are equal to the fair market value of the shares on the date the option is granted. Options generally vest over a period of four years, with 25% of the shares subject to the option vesting on the first anniversary of the grant date and the remaining 75% vesting in equal monthly increments thereafter through the fourth anniversary of the grant date. Options generally expire ten years from the date of grant. The grant date fair value of options, adjusted for estimated forfeitures, is recognized as expense on a straight-line basis over the requisite service period, which is generally the vesting period. Forfeitures are estimated based on historical experience.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left="280" w:hanging="273"/>
        <w:spacing w:after="0"/>
        <w:tabs>
          <w:tab w:leader="none" w:pos="28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 (Continued)</w:t>
      </w:r>
    </w:p>
    <w:p>
      <w:pPr>
        <w:spacing w:after="0" w:line="192"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color w:val="auto"/>
        </w:rPr>
        <w:t>The activity related to the Company's outstanding stock options during the year ended December 31, 2010 is as follows: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52"/>
              <w:spacing w:after="0" w:line="121" w:lineRule="exact"/>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Remaining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20"/>
        </w:trPr>
        <w:tc>
          <w:tcPr>
            <w:tcW w:w="5300" w:type="dxa"/>
            <w:vAlign w:val="bottom"/>
          </w:tcPr>
          <w:p>
            <w:pPr>
              <w:spacing w:after="0"/>
              <w:rPr>
                <w:sz w:val="10"/>
                <w:szCs w:val="10"/>
                <w:color w:val="auto"/>
              </w:rPr>
            </w:pPr>
          </w:p>
        </w:tc>
        <w:tc>
          <w:tcPr>
            <w:tcW w:w="860" w:type="dxa"/>
            <w:vAlign w:val="bottom"/>
            <w:gridSpan w:val="2"/>
          </w:tcPr>
          <w:p>
            <w:pPr>
              <w:jc w:val="right"/>
              <w:ind w:right="240"/>
              <w:spacing w:after="0" w:line="121"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80" w:type="dxa"/>
            <w:vAlign w:val="bottom"/>
          </w:tcPr>
          <w:p>
            <w:pPr>
              <w:jc w:val="center"/>
              <w:ind w:right="72"/>
              <w:spacing w:after="0" w:line="121"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2"/>
              </w:rPr>
              <w:t>Contractual Term</w:t>
            </w:r>
          </w:p>
        </w:tc>
        <w:tc>
          <w:tcPr>
            <w:tcW w:w="120" w:type="dxa"/>
            <w:vAlign w:val="bottom"/>
          </w:tcPr>
          <w:p>
            <w:pPr>
              <w:spacing w:after="0"/>
              <w:rPr>
                <w:sz w:val="10"/>
                <w:szCs w:val="10"/>
                <w:color w:val="auto"/>
              </w:rPr>
            </w:pPr>
          </w:p>
        </w:tc>
        <w:tc>
          <w:tcPr>
            <w:tcW w:w="96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Intrinsic Value</w:t>
            </w: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Shares</w:t>
            </w:r>
          </w:p>
        </w:tc>
        <w:tc>
          <w:tcPr>
            <w:tcW w:w="8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Exercise Price</w:t>
            </w:r>
          </w:p>
        </w:tc>
        <w:tc>
          <w:tcPr>
            <w:tcW w:w="1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8"/>
              </w:rPr>
              <w:t>(years)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(in thousands)</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24,081,565</w:t>
            </w: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00" w:type="dxa"/>
            <w:vAlign w:val="bottom"/>
          </w:tcPr>
          <w:p>
            <w:pPr>
              <w:ind w:left="100"/>
              <w:spacing w:after="0"/>
              <w:rPr>
                <w:sz w:val="20"/>
                <w:szCs w:val="20"/>
                <w:color w:val="auto"/>
              </w:rPr>
            </w:pPr>
            <w:r>
              <w:rPr>
                <w:rFonts w:ascii="Arial" w:cs="Arial" w:eastAsia="Arial" w:hAnsi="Arial"/>
                <w:sz w:val="14"/>
                <w:szCs w:val="14"/>
                <w:color w:val="auto"/>
              </w:rPr>
              <w:t>Granted</w:t>
            </w:r>
          </w:p>
        </w:tc>
        <w:tc>
          <w:tcPr>
            <w:tcW w:w="740" w:type="dxa"/>
            <w:vAlign w:val="bottom"/>
          </w:tcPr>
          <w:p>
            <w:pPr>
              <w:jc w:val="right"/>
              <w:spacing w:after="0"/>
              <w:rPr>
                <w:sz w:val="20"/>
                <w:szCs w:val="20"/>
                <w:color w:val="auto"/>
              </w:rPr>
            </w:pPr>
            <w:r>
              <w:rPr>
                <w:rFonts w:ascii="Arial" w:cs="Arial" w:eastAsia="Arial" w:hAnsi="Arial"/>
                <w:sz w:val="14"/>
                <w:szCs w:val="14"/>
                <w:color w:val="auto"/>
              </w:rPr>
              <w:t>5,091,600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(694,833)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tcPr>
          <w:p>
            <w:pPr>
              <w:ind w:left="100"/>
              <w:spacing w:after="0"/>
              <w:rPr>
                <w:sz w:val="20"/>
                <w:szCs w:val="20"/>
                <w:color w:val="auto"/>
              </w:rPr>
            </w:pPr>
            <w:r>
              <w:rPr>
                <w:rFonts w:ascii="Arial" w:cs="Arial" w:eastAsia="Arial" w:hAnsi="Arial"/>
                <w:sz w:val="14"/>
                <w:szCs w:val="14"/>
                <w:color w:val="auto"/>
              </w:rPr>
              <w:t>Forfeited</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(1,210,612)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Expired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(9,090,532)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spacing w:after="0"/>
              <w:rPr>
                <w:sz w:val="20"/>
                <w:szCs w:val="20"/>
                <w:color w:val="auto"/>
              </w:rPr>
            </w:pPr>
            <w:r>
              <w:rPr>
                <w:rFonts w:ascii="Arial" w:cs="Arial" w:eastAsia="Arial" w:hAnsi="Arial"/>
                <w:sz w:val="14"/>
                <w:szCs w:val="14"/>
                <w:color w:val="auto"/>
              </w:rPr>
              <w:t>Outstanding at December 31, 2010</w:t>
            </w: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4.40</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6.23</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300" w:type="dxa"/>
            <w:vAlign w:val="bottom"/>
            <w:vMerge w:val="continue"/>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18,177,188</w:t>
            </w: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Vested or expected to vest at December 31, 2010</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17,487,448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4.45</w:t>
            </w:r>
          </w:p>
        </w:tc>
        <w:tc>
          <w:tcPr>
            <w:tcW w:w="11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6.10</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1,212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rPr>
                <w:sz w:val="20"/>
                <w:szCs w:val="20"/>
                <w:color w:val="auto"/>
              </w:rPr>
            </w:pPr>
            <w:r>
              <w:rPr>
                <w:rFonts w:ascii="Arial" w:cs="Arial" w:eastAsia="Arial" w:hAnsi="Arial"/>
                <w:sz w:val="14"/>
                <w:szCs w:val="14"/>
                <w:color w:val="auto"/>
              </w:rPr>
              <w:t>Exercisable at December 31, 2010</w:t>
            </w:r>
          </w:p>
        </w:tc>
        <w:tc>
          <w:tcPr>
            <w:tcW w:w="740" w:type="dxa"/>
            <w:vAlign w:val="bottom"/>
          </w:tcPr>
          <w:p>
            <w:pPr>
              <w:jc w:val="right"/>
              <w:spacing w:after="0"/>
              <w:rPr>
                <w:sz w:val="20"/>
                <w:szCs w:val="20"/>
                <w:color w:val="auto"/>
              </w:rPr>
            </w:pPr>
            <w:r>
              <w:rPr>
                <w:rFonts w:ascii="Arial" w:cs="Arial" w:eastAsia="Arial" w:hAnsi="Arial"/>
                <w:sz w:val="14"/>
                <w:szCs w:val="14"/>
                <w:color w:val="auto"/>
              </w:rPr>
              <w:t>11,944,736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5.01</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4.71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220" w:firstLine="282"/>
        <w:spacing w:after="0" w:line="289" w:lineRule="auto"/>
        <w:rPr>
          <w:sz w:val="20"/>
          <w:szCs w:val="20"/>
          <w:color w:val="auto"/>
        </w:rPr>
      </w:pPr>
      <w:r>
        <w:rPr>
          <w:rFonts w:ascii="Arial" w:cs="Arial" w:eastAsia="Arial" w:hAnsi="Arial"/>
          <w:sz w:val="14"/>
          <w:szCs w:val="14"/>
          <w:color w:val="auto"/>
        </w:rPr>
        <w:t>The grant date fair values of options to purchase common stock granted in the years ended December 31, 2010, 2009 and 2008, excluding the options granted to Mr. Dolan in fiscal 2010, were estimated using the Black-Scholes valuation model with the following assumptions: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57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Year ended December 31,</w:t>
            </w: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1"/>
        </w:trPr>
        <w:tc>
          <w:tcPr>
            <w:tcW w:w="5780" w:type="dxa"/>
            <w:vAlign w:val="bottom"/>
          </w:tcPr>
          <w:p>
            <w:pPr>
              <w:spacing w:after="0"/>
              <w:rPr>
                <w:sz w:val="9"/>
                <w:szCs w:val="9"/>
                <w:color w:val="auto"/>
              </w:rPr>
            </w:pPr>
          </w:p>
        </w:tc>
        <w:tc>
          <w:tcPr>
            <w:tcW w:w="1000" w:type="dxa"/>
            <w:vAlign w:val="bottom"/>
            <w:tcBorders>
              <w:bottom w:val="single" w:sz="8" w:color="auto"/>
            </w:tcBorders>
          </w:tcPr>
          <w:p>
            <w:pPr>
              <w:jc w:val="right"/>
              <w:ind w:right="332"/>
              <w:spacing w:after="0" w:line="11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9"/>
                <w:szCs w:val="9"/>
                <w:color w:val="auto"/>
              </w:rPr>
            </w:pPr>
          </w:p>
        </w:tc>
        <w:tc>
          <w:tcPr>
            <w:tcW w:w="1000" w:type="dxa"/>
            <w:vAlign w:val="bottom"/>
            <w:tcBorders>
              <w:bottom w:val="single" w:sz="8" w:color="auto"/>
            </w:tcBorders>
          </w:tcPr>
          <w:p>
            <w:pPr>
              <w:jc w:val="right"/>
              <w:ind w:right="334"/>
              <w:spacing w:after="0" w:line="11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9"/>
                <w:szCs w:val="9"/>
                <w:color w:val="auto"/>
              </w:rPr>
            </w:pPr>
          </w:p>
        </w:tc>
        <w:tc>
          <w:tcPr>
            <w:tcW w:w="1000" w:type="dxa"/>
            <w:vAlign w:val="bottom"/>
            <w:tcBorders>
              <w:bottom w:val="single" w:sz="8" w:color="auto"/>
            </w:tcBorders>
          </w:tcPr>
          <w:p>
            <w:pPr>
              <w:jc w:val="right"/>
              <w:ind w:right="312"/>
              <w:spacing w:after="0" w:line="111" w:lineRule="exact"/>
              <w:rPr>
                <w:sz w:val="20"/>
                <w:szCs w:val="20"/>
                <w:color w:val="auto"/>
              </w:rPr>
            </w:pPr>
            <w:r>
              <w:rPr>
                <w:rFonts w:ascii="Arial" w:cs="Arial" w:eastAsia="Arial" w:hAnsi="Arial"/>
                <w:sz w:val="11"/>
                <w:szCs w:val="11"/>
                <w:b w:val="1"/>
                <w:bCs w:val="1"/>
                <w:color w:val="auto"/>
              </w:rPr>
              <w:t>2008</w:t>
            </w:r>
          </w:p>
        </w:tc>
        <w:tc>
          <w:tcPr>
            <w:tcW w:w="140" w:type="dxa"/>
            <w:vAlign w:val="bottom"/>
          </w:tcPr>
          <w:p>
            <w:pPr>
              <w:spacing w:after="0"/>
              <w:rPr>
                <w:sz w:val="9"/>
                <w:szCs w:val="9"/>
                <w:color w:val="auto"/>
              </w:rPr>
            </w:pPr>
          </w:p>
        </w:tc>
      </w:tr>
      <w:tr>
        <w:trPr>
          <w:trHeight w:val="166"/>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1.46%–2.65%</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1"/>
              </w:rPr>
              <w:t>1.76%–2.47%</w:t>
            </w:r>
          </w:p>
        </w:tc>
        <w:tc>
          <w:tcPr>
            <w:tcW w:w="11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2.18%–3.12%</w:t>
            </w:r>
          </w:p>
        </w:tc>
      </w:tr>
      <w:tr>
        <w:trPr>
          <w:trHeight w:val="175"/>
        </w:trPr>
        <w:tc>
          <w:tcPr>
            <w:tcW w:w="5780" w:type="dxa"/>
            <w:vAlign w:val="bottom"/>
          </w:tcPr>
          <w:p>
            <w:pPr>
              <w:spacing w:after="0"/>
              <w:rPr>
                <w:sz w:val="20"/>
                <w:szCs w:val="20"/>
                <w:color w:val="auto"/>
              </w:rPr>
            </w:pPr>
            <w:r>
              <w:rPr>
                <w:rFonts w:ascii="Arial" w:cs="Arial" w:eastAsia="Arial" w:hAnsi="Arial"/>
                <w:sz w:val="14"/>
                <w:szCs w:val="14"/>
                <w:color w:val="auto"/>
              </w:rPr>
              <w:t>Expected dividends</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175"/>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volatility</w:t>
            </w:r>
          </w:p>
        </w:tc>
        <w:tc>
          <w:tcPr>
            <w:tcW w:w="1000" w:type="dxa"/>
            <w:vAlign w:val="bottom"/>
            <w:shd w:val="clear" w:color="auto" w:fill="CCEEFF"/>
          </w:tcPr>
          <w:p>
            <w:pPr>
              <w:jc w:val="center"/>
              <w:ind w:left="12"/>
              <w:spacing w:after="0"/>
              <w:rPr>
                <w:sz w:val="20"/>
                <w:szCs w:val="20"/>
                <w:color w:val="auto"/>
              </w:rPr>
            </w:pPr>
            <w:r>
              <w:rPr>
                <w:rFonts w:ascii="Arial" w:cs="Arial" w:eastAsia="Arial" w:hAnsi="Arial"/>
                <w:sz w:val="14"/>
                <w:szCs w:val="14"/>
                <w:color w:val="auto"/>
                <w:w w:val="92"/>
              </w:rPr>
              <w:t>64.50%</w:t>
            </w:r>
          </w:p>
        </w:tc>
        <w:tc>
          <w:tcPr>
            <w:tcW w:w="1120" w:type="dxa"/>
            <w:vAlign w:val="bottom"/>
            <w:gridSpan w:val="2"/>
            <w:shd w:val="clear" w:color="auto" w:fill="CCEEFF"/>
          </w:tcPr>
          <w:p>
            <w:pPr>
              <w:jc w:val="center"/>
              <w:ind w:left="134"/>
              <w:spacing w:after="0"/>
              <w:rPr>
                <w:sz w:val="20"/>
                <w:szCs w:val="20"/>
                <w:color w:val="auto"/>
              </w:rPr>
            </w:pPr>
            <w:r>
              <w:rPr>
                <w:rFonts w:ascii="Arial" w:cs="Arial" w:eastAsia="Arial" w:hAnsi="Arial"/>
                <w:sz w:val="14"/>
                <w:szCs w:val="14"/>
                <w:color w:val="auto"/>
                <w:w w:val="90"/>
              </w:rPr>
              <w:t>64.3%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12"/>
              <w:spacing w:after="0"/>
              <w:rPr>
                <w:sz w:val="20"/>
                <w:szCs w:val="20"/>
                <w:color w:val="auto"/>
              </w:rPr>
            </w:pPr>
            <w:r>
              <w:rPr>
                <w:rFonts w:ascii="Arial" w:cs="Arial" w:eastAsia="Arial" w:hAnsi="Arial"/>
                <w:sz w:val="14"/>
                <w:szCs w:val="14"/>
                <w:color w:val="auto"/>
                <w:w w:val="92"/>
              </w:rPr>
              <w:t>71.75%</w:t>
            </w:r>
          </w:p>
        </w:tc>
        <w:tc>
          <w:tcPr>
            <w:tcW w:w="140" w:type="dxa"/>
            <w:vAlign w:val="bottom"/>
            <w:shd w:val="clear" w:color="auto" w:fill="CCEEFF"/>
          </w:tcPr>
          <w:p>
            <w:pPr>
              <w:spacing w:after="0"/>
              <w:rPr>
                <w:sz w:val="15"/>
                <w:szCs w:val="15"/>
                <w:color w:val="auto"/>
              </w:rPr>
            </w:pPr>
          </w:p>
        </w:tc>
      </w:tr>
      <w:tr>
        <w:trPr>
          <w:trHeight w:val="181"/>
        </w:trPr>
        <w:tc>
          <w:tcPr>
            <w:tcW w:w="5780" w:type="dxa"/>
            <w:vAlign w:val="bottom"/>
          </w:tcPr>
          <w:p>
            <w:pPr>
              <w:spacing w:after="0"/>
              <w:rPr>
                <w:sz w:val="20"/>
                <w:szCs w:val="20"/>
                <w:color w:val="auto"/>
              </w:rPr>
            </w:pPr>
            <w:r>
              <w:rPr>
                <w:rFonts w:ascii="Arial" w:cs="Arial" w:eastAsia="Arial" w:hAnsi="Arial"/>
                <w:sz w:val="14"/>
                <w:szCs w:val="14"/>
                <w:color w:val="auto"/>
              </w:rPr>
              <w:t>Expected life (years)</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120" w:type="dxa"/>
            <w:vAlign w:val="bottom"/>
            <w:gridSpan w:val="2"/>
          </w:tcPr>
          <w:p>
            <w:pPr>
              <w:jc w:val="center"/>
              <w:ind w:left="114"/>
              <w:spacing w:after="0"/>
              <w:rPr>
                <w:sz w:val="20"/>
                <w:szCs w:val="20"/>
                <w:color w:val="auto"/>
              </w:rPr>
            </w:pPr>
            <w:r>
              <w:rPr>
                <w:rFonts w:ascii="Arial" w:cs="Arial" w:eastAsia="Arial" w:hAnsi="Arial"/>
                <w:sz w:val="14"/>
                <w:szCs w:val="14"/>
                <w:color w:val="auto"/>
                <w:w w:val="92"/>
              </w:rPr>
              <w:t>4.5</w:t>
            </w:r>
          </w:p>
        </w:tc>
        <w:tc>
          <w:tcPr>
            <w:tcW w:w="120" w:type="dxa"/>
            <w:vAlign w:val="bottom"/>
          </w:tcPr>
          <w:p>
            <w:pPr>
              <w:spacing w:after="0"/>
              <w:rPr>
                <w:sz w:val="15"/>
                <w:szCs w:val="15"/>
                <w:color w:val="auto"/>
              </w:rPr>
            </w:pPr>
          </w:p>
        </w:tc>
        <w:tc>
          <w:tcPr>
            <w:tcW w:w="1000" w:type="dxa"/>
            <w:vAlign w:val="bottom"/>
          </w:tcPr>
          <w:p>
            <w:pPr>
              <w:jc w:val="center"/>
              <w:ind w:left="32"/>
              <w:spacing w:after="0"/>
              <w:rPr>
                <w:sz w:val="20"/>
                <w:szCs w:val="20"/>
                <w:color w:val="auto"/>
              </w:rPr>
            </w:pPr>
            <w:r>
              <w:rPr>
                <w:rFonts w:ascii="Arial" w:cs="Arial" w:eastAsia="Arial" w:hAnsi="Arial"/>
                <w:sz w:val="14"/>
                <w:szCs w:val="14"/>
                <w:color w:val="auto"/>
                <w:w w:val="92"/>
              </w:rPr>
              <w:t>4.5</w:t>
            </w:r>
          </w:p>
        </w:tc>
        <w:tc>
          <w:tcPr>
            <w:tcW w:w="140" w:type="dxa"/>
            <w:vAlign w:val="bottom"/>
          </w:tcPr>
          <w:p>
            <w:pPr>
              <w:spacing w:after="0"/>
              <w:rPr>
                <w:sz w:val="15"/>
                <w:szCs w:val="15"/>
                <w:color w:val="auto"/>
              </w:rPr>
            </w:pPr>
          </w:p>
        </w:tc>
      </w:tr>
    </w:tbl>
    <w:p>
      <w:pPr>
        <w:spacing w:after="0" w:line="162" w:lineRule="exact"/>
        <w:rPr>
          <w:sz w:val="20"/>
          <w:szCs w:val="20"/>
          <w:color w:val="auto"/>
        </w:rPr>
      </w:pPr>
    </w:p>
    <w:p>
      <w:pPr>
        <w:ind w:right="400" w:firstLine="282"/>
        <w:spacing w:after="0" w:line="289" w:lineRule="auto"/>
        <w:rPr>
          <w:sz w:val="20"/>
          <w:szCs w:val="20"/>
          <w:color w:val="auto"/>
        </w:rPr>
      </w:pPr>
      <w:r>
        <w:rPr>
          <w:rFonts w:ascii="Arial" w:cs="Arial" w:eastAsia="Arial" w:hAnsi="Arial"/>
          <w:sz w:val="14"/>
          <w:szCs w:val="14"/>
          <w:color w:val="auto"/>
        </w:rPr>
        <w:t>The grant date fair value of the option to purchase the Company's common stock granted to Mr. Dolan on October 15, 2010 was estimated using the Black-Scholes valuation model with the following assumptions:</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75"/>
        </w:trPr>
        <w:tc>
          <w:tcPr>
            <w:tcW w:w="4000" w:type="dxa"/>
            <w:vAlign w:val="bottom"/>
          </w:tcPr>
          <w:p>
            <w:pPr>
              <w:spacing w:after="0"/>
              <w:rPr>
                <w:sz w:val="20"/>
                <w:szCs w:val="20"/>
                <w:color w:val="auto"/>
              </w:rPr>
            </w:pPr>
            <w:r>
              <w:rPr>
                <w:rFonts w:ascii="Arial" w:cs="Arial" w:eastAsia="Arial" w:hAnsi="Arial"/>
                <w:sz w:val="14"/>
                <w:szCs w:val="14"/>
                <w:color w:val="auto"/>
              </w:rPr>
              <w:t>Expected dividends</w:t>
            </w:r>
          </w:p>
        </w:tc>
        <w:tc>
          <w:tcPr>
            <w:tcW w:w="28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175"/>
        </w:trPr>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volatility</w:t>
            </w: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r>
      <w:tr>
        <w:trPr>
          <w:trHeight w:val="181"/>
        </w:trPr>
        <w:tc>
          <w:tcPr>
            <w:tcW w:w="4000" w:type="dxa"/>
            <w:vAlign w:val="bottom"/>
          </w:tcPr>
          <w:p>
            <w:pPr>
              <w:spacing w:after="0"/>
              <w:rPr>
                <w:sz w:val="20"/>
                <w:szCs w:val="20"/>
                <w:color w:val="auto"/>
              </w:rPr>
            </w:pPr>
            <w:r>
              <w:rPr>
                <w:rFonts w:ascii="Arial" w:cs="Arial" w:eastAsia="Arial" w:hAnsi="Arial"/>
                <w:sz w:val="14"/>
                <w:szCs w:val="14"/>
                <w:color w:val="auto"/>
              </w:rPr>
              <w:t>Expected life (years)</w:t>
            </w:r>
          </w:p>
        </w:tc>
        <w:tc>
          <w:tcPr>
            <w:tcW w:w="2860" w:type="dxa"/>
            <w:vAlign w:val="bottom"/>
          </w:tcPr>
          <w:p>
            <w:pPr>
              <w:jc w:val="right"/>
              <w:ind w:right="49"/>
              <w:spacing w:after="0"/>
              <w:rPr>
                <w:sz w:val="20"/>
                <w:szCs w:val="20"/>
                <w:color w:val="auto"/>
              </w:rPr>
            </w:pPr>
            <w:r>
              <w:rPr>
                <w:rFonts w:ascii="Arial" w:cs="Arial" w:eastAsia="Arial" w:hAnsi="Arial"/>
                <w:sz w:val="14"/>
                <w:szCs w:val="14"/>
                <w:color w:val="auto"/>
              </w:rPr>
              <w:t>6.0</w:t>
            </w:r>
          </w:p>
        </w:tc>
      </w:tr>
    </w:tbl>
    <w:p>
      <w:pPr>
        <w:spacing w:after="0" w:line="162" w:lineRule="exact"/>
        <w:rPr>
          <w:sz w:val="20"/>
          <w:szCs w:val="20"/>
          <w:color w:val="auto"/>
        </w:rPr>
      </w:pPr>
    </w:p>
    <w:p>
      <w:pPr>
        <w:jc w:val="both"/>
        <w:ind w:firstLine="282"/>
        <w:spacing w:after="0" w:line="275" w:lineRule="auto"/>
        <w:rPr>
          <w:sz w:val="20"/>
          <w:szCs w:val="20"/>
          <w:color w:val="auto"/>
        </w:rPr>
      </w:pPr>
      <w:r>
        <w:rPr>
          <w:rFonts w:ascii="Arial" w:cs="Arial" w:eastAsia="Arial" w:hAnsi="Arial"/>
          <w:sz w:val="14"/>
          <w:szCs w:val="14"/>
          <w:color w:val="auto"/>
        </w:rPr>
        <w:t>The risk-free interest rate used is the average U.S. Treasury Constant Maturities Rate for the expected term of the award. The expected dividend yield of zero is based on the fact that the Company has never paid dividends and has no present intention to pay cash dividends. The expected life for stock options is based on a combination of the Company's historical option patterns and expectations of future employee actions.</w:t>
      </w:r>
    </w:p>
    <w:p>
      <w:pPr>
        <w:spacing w:after="0" w:line="146" w:lineRule="exact"/>
        <w:rPr>
          <w:sz w:val="20"/>
          <w:szCs w:val="20"/>
          <w:color w:val="auto"/>
        </w:rPr>
      </w:pPr>
    </w:p>
    <w:p>
      <w:pPr>
        <w:ind w:right="160" w:firstLine="282"/>
        <w:spacing w:after="0" w:line="289" w:lineRule="auto"/>
        <w:rPr>
          <w:sz w:val="20"/>
          <w:szCs w:val="20"/>
          <w:color w:val="auto"/>
        </w:rPr>
      </w:pPr>
      <w:r>
        <w:rPr>
          <w:rFonts w:ascii="Arial" w:cs="Arial" w:eastAsia="Arial" w:hAnsi="Arial"/>
          <w:sz w:val="14"/>
          <w:szCs w:val="14"/>
          <w:color w:val="auto"/>
        </w:rPr>
        <w:t>The weighted average grant-date fair values of options granted during the year were $1.65 for the year ended December 31, 2010, $0.97 for the year ended December 31, 2009 and $2.23 for the year ended December 31, 2008. The total intrinsic values of options exercised during the year were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00"/>
          </w:cols>
          <w:pgMar w:left="220" w:top="132" w:right="27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STOCK-BASED COMPENSATION PLANS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$1.0 million for the year ended December 31, 2010, $0.1 million for the year ended December 31, 2009 and $0.3 million for the year ended December 31, 2008.</w:t>
      </w:r>
    </w:p>
    <w:p>
      <w:pPr>
        <w:spacing w:after="0" w:line="189" w:lineRule="exact"/>
        <w:rPr>
          <w:sz w:val="20"/>
          <w:szCs w:val="20"/>
          <w:color w:val="auto"/>
        </w:rPr>
      </w:pPr>
    </w:p>
    <w:p>
      <w:pPr>
        <w:ind w:right="320" w:firstLine="282"/>
        <w:spacing w:after="0" w:line="289" w:lineRule="auto"/>
        <w:rPr>
          <w:sz w:val="20"/>
          <w:szCs w:val="20"/>
          <w:color w:val="auto"/>
        </w:rPr>
      </w:pPr>
      <w:r>
        <w:rPr>
          <w:rFonts w:ascii="Arial" w:cs="Arial" w:eastAsia="Arial" w:hAnsi="Arial"/>
          <w:sz w:val="14"/>
          <w:szCs w:val="14"/>
          <w:color w:val="auto"/>
        </w:rPr>
        <w:t>The Company received cash from option exercises of $1.0 million in the year ended December 31, 2010, $0.1 million in the year ended December 31, 2009 and $0.4 million in the year ended December 31, 2008.</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Awards</w:t>
      </w:r>
    </w:p>
    <w:p>
      <w:pPr>
        <w:spacing w:after="0" w:line="193" w:lineRule="exact"/>
        <w:rPr>
          <w:sz w:val="20"/>
          <w:szCs w:val="20"/>
          <w:color w:val="auto"/>
        </w:rPr>
      </w:pPr>
    </w:p>
    <w:p>
      <w:pPr>
        <w:ind w:right="100" w:firstLine="284"/>
        <w:spacing w:after="0" w:line="309" w:lineRule="auto"/>
        <w:rPr>
          <w:sz w:val="20"/>
          <w:szCs w:val="20"/>
          <w:color w:val="auto"/>
        </w:rPr>
      </w:pPr>
      <w:r>
        <w:rPr>
          <w:rFonts w:ascii="Arial" w:cs="Arial" w:eastAsia="Arial" w:hAnsi="Arial"/>
          <w:sz w:val="12"/>
          <w:szCs w:val="12"/>
          <w:color w:val="auto"/>
        </w:rPr>
        <w:t>Recipients of restricted stock awards have voting rights and rights to receive dividends, if declared. Restricted stock awards generally vest 25% on the first anniversary of the grant date, with the remaining 75% vesting in equal increments semi-annually thereafter. Restricted stock awards issued in connection with the Company's Exchange Offer, which was completed on October 6, 2009, vest</w:t>
      </w:r>
    </w:p>
    <w:p>
      <w:pPr>
        <w:spacing w:after="0" w:line="285" w:lineRule="auto"/>
        <w:rPr>
          <w:sz w:val="20"/>
          <w:szCs w:val="20"/>
          <w:color w:val="auto"/>
        </w:rPr>
      </w:pPr>
      <w:r>
        <w:rPr>
          <w:rFonts w:ascii="Arial" w:cs="Arial" w:eastAsia="Arial" w:hAnsi="Arial"/>
          <w:sz w:val="12"/>
          <w:szCs w:val="12"/>
          <w:color w:val="auto"/>
        </w:rPr>
        <w:t>over a period of three years following the exchange date, with 33</w:t>
      </w:r>
      <w:r>
        <w:rPr>
          <w:rFonts w:ascii="Arial" w:cs="Arial" w:eastAsia="Arial" w:hAnsi="Arial"/>
          <w:sz w:val="19"/>
          <w:szCs w:val="19"/>
          <w:color w:val="auto"/>
          <w:vertAlign w:val="superscript"/>
        </w:rPr>
        <w:t>1</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of the shares vesting annually. The grant date fair value of restricted stock awards, adjusted for estimated forfeitures, is recognized as expense on a straight-line basis over the requisite service period. The fair value of restricted stock is determined based on the market value of the Company's shares on the date of grant.</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activity related to the Company's unvested restricted stock awards for the year ended December 31, 2010 is as follows:</w:t>
      </w:r>
    </w:p>
    <w:p>
      <w:pPr>
        <w:spacing w:after="0" w:line="179" w:lineRule="exact"/>
        <w:rPr>
          <w:sz w:val="20"/>
          <w:szCs w:val="20"/>
          <w:color w:val="auto"/>
        </w:rPr>
      </w:pPr>
    </w:p>
    <w:tbl>
      <w:tblPr>
        <w:tblLayout w:type="fixed"/>
        <w:tblInd w:w="230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Weighted</w:t>
            </w:r>
          </w:p>
        </w:tc>
      </w:tr>
      <w:tr>
        <w:trPr>
          <w:trHeight w:val="120"/>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7"/>
              </w:rPr>
              <w:t>Average</w:t>
            </w:r>
          </w:p>
        </w:tc>
      </w:tr>
      <w:tr>
        <w:trPr>
          <w:trHeight w:val="120"/>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2"/>
              </w:rPr>
              <w:t>Grant Date</w:t>
            </w:r>
          </w:p>
        </w:tc>
      </w:tr>
      <w:tr>
        <w:trPr>
          <w:trHeight w:val="131"/>
        </w:trPr>
        <w:tc>
          <w:tcPr>
            <w:tcW w:w="24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Fair Value</w:t>
            </w:r>
          </w:p>
        </w:tc>
      </w:tr>
      <w:tr>
        <w:trPr>
          <w:trHeight w:val="166"/>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balance at January 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3,444,496</w:t>
            </w: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4"/>
                <w:szCs w:val="14"/>
                <w:color w:val="auto"/>
              </w:rPr>
            </w:pPr>
          </w:p>
        </w:tc>
      </w:tr>
      <w:tr>
        <w:trPr>
          <w:trHeight w:val="175"/>
        </w:trPr>
        <w:tc>
          <w:tcPr>
            <w:tcW w:w="5220" w:type="dxa"/>
            <w:vAlign w:val="bottom"/>
            <w:gridSpan w:val="2"/>
          </w:tcPr>
          <w:p>
            <w:pPr>
              <w:ind w:left="120"/>
              <w:spacing w:after="0"/>
              <w:rPr>
                <w:sz w:val="20"/>
                <w:szCs w:val="20"/>
                <w:color w:val="auto"/>
              </w:rPr>
            </w:pPr>
            <w:r>
              <w:rPr>
                <w:rFonts w:ascii="Arial" w:cs="Arial" w:eastAsia="Arial" w:hAnsi="Arial"/>
                <w:sz w:val="14"/>
                <w:szCs w:val="14"/>
                <w:color w:val="auto"/>
              </w:rPr>
              <w:t>Granted</w:t>
            </w:r>
          </w:p>
        </w:tc>
        <w:tc>
          <w:tcPr>
            <w:tcW w:w="720" w:type="dxa"/>
            <w:vAlign w:val="bottom"/>
          </w:tcPr>
          <w:p>
            <w:pPr>
              <w:jc w:val="right"/>
              <w:spacing w:after="0"/>
              <w:rPr>
                <w:sz w:val="20"/>
                <w:szCs w:val="20"/>
                <w:color w:val="auto"/>
              </w:rPr>
            </w:pPr>
            <w:r>
              <w:rPr>
                <w:rFonts w:ascii="Arial" w:cs="Arial" w:eastAsia="Arial" w:hAnsi="Arial"/>
                <w:sz w:val="14"/>
                <w:szCs w:val="14"/>
                <w:color w:val="auto"/>
              </w:rPr>
              <w:t>990,000</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5"/>
                <w:szCs w:val="15"/>
                <w:color w:val="auto"/>
              </w:rPr>
            </w:pPr>
          </w:p>
        </w:tc>
      </w:tr>
      <w:tr>
        <w:trPr>
          <w:trHeight w:val="17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Vested*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(2,392,787)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5"/>
                <w:szCs w:val="15"/>
                <w:color w:val="auto"/>
              </w:rPr>
            </w:pPr>
          </w:p>
        </w:tc>
      </w:tr>
      <w:tr>
        <w:trPr>
          <w:trHeight w:val="189"/>
        </w:trPr>
        <w:tc>
          <w:tcPr>
            <w:tcW w:w="5220" w:type="dxa"/>
            <w:vAlign w:val="bottom"/>
            <w:gridSpan w:val="2"/>
          </w:tcPr>
          <w:p>
            <w:pPr>
              <w:ind w:left="120"/>
              <w:spacing w:after="0"/>
              <w:rPr>
                <w:sz w:val="20"/>
                <w:szCs w:val="20"/>
                <w:color w:val="auto"/>
              </w:rPr>
            </w:pPr>
            <w:r>
              <w:rPr>
                <w:rFonts w:ascii="Arial" w:cs="Arial" w:eastAsia="Arial" w:hAnsi="Arial"/>
                <w:sz w:val="14"/>
                <w:szCs w:val="14"/>
                <w:color w:val="auto"/>
              </w:rPr>
              <w:t>Forfeited</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(500,478)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6"/>
                <w:szCs w:val="16"/>
                <w:color w:val="auto"/>
              </w:rPr>
            </w:pPr>
          </w:p>
        </w:tc>
      </w:tr>
      <w:tr>
        <w:trPr>
          <w:trHeight w:val="174"/>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balance at December 31,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1,541,231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5"/>
                <w:szCs w:val="15"/>
                <w:color w:val="auto"/>
              </w:rPr>
            </w:pPr>
          </w:p>
        </w:tc>
      </w:tr>
      <w:tr>
        <w:trPr>
          <w:trHeight w:val="22"/>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
        </w:trPr>
        <w:tc>
          <w:tcPr>
            <w:tcW w:w="2400" w:type="dxa"/>
            <w:vAlign w:val="bottom"/>
            <w:tcBorders>
              <w:bottom w:val="single" w:sz="8" w:color="auto"/>
            </w:tcBorders>
          </w:tcPr>
          <w:p>
            <w:pPr>
              <w:spacing w:after="0"/>
              <w:rPr>
                <w:sz w:val="5"/>
                <w:szCs w:val="5"/>
                <w:color w:val="auto"/>
              </w:rPr>
            </w:pPr>
          </w:p>
        </w:tc>
        <w:tc>
          <w:tcPr>
            <w:tcW w:w="2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178" w:lineRule="exact"/>
        <w:rPr>
          <w:sz w:val="20"/>
          <w:szCs w:val="20"/>
          <w:color w:val="auto"/>
        </w:rPr>
      </w:pPr>
    </w:p>
    <w:p>
      <w:pPr>
        <w:ind w:left="2740" w:hanging="442"/>
        <w:spacing w:after="0"/>
        <w:tabs>
          <w:tab w:leader="none" w:pos="2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325,000 shares that were vested at December 31, 2010, but which will not be issued until the first quarter of fiscal 2011.</w:t>
      </w:r>
    </w:p>
    <w:p>
      <w:pPr>
        <w:spacing w:after="0" w:line="189" w:lineRule="exact"/>
        <w:rPr>
          <w:sz w:val="20"/>
          <w:szCs w:val="20"/>
          <w:color w:val="auto"/>
        </w:rPr>
      </w:pPr>
    </w:p>
    <w:p>
      <w:pPr>
        <w:ind w:right="620" w:firstLine="282"/>
        <w:spacing w:after="0" w:line="289" w:lineRule="auto"/>
        <w:rPr>
          <w:sz w:val="20"/>
          <w:szCs w:val="20"/>
          <w:color w:val="auto"/>
        </w:rPr>
      </w:pPr>
      <w:r>
        <w:rPr>
          <w:rFonts w:ascii="Arial" w:cs="Arial" w:eastAsia="Arial" w:hAnsi="Arial"/>
          <w:sz w:val="14"/>
          <w:szCs w:val="14"/>
          <w:color w:val="auto"/>
        </w:rPr>
        <w:t>The total fair value of restricted stock award shares vested during the year was $7.8 million in the year ended December 31, 2010, $4.9 million in the year ended December 31, 2009 and $7.0 million in the year ended December 31, 2008.</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Performance-Based Stock Awards</w:t>
      </w:r>
    </w:p>
    <w:p>
      <w:pPr>
        <w:spacing w:after="0" w:line="193" w:lineRule="exact"/>
        <w:rPr>
          <w:sz w:val="20"/>
          <w:szCs w:val="20"/>
          <w:color w:val="auto"/>
        </w:rPr>
      </w:pPr>
    </w:p>
    <w:p>
      <w:pPr>
        <w:jc w:val="both"/>
        <w:ind w:right="180" w:firstLine="284"/>
        <w:spacing w:after="0" w:line="267" w:lineRule="auto"/>
        <w:rPr>
          <w:sz w:val="20"/>
          <w:szCs w:val="20"/>
          <w:color w:val="auto"/>
        </w:rPr>
      </w:pPr>
      <w:r>
        <w:rPr>
          <w:rFonts w:ascii="Arial" w:cs="Arial" w:eastAsia="Arial" w:hAnsi="Arial"/>
          <w:sz w:val="14"/>
          <w:szCs w:val="14"/>
          <w:color w:val="auto"/>
        </w:rPr>
        <w:t>Similar to recipients of restricted stock awards, recipients of performance-based stock awards have voting rights and rights to dividends, if declared. The Company begins to record stock-based compensation expense for performance-based stock awards at the time that it becomes probable that the respective performance conditions will be achieved. The Company will continue to recognize the grant date fair value of performance-based stock awards through the vest date of the respective awards so long as it remains probable that the related performance conditions will be satisfied. The Company recorded stock-based compensation expense aggregating $0.8 million in the year ended December 31, 2010 and $0.1 million in the year ended December 31, 2009 related to performance-based stock awards.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left="280" w:hanging="273"/>
        <w:spacing w:after="0"/>
        <w:tabs>
          <w:tab w:leader="none" w:pos="2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 (Continued)</w:t>
      </w:r>
    </w:p>
    <w:p>
      <w:pPr>
        <w:spacing w:after="0" w:line="192"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color w:val="auto"/>
        </w:rPr>
        <w:t>The activity related to the Company's performance-based stock awards for the year ended December 31, 2010 is as follows:</w:t>
      </w:r>
    </w:p>
    <w:p>
      <w:pPr>
        <w:spacing w:after="0" w:line="179" w:lineRule="exact"/>
        <w:rPr>
          <w:sz w:val="20"/>
          <w:szCs w:val="20"/>
          <w:color w:val="auto"/>
        </w:rPr>
      </w:pPr>
    </w:p>
    <w:tbl>
      <w:tblPr>
        <w:tblLayout w:type="fixed"/>
        <w:tblInd w:w="2300" w:type="dxa"/>
        <w:tblCellMar>
          <w:top w:w="0" w:type="dxa"/>
          <w:left w:w="0" w:type="dxa"/>
          <w:bottom w:w="0" w:type="dxa"/>
          <w:right w:w="0" w:type="dxa"/>
        </w:tblCellMar>
      </w:tblPr>
      <w:tr>
        <w:trPr>
          <w:trHeight w:val="126"/>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Weighted</w:t>
            </w:r>
          </w:p>
        </w:tc>
      </w:tr>
      <w:tr>
        <w:trPr>
          <w:trHeight w:val="120"/>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7"/>
              </w:rPr>
              <w:t>Average</w:t>
            </w:r>
          </w:p>
        </w:tc>
      </w:tr>
      <w:tr>
        <w:trPr>
          <w:trHeight w:val="120"/>
        </w:trPr>
        <w:tc>
          <w:tcPr>
            <w:tcW w:w="24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2"/>
              </w:rPr>
              <w:t>Grant Date</w:t>
            </w:r>
          </w:p>
        </w:tc>
      </w:tr>
      <w:tr>
        <w:trPr>
          <w:trHeight w:val="131"/>
        </w:trPr>
        <w:tc>
          <w:tcPr>
            <w:tcW w:w="24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Fair Value</w:t>
            </w:r>
          </w:p>
        </w:tc>
      </w:tr>
      <w:tr>
        <w:trPr>
          <w:trHeight w:val="166"/>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balance at January 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4"/>
                <w:szCs w:val="14"/>
                <w:color w:val="auto"/>
              </w:rPr>
            </w:pPr>
          </w:p>
        </w:tc>
      </w:tr>
      <w:tr>
        <w:trPr>
          <w:trHeight w:val="175"/>
        </w:trPr>
        <w:tc>
          <w:tcPr>
            <w:tcW w:w="5220" w:type="dxa"/>
            <w:vAlign w:val="bottom"/>
            <w:gridSpan w:val="2"/>
          </w:tcPr>
          <w:p>
            <w:pPr>
              <w:ind w:left="120"/>
              <w:spacing w:after="0"/>
              <w:rPr>
                <w:sz w:val="20"/>
                <w:szCs w:val="20"/>
                <w:color w:val="auto"/>
              </w:rPr>
            </w:pPr>
            <w:r>
              <w:rPr>
                <w:rFonts w:ascii="Arial" w:cs="Arial" w:eastAsia="Arial" w:hAnsi="Arial"/>
                <w:sz w:val="14"/>
                <w:szCs w:val="14"/>
                <w:color w:val="auto"/>
              </w:rPr>
              <w:t>Granted</w:t>
            </w:r>
          </w:p>
        </w:tc>
        <w:tc>
          <w:tcPr>
            <w:tcW w:w="720" w:type="dxa"/>
            <w:vAlign w:val="bottom"/>
          </w:tcPr>
          <w:p>
            <w:pPr>
              <w:jc w:val="right"/>
              <w:spacing w:after="0"/>
              <w:rPr>
                <w:sz w:val="20"/>
                <w:szCs w:val="20"/>
                <w:color w:val="auto"/>
              </w:rPr>
            </w:pPr>
            <w:r>
              <w:rPr>
                <w:rFonts w:ascii="Arial" w:cs="Arial" w:eastAsia="Arial" w:hAnsi="Arial"/>
                <w:sz w:val="14"/>
                <w:szCs w:val="14"/>
                <w:color w:val="auto"/>
              </w:rPr>
              <w:t>545,389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r>
      <w:tr>
        <w:trPr>
          <w:trHeight w:val="175"/>
        </w:trPr>
        <w:tc>
          <w:tcPr>
            <w:tcW w:w="5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Vested*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(312,556)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5"/>
                <w:szCs w:val="15"/>
                <w:color w:val="auto"/>
              </w:rPr>
            </w:pPr>
          </w:p>
        </w:tc>
      </w:tr>
      <w:tr>
        <w:trPr>
          <w:trHeight w:val="189"/>
        </w:trPr>
        <w:tc>
          <w:tcPr>
            <w:tcW w:w="5220" w:type="dxa"/>
            <w:vAlign w:val="bottom"/>
            <w:gridSpan w:val="2"/>
          </w:tcPr>
          <w:p>
            <w:pPr>
              <w:ind w:left="120"/>
              <w:spacing w:after="0"/>
              <w:rPr>
                <w:sz w:val="20"/>
                <w:szCs w:val="20"/>
                <w:color w:val="auto"/>
              </w:rPr>
            </w:pPr>
            <w:r>
              <w:rPr>
                <w:rFonts w:ascii="Arial" w:cs="Arial" w:eastAsia="Arial" w:hAnsi="Arial"/>
                <w:sz w:val="14"/>
                <w:szCs w:val="14"/>
                <w:color w:val="auto"/>
              </w:rPr>
              <w:t>Forfeited</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(697,000)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16"/>
                <w:szCs w:val="16"/>
                <w:color w:val="auto"/>
              </w:rPr>
            </w:pPr>
          </w:p>
        </w:tc>
      </w:tr>
      <w:tr>
        <w:trPr>
          <w:trHeight w:val="174"/>
        </w:trPr>
        <w:tc>
          <w:tcPr>
            <w:tcW w:w="5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balance at December 31,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5"/>
                <w:szCs w:val="15"/>
                <w:color w:val="auto"/>
              </w:rPr>
            </w:pPr>
          </w:p>
        </w:tc>
      </w:tr>
      <w:tr>
        <w:trPr>
          <w:trHeight w:val="22"/>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
        </w:trPr>
        <w:tc>
          <w:tcPr>
            <w:tcW w:w="2400" w:type="dxa"/>
            <w:vAlign w:val="bottom"/>
            <w:tcBorders>
              <w:bottom w:val="single" w:sz="8" w:color="auto"/>
            </w:tcBorders>
          </w:tcPr>
          <w:p>
            <w:pPr>
              <w:spacing w:after="0"/>
              <w:rPr>
                <w:sz w:val="5"/>
                <w:szCs w:val="5"/>
                <w:color w:val="auto"/>
              </w:rPr>
            </w:pPr>
          </w:p>
        </w:tc>
        <w:tc>
          <w:tcPr>
            <w:tcW w:w="2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178" w:lineRule="exact"/>
        <w:rPr>
          <w:sz w:val="20"/>
          <w:szCs w:val="20"/>
          <w:color w:val="auto"/>
        </w:rPr>
      </w:pPr>
    </w:p>
    <w:p>
      <w:pPr>
        <w:ind w:left="2740" w:hanging="442"/>
        <w:spacing w:after="0"/>
        <w:tabs>
          <w:tab w:leader="none" w:pos="2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shares that were vested at December 31, 2010, but which will not be issued until the first quarter of fiscal 2011.</w:t>
      </w:r>
    </w:p>
    <w:p>
      <w:pPr>
        <w:spacing w:after="0" w:line="189" w:lineRule="exact"/>
        <w:rPr>
          <w:sz w:val="20"/>
          <w:szCs w:val="20"/>
          <w:color w:val="auto"/>
        </w:rPr>
      </w:pPr>
    </w:p>
    <w:p>
      <w:pPr>
        <w:jc w:val="both"/>
        <w:ind w:right="100" w:firstLine="282"/>
        <w:spacing w:after="0" w:line="275" w:lineRule="auto"/>
        <w:rPr>
          <w:sz w:val="20"/>
          <w:szCs w:val="20"/>
          <w:color w:val="auto"/>
        </w:rPr>
      </w:pPr>
      <w:r>
        <w:rPr>
          <w:rFonts w:ascii="Arial" w:cs="Arial" w:eastAsia="Arial" w:hAnsi="Arial"/>
          <w:sz w:val="14"/>
          <w:szCs w:val="14"/>
          <w:color w:val="auto"/>
        </w:rPr>
        <w:t>There are approximately 887,000 shares of the Company's common stock that are not included in the table above (including 750,000 Performance Shares awarded to Mr. Dolan), as the Company has not yet established the performance conditions for these awards. The Company will begin to record stock-based compensation expense at the time that the performance conditions are established and when it becomes probable that the respective performance conditions will be achieved.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ESPP</w:t>
      </w:r>
    </w:p>
    <w:p>
      <w:pPr>
        <w:spacing w:after="0" w:line="193" w:lineRule="exact"/>
        <w:rPr>
          <w:sz w:val="20"/>
          <w:szCs w:val="20"/>
          <w:color w:val="auto"/>
        </w:rPr>
      </w:pPr>
    </w:p>
    <w:p>
      <w:pPr>
        <w:ind w:right="420" w:firstLine="282"/>
        <w:spacing w:after="0" w:line="289" w:lineRule="auto"/>
        <w:rPr>
          <w:sz w:val="20"/>
          <w:szCs w:val="20"/>
          <w:color w:val="auto"/>
        </w:rPr>
      </w:pPr>
      <w:r>
        <w:rPr>
          <w:rFonts w:ascii="Arial" w:cs="Arial" w:eastAsia="Arial" w:hAnsi="Arial"/>
          <w:sz w:val="14"/>
          <w:szCs w:val="14"/>
          <w:color w:val="auto"/>
        </w:rPr>
        <w:t>The Amended and Restated 2000 Employee Stock Purchase Plan (the "ESPP") is designed to provide eligible employees of the Company and its participating subsidiaries an opportunity to purchase common stock of the Company through accumulated payroll deductions.</w:t>
      </w:r>
    </w:p>
    <w:p>
      <w:pPr>
        <w:spacing w:after="0" w:line="137" w:lineRule="exact"/>
        <w:rPr>
          <w:sz w:val="20"/>
          <w:szCs w:val="20"/>
          <w:color w:val="auto"/>
        </w:rPr>
      </w:pPr>
    </w:p>
    <w:p>
      <w:pPr>
        <w:ind w:firstLine="282"/>
        <w:spacing w:after="0" w:line="297" w:lineRule="auto"/>
        <w:rPr>
          <w:sz w:val="20"/>
          <w:szCs w:val="20"/>
          <w:color w:val="auto"/>
        </w:rPr>
      </w:pPr>
      <w:r>
        <w:rPr>
          <w:rFonts w:ascii="Arial" w:cs="Arial" w:eastAsia="Arial" w:hAnsi="Arial"/>
          <w:sz w:val="13"/>
          <w:szCs w:val="13"/>
          <w:color w:val="auto"/>
        </w:rPr>
        <w:t>The ESPP provides for six-month consecutive offering periods commencing with the March 1, 2008 purchase period. The purchase price of the stock is equal to 85% of the market price on the last day of the offering period. Under the ESPP, because employees are entitled to purchase a variable number of shares for a fixed monetary amount, future awards are classified as share-based liabilities and recorded at fair value. However, the maximum number of shares of common stock an employee may purchase during each offering period is 2,500, subject to certain adjustments pursuant to the ESPP. The Company reclassifies these liabilities to Additional paid-in capital at the time of the share purchase, which is the date of the award.</w:t>
      </w:r>
    </w:p>
    <w:p>
      <w:pPr>
        <w:spacing w:after="0" w:line="134"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On January 1 of each year, the aggregate number of shares of common stock available for purchase under the ESPP increases by the lesser of (i) 2% of the outstanding shares on December 31 of the preceding year or (ii) an amount determined by the Board of Directors of the Company. At December 31, 2010, 25.0 million shares were authorized and 13.8 million shares were available under the ESPP for future issuance.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right="7680" w:firstLine="7"/>
        <w:spacing w:after="0" w:line="524" w:lineRule="auto"/>
        <w:tabs>
          <w:tab w:leader="none" w:pos="272"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 (Continued) Stock-Based Compensation</w:t>
      </w:r>
    </w:p>
    <w:p>
      <w:pPr>
        <w:ind w:left="280"/>
        <w:spacing w:after="0"/>
        <w:rPr>
          <w:rFonts w:ascii="Arial" w:cs="Arial" w:eastAsia="Arial" w:hAnsi="Arial"/>
          <w:sz w:val="14"/>
          <w:szCs w:val="14"/>
          <w:b w:val="1"/>
          <w:bCs w:val="1"/>
          <w:color w:val="auto"/>
        </w:rPr>
      </w:pPr>
      <w:r>
        <w:rPr>
          <w:rFonts w:ascii="Arial" w:cs="Arial" w:eastAsia="Arial" w:hAnsi="Arial"/>
          <w:sz w:val="14"/>
          <w:szCs w:val="14"/>
          <w:color w:val="auto"/>
        </w:rPr>
        <w:t>The consolidated statements of operations include stock-based compensation for the years ended December 31, 2010, 2009 and 2008 as follows (in thousands):</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8"/>
          </w:tcPr>
          <w:p>
            <w:pPr>
              <w:ind w:left="260"/>
              <w:spacing w:after="0"/>
              <w:rPr>
                <w:sz w:val="20"/>
                <w:szCs w:val="20"/>
                <w:color w:val="auto"/>
              </w:rPr>
            </w:pPr>
            <w:r>
              <w:rPr>
                <w:rFonts w:ascii="Arial" w:cs="Arial" w:eastAsia="Arial" w:hAnsi="Arial"/>
                <w:sz w:val="11"/>
                <w:szCs w:val="11"/>
                <w:b w:val="1"/>
                <w:bCs w:val="1"/>
                <w:color w:val="auto"/>
              </w:rPr>
              <w:t>Year ended December 31,</w:t>
            </w:r>
          </w:p>
        </w:tc>
      </w:tr>
      <w:tr>
        <w:trPr>
          <w:trHeight w:val="111"/>
        </w:trPr>
        <w:tc>
          <w:tcPr>
            <w:tcW w:w="476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3"/>
              <w:spacing w:after="0" w:line="111" w:lineRule="exact"/>
              <w:rPr>
                <w:sz w:val="20"/>
                <w:szCs w:val="20"/>
                <w:color w:val="auto"/>
              </w:rPr>
            </w:pPr>
            <w:r>
              <w:rPr>
                <w:rFonts w:ascii="Arial" w:cs="Arial" w:eastAsia="Arial" w:hAnsi="Arial"/>
                <w:sz w:val="11"/>
                <w:szCs w:val="11"/>
                <w:b w:val="1"/>
                <w:bCs w:val="1"/>
                <w:color w:val="auto"/>
                <w:w w:val="97"/>
              </w:rPr>
              <w:t>2010</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1"/>
              <w:spacing w:after="0" w:line="111" w:lineRule="exact"/>
              <w:rPr>
                <w:sz w:val="20"/>
                <w:szCs w:val="20"/>
                <w:color w:val="auto"/>
              </w:rPr>
            </w:pPr>
            <w:r>
              <w:rPr>
                <w:rFonts w:ascii="Arial" w:cs="Arial" w:eastAsia="Arial" w:hAnsi="Arial"/>
                <w:sz w:val="11"/>
                <w:szCs w:val="11"/>
                <w:b w:val="1"/>
                <w:bCs w:val="1"/>
                <w:color w:val="auto"/>
                <w:w w:val="97"/>
              </w:rPr>
              <w:t>2009</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1"/>
              <w:spacing w:after="0" w:line="111" w:lineRule="exact"/>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9"/>
                <w:szCs w:val="9"/>
                <w:color w:val="auto"/>
              </w:rPr>
            </w:pPr>
          </w:p>
        </w:tc>
      </w:tr>
      <w:tr>
        <w:trPr>
          <w:trHeight w:val="166"/>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Product 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4"/>
                <w:szCs w:val="14"/>
                <w:color w:val="auto"/>
              </w:rPr>
            </w:pPr>
          </w:p>
        </w:tc>
      </w:tr>
      <w:tr>
        <w:trPr>
          <w:trHeight w:val="175"/>
        </w:trPr>
        <w:tc>
          <w:tcPr>
            <w:tcW w:w="4760" w:type="dxa"/>
            <w:vAlign w:val="bottom"/>
          </w:tcPr>
          <w:p>
            <w:pPr>
              <w:spacing w:after="0"/>
              <w:rPr>
                <w:sz w:val="20"/>
                <w:szCs w:val="20"/>
                <w:color w:val="auto"/>
              </w:rPr>
            </w:pPr>
            <w:r>
              <w:rPr>
                <w:rFonts w:ascii="Arial" w:cs="Arial" w:eastAsia="Arial" w:hAnsi="Arial"/>
                <w:sz w:val="14"/>
                <w:szCs w:val="14"/>
                <w:color w:val="auto"/>
              </w:rPr>
              <w:t>Service cost of revenue</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2,731</w:t>
            </w:r>
          </w:p>
        </w:tc>
        <w:tc>
          <w:tcPr>
            <w:tcW w:w="120" w:type="dxa"/>
            <w:vAlign w:val="bottom"/>
          </w:tcPr>
          <w:p>
            <w:pPr>
              <w:spacing w:after="0"/>
              <w:rPr>
                <w:sz w:val="15"/>
                <w:szCs w:val="15"/>
                <w:color w:val="auto"/>
              </w:rPr>
            </w:pPr>
          </w:p>
        </w:tc>
      </w:tr>
      <w:tr>
        <w:trPr>
          <w:trHeight w:val="175"/>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7,921</w:t>
            </w:r>
          </w:p>
        </w:tc>
        <w:tc>
          <w:tcPr>
            <w:tcW w:w="120" w:type="dxa"/>
            <w:vAlign w:val="bottom"/>
            <w:shd w:val="clear" w:color="auto" w:fill="CCEEFF"/>
          </w:tcPr>
          <w:p>
            <w:pPr>
              <w:spacing w:after="0"/>
              <w:rPr>
                <w:sz w:val="15"/>
                <w:szCs w:val="15"/>
                <w:color w:val="auto"/>
              </w:rPr>
            </w:pPr>
          </w:p>
        </w:tc>
      </w:tr>
      <w:tr>
        <w:trPr>
          <w:trHeight w:val="175"/>
        </w:trPr>
        <w:tc>
          <w:tcPr>
            <w:tcW w:w="4760" w:type="dxa"/>
            <w:vAlign w:val="bottom"/>
          </w:tcPr>
          <w:p>
            <w:pPr>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5,662</w:t>
            </w:r>
          </w:p>
        </w:tc>
        <w:tc>
          <w:tcPr>
            <w:tcW w:w="120" w:type="dxa"/>
            <w:vAlign w:val="bottom"/>
          </w:tcPr>
          <w:p>
            <w:pPr>
              <w:spacing w:after="0"/>
              <w:rPr>
                <w:sz w:val="15"/>
                <w:szCs w:val="15"/>
                <w:color w:val="auto"/>
              </w:rPr>
            </w:pPr>
          </w:p>
        </w:tc>
      </w:tr>
      <w:tr>
        <w:trPr>
          <w:trHeight w:val="175"/>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8,074</w:t>
            </w:r>
          </w:p>
        </w:tc>
        <w:tc>
          <w:tcPr>
            <w:tcW w:w="120" w:type="dxa"/>
            <w:vAlign w:val="bottom"/>
            <w:shd w:val="clear" w:color="auto" w:fill="CCEEFF"/>
          </w:tcPr>
          <w:p>
            <w:pPr>
              <w:spacing w:after="0"/>
              <w:rPr>
                <w:sz w:val="15"/>
                <w:szCs w:val="15"/>
                <w:color w:val="auto"/>
              </w:rPr>
            </w:pPr>
          </w:p>
        </w:tc>
      </w:tr>
      <w:tr>
        <w:trPr>
          <w:trHeight w:val="22"/>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47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15,285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12,810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25,122</w:t>
            </w:r>
          </w:p>
        </w:tc>
        <w:tc>
          <w:tcPr>
            <w:tcW w:w="12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284"/>
        <w:spacing w:after="0" w:line="289" w:lineRule="auto"/>
        <w:rPr>
          <w:sz w:val="20"/>
          <w:szCs w:val="20"/>
          <w:color w:val="auto"/>
        </w:rPr>
      </w:pPr>
      <w:r>
        <w:rPr>
          <w:rFonts w:ascii="Arial" w:cs="Arial" w:eastAsia="Arial" w:hAnsi="Arial"/>
          <w:sz w:val="14"/>
          <w:szCs w:val="14"/>
          <w:color w:val="auto"/>
        </w:rPr>
        <w:t>Excluded from the amount above for the year ended December 31, 2008 is $0.2 million of stock-based compensation expense included in the loss from discontinued operations. In addition, the Company included stock-based compensation in inventory of $0.1 million at both December 31, 2010 and 2009.</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is no income tax benefit for employee stock-based compensation expense for the years ended December 31, 2010, 2009 and 2008 due to the valuation allowance recorded.</w:t>
      </w:r>
    </w:p>
    <w:p>
      <w:pPr>
        <w:spacing w:after="0" w:line="189" w:lineRule="exact"/>
        <w:rPr>
          <w:sz w:val="20"/>
          <w:szCs w:val="20"/>
          <w:color w:val="auto"/>
        </w:rPr>
      </w:pPr>
    </w:p>
    <w:p>
      <w:pPr>
        <w:ind w:right="220" w:firstLine="276"/>
        <w:spacing w:after="0" w:line="275" w:lineRule="auto"/>
        <w:rPr>
          <w:sz w:val="20"/>
          <w:szCs w:val="20"/>
          <w:color w:val="auto"/>
        </w:rPr>
      </w:pPr>
      <w:r>
        <w:rPr>
          <w:rFonts w:ascii="Arial" w:cs="Arial" w:eastAsia="Arial" w:hAnsi="Arial"/>
          <w:sz w:val="14"/>
          <w:szCs w:val="14"/>
          <w:color w:val="auto"/>
        </w:rPr>
        <w:t>At December 31, 2010, there was $12.7 million, net of expected forfeitures, of unrecognized stock-based compensation expense related to unvested stock options, restricted stock awards and performance-based stock awards for which the Company believes it is probable the performance conditions will be met. This expense is expected to be recognized over a weighted average period of three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Common Stock Reserved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8300" w:type="dxa"/>
            <w:vAlign w:val="bottom"/>
            <w:gridSpan w:val="2"/>
          </w:tcPr>
          <w:p>
            <w:pPr>
              <w:ind w:left="300"/>
              <w:spacing w:after="0"/>
              <w:rPr>
                <w:sz w:val="20"/>
                <w:szCs w:val="20"/>
                <w:color w:val="auto"/>
              </w:rPr>
            </w:pPr>
            <w:r>
              <w:rPr>
                <w:rFonts w:ascii="Arial" w:cs="Arial" w:eastAsia="Arial" w:hAnsi="Arial"/>
                <w:sz w:val="14"/>
                <w:szCs w:val="14"/>
                <w:color w:val="auto"/>
              </w:rPr>
              <w:t>Common stock reserved for future issuance at December 31, 2010 consists of the following:</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300" w:type="dxa"/>
            <w:vAlign w:val="bottom"/>
            <w:vMerge w:val="restart"/>
          </w:tcPr>
          <w:p>
            <w:pPr>
              <w:spacing w:after="0"/>
              <w:rPr>
                <w:sz w:val="15"/>
                <w:szCs w:val="15"/>
                <w:color w:val="auto"/>
              </w:rPr>
            </w:pPr>
          </w:p>
        </w:tc>
        <w:tc>
          <w:tcPr>
            <w:tcW w:w="6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Amended 2007 Plan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20,069,057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ESPP</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13,827,103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33,896,160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282"/>
        <w:spacing w:after="0" w:line="289" w:lineRule="auto"/>
        <w:rPr>
          <w:sz w:val="20"/>
          <w:szCs w:val="20"/>
          <w:color w:val="auto"/>
        </w:rPr>
      </w:pPr>
      <w:r>
        <w:rPr>
          <w:rFonts w:ascii="Arial" w:cs="Arial" w:eastAsia="Arial" w:hAnsi="Arial"/>
          <w:sz w:val="14"/>
          <w:szCs w:val="14"/>
          <w:color w:val="auto"/>
        </w:rPr>
        <w:t>The Company's policy is to issue new shares upon the exercise of stock options, vesting of restricted common stock and performance-based stock awards, and purchase of shares of common stock under the ESPP.</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STOCKHOLDER RIGHTS PLAN</w:t>
      </w:r>
    </w:p>
    <w:p>
      <w:pPr>
        <w:spacing w:after="0" w:line="193"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On June 26, 2008, the Company's Board of Directors adopted a three-year stockholder rights plan (the "Rights Plan"). The Rights Plan is designed to protect stockholders, to the extent possible, from a creeping acquisition and other tactics to gain control of the Company without offering all stockholders an adequate price and control premium. The Rights Plan is intended to protect the interests of all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STOCKHOLDER RIGHTS PLAN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Company's stockholders and to provide the Company's Board of Directors with the ability to attempt to maximize long-term stockholder value.</w:t>
      </w:r>
    </w:p>
    <w:p>
      <w:pPr>
        <w:spacing w:after="0" w:line="189" w:lineRule="exact"/>
        <w:rPr>
          <w:sz w:val="20"/>
          <w:szCs w:val="20"/>
          <w:color w:val="auto"/>
        </w:rPr>
      </w:pPr>
    </w:p>
    <w:p>
      <w:pPr>
        <w:ind w:right="60" w:firstLine="284"/>
        <w:spacing w:after="0" w:line="305" w:lineRule="auto"/>
        <w:rPr>
          <w:sz w:val="20"/>
          <w:szCs w:val="20"/>
          <w:color w:val="auto"/>
        </w:rPr>
      </w:pPr>
      <w:r>
        <w:rPr>
          <w:rFonts w:ascii="Arial" w:cs="Arial" w:eastAsia="Arial" w:hAnsi="Arial"/>
          <w:sz w:val="13"/>
          <w:szCs w:val="13"/>
          <w:color w:val="auto"/>
        </w:rPr>
        <w:t>Under the Rights Plan, preferred stock purchase rights (the "Rights") were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 The Rights were issued as a non-taxable dividend and will expire on June 26, 2011 unless earlier redeemed or exchanged.</w:t>
      </w:r>
    </w:p>
    <w:p>
      <w:pPr>
        <w:spacing w:after="0" w:line="129" w:lineRule="exact"/>
        <w:rPr>
          <w:sz w:val="20"/>
          <w:szCs w:val="20"/>
          <w:color w:val="auto"/>
        </w:rPr>
      </w:pPr>
    </w:p>
    <w:p>
      <w:pPr>
        <w:ind w:right="20" w:firstLine="282"/>
        <w:spacing w:after="0" w:line="287" w:lineRule="auto"/>
        <w:rPr>
          <w:sz w:val="20"/>
          <w:szCs w:val="20"/>
          <w:color w:val="auto"/>
        </w:rPr>
      </w:pPr>
      <w:r>
        <w:rPr>
          <w:rFonts w:ascii="Arial" w:cs="Arial" w:eastAsia="Arial" w:hAnsi="Arial"/>
          <w:sz w:val="13"/>
          <w:szCs w:val="13"/>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A person or group who beneficially owned 15% or more of the outstanding shares of the Company's common stock prior to the adoption of the Rights Plan did not cause the Rights to become exercisable upon adoption of the Rights Plan. As a result, the Rights will not be triggered even though Legatum Capital Limited and certain of its affiliates ("Legatum") have reported that they beneficially owned approximately 25% of the outstanding shares of the Company's common stock prior to the adoption of the Rights Plan based on Legatum's public filings with the Securities and Exchange Commission (the "SEC"). However, Legatum and its affiliates will cause the Rights to become exercisable if they (subject to certain limited exceptions) become the beneficial owner of additional shares of the Company's common stock or their beneficial ownership decreases below 15% and subsequently increases to 15% or more. Should the Rights become exercisable, the effect would be to dilute the ownership of the beneficial owner(s) who triggered the Rights, as that beneficial owner or group of owners would not receive the Rights.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EMPLOYEE DEFINED CONTRIBUTION PLAN</w:t>
      </w:r>
    </w:p>
    <w:p>
      <w:pPr>
        <w:spacing w:after="0" w:line="193" w:lineRule="exact"/>
        <w:rPr>
          <w:sz w:val="20"/>
          <w:szCs w:val="20"/>
          <w:color w:val="auto"/>
        </w:rPr>
      </w:pPr>
    </w:p>
    <w:p>
      <w:pPr>
        <w:jc w:val="both"/>
        <w:ind w:right="260" w:firstLine="282"/>
        <w:spacing w:after="0" w:line="275" w:lineRule="auto"/>
        <w:rPr>
          <w:sz w:val="20"/>
          <w:szCs w:val="20"/>
          <w:color w:val="auto"/>
        </w:rPr>
      </w:pPr>
      <w:r>
        <w:rPr>
          <w:rFonts w:ascii="Arial" w:cs="Arial" w:eastAsia="Arial" w:hAnsi="Arial"/>
          <w:sz w:val="14"/>
          <w:szCs w:val="14"/>
          <w:color w:val="auto"/>
        </w:rPr>
        <w:t>The Company provides a matching contribution of 50% of employee contributions to its 401(k) savings plan, up to a maximum match of $3,500 per employee per year. The Company recorded expense related to its 401(k) savings plan of $1.1 million in the year ended December 31, 2010, $1.2 million in the year ended December 31, 2009 and $1.6 million in the year ended December 31, 2008.</w:t>
      </w:r>
    </w:p>
    <w:p>
      <w:pPr>
        <w:spacing w:after="0" w:line="142" w:lineRule="exact"/>
        <w:rPr>
          <w:sz w:val="20"/>
          <w:szCs w:val="20"/>
          <w:color w:val="auto"/>
        </w:rPr>
      </w:pPr>
    </w:p>
    <w:p>
      <w:pPr>
        <w:ind w:left="280" w:hanging="273"/>
        <w:spacing w:after="0"/>
        <w:tabs>
          <w:tab w:leader="none" w:pos="2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2"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color w:val="auto"/>
        </w:rPr>
        <w:t>The components of income (loss) from continuing operations before income taxes consist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3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3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6"/>
              <w:spacing w:after="0" w:line="111" w:lineRule="exact"/>
              <w:rPr>
                <w:sz w:val="20"/>
                <w:szCs w:val="20"/>
                <w:color w:val="auto"/>
              </w:rPr>
            </w:pPr>
            <w:r>
              <w:rPr>
                <w:rFonts w:ascii="Arial" w:cs="Arial" w:eastAsia="Arial" w:hAnsi="Arial"/>
                <w:sz w:val="11"/>
                <w:szCs w:val="11"/>
                <w:b w:val="1"/>
                <w:bCs w:val="1"/>
                <w:color w:val="auto"/>
              </w:rPr>
              <w:t>2010</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93"/>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w w:val="89"/>
              </w:rPr>
              <w:t>2008</w:t>
            </w:r>
          </w:p>
        </w:tc>
        <w:tc>
          <w:tcPr>
            <w:tcW w:w="1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6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2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(11,031)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(8,135)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(39,253)</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1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w:t>
            </w:r>
          </w:p>
        </w:tc>
        <w:tc>
          <w:tcPr>
            <w:tcW w:w="120" w:type="dxa"/>
            <w:vAlign w:val="bottom"/>
            <w:shd w:val="clear" w:color="auto" w:fill="CCEEFF"/>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(7,391)</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(36,475)</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vMerge w:val="restart"/>
          </w:tcPr>
          <w:p>
            <w:pPr>
              <w:jc w:val="right"/>
              <w:ind w:right="1089"/>
              <w:spacing w:after="0"/>
              <w:rPr>
                <w:sz w:val="20"/>
                <w:szCs w:val="20"/>
                <w:color w:val="auto"/>
              </w:rPr>
            </w:pPr>
            <w:r>
              <w:rPr>
                <w:rFonts w:ascii="Arial" w:cs="Arial" w:eastAsia="Arial" w:hAnsi="Arial"/>
                <w:sz w:val="14"/>
                <w:szCs w:val="14"/>
                <w:color w:val="auto"/>
              </w:rPr>
              <w:t>84</w:t>
            </w: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808080"/>
            </w:tcBorders>
          </w:tcPr>
          <w:p>
            <w:pPr>
              <w:spacing w:after="0"/>
              <w:rPr>
                <w:sz w:val="15"/>
                <w:szCs w:val="15"/>
                <w:color w:val="auto"/>
              </w:rPr>
            </w:pPr>
          </w:p>
        </w:tc>
        <w:tc>
          <w:tcPr>
            <w:tcW w:w="2680" w:type="dxa"/>
            <w:vAlign w:val="bottom"/>
            <w:tcBorders>
              <w:bottom w:val="single" w:sz="8" w:color="808080"/>
            </w:tcBorders>
          </w:tcPr>
          <w:p>
            <w:pPr>
              <w:spacing w:after="0"/>
              <w:rPr>
                <w:sz w:val="15"/>
                <w:szCs w:val="15"/>
                <w:color w:val="auto"/>
              </w:rPr>
            </w:pPr>
          </w:p>
        </w:tc>
        <w:tc>
          <w:tcPr>
            <w:tcW w:w="198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4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3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left="280" w:hanging="273"/>
        <w:spacing w:after="0"/>
        <w:tabs>
          <w:tab w:leader="none" w:pos="2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 (Continued)</w:t>
      </w:r>
    </w:p>
    <w:p>
      <w:pPr>
        <w:spacing w:after="0" w:line="192" w:lineRule="exact"/>
        <w:rPr>
          <w:rFonts w:ascii="Arial" w:cs="Arial" w:eastAsia="Arial" w:hAnsi="Arial"/>
          <w:sz w:val="14"/>
          <w:szCs w:val="14"/>
          <w:b w:val="1"/>
          <w:bCs w:val="1"/>
          <w:color w:val="auto"/>
        </w:rPr>
      </w:pPr>
    </w:p>
    <w:p>
      <w:pPr>
        <w:ind w:left="280" w:right="3840"/>
        <w:spacing w:after="0" w:line="550" w:lineRule="auto"/>
        <w:rPr>
          <w:rFonts w:ascii="Arial" w:cs="Arial" w:eastAsia="Arial" w:hAnsi="Arial"/>
          <w:sz w:val="14"/>
          <w:szCs w:val="14"/>
          <w:b w:val="1"/>
          <w:bCs w:val="1"/>
          <w:color w:val="auto"/>
        </w:rPr>
      </w:pPr>
      <w:r>
        <w:rPr>
          <w:rFonts w:ascii="Arial" w:cs="Arial" w:eastAsia="Arial" w:hAnsi="Arial"/>
          <w:sz w:val="14"/>
          <w:szCs w:val="14"/>
          <w:color w:val="auto"/>
        </w:rPr>
        <w:t>The Company recorded an income tax benefit for discontinued operations of $1.0 million for the year ended December 31, 2008. The provision (benefit) for income taxes from continuing operations consists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16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11"/>
          </w:tcPr>
          <w:p>
            <w:pPr>
              <w:jc w:val="right"/>
              <w:spacing w:after="0"/>
              <w:rPr>
                <w:sz w:val="20"/>
                <w:szCs w:val="20"/>
                <w:color w:val="auto"/>
              </w:rPr>
            </w:pPr>
            <w:r>
              <w:rPr>
                <w:rFonts w:ascii="Arial" w:cs="Arial" w:eastAsia="Arial" w:hAnsi="Arial"/>
                <w:sz w:val="11"/>
                <w:szCs w:val="11"/>
                <w:b w:val="1"/>
                <w:bCs w:val="1"/>
                <w:color w:val="auto"/>
                <w:w w:val="89"/>
              </w:rPr>
              <w:t>Year ended December 31,</w:t>
            </w: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1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jc w:val="right"/>
              <w:ind w:right="105"/>
              <w:spacing w:after="0" w:line="111" w:lineRule="exact"/>
              <w:rPr>
                <w:sz w:val="20"/>
                <w:szCs w:val="20"/>
                <w:color w:val="auto"/>
              </w:rPr>
            </w:pPr>
            <w:r>
              <w:rPr>
                <w:rFonts w:ascii="Arial" w:cs="Arial" w:eastAsia="Arial" w:hAnsi="Arial"/>
                <w:sz w:val="11"/>
                <w:szCs w:val="11"/>
                <w:b w:val="1"/>
                <w:bCs w:val="1"/>
                <w:color w:val="auto"/>
              </w:rPr>
              <w:t>2010</w:t>
            </w: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40"/>
              <w:spacing w:after="0" w:line="111" w:lineRule="exact"/>
              <w:rPr>
                <w:sz w:val="20"/>
                <w:szCs w:val="20"/>
                <w:color w:val="auto"/>
              </w:rPr>
            </w:pPr>
            <w:r>
              <w:rPr>
                <w:rFonts w:ascii="Arial" w:cs="Arial" w:eastAsia="Arial" w:hAnsi="Arial"/>
                <w:sz w:val="11"/>
                <w:szCs w:val="11"/>
                <w:b w:val="1"/>
                <w:bCs w:val="1"/>
                <w:color w:val="auto"/>
              </w:rPr>
              <w:t>2009</w:t>
            </w:r>
          </w:p>
        </w:tc>
        <w:tc>
          <w:tcPr>
            <w:tcW w:w="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10"/>
              <w:spacing w:after="0" w:line="111" w:lineRule="exact"/>
              <w:rPr>
                <w:sz w:val="20"/>
                <w:szCs w:val="20"/>
                <w:color w:val="auto"/>
              </w:rPr>
            </w:pPr>
            <w:r>
              <w:rPr>
                <w:rFonts w:ascii="Arial" w:cs="Arial" w:eastAsia="Arial" w:hAnsi="Arial"/>
                <w:sz w:val="11"/>
                <w:szCs w:val="11"/>
                <w:b w:val="1"/>
                <w:bCs w:val="1"/>
                <w:color w:val="auto"/>
                <w:w w:val="81"/>
              </w:rPr>
              <w:t>2008</w:t>
            </w: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ind w:left="100"/>
              <w:spacing w:after="0"/>
              <w:rPr>
                <w:sz w:val="20"/>
                <w:szCs w:val="20"/>
                <w:color w:val="auto"/>
              </w:rPr>
            </w:pPr>
            <w:r>
              <w:rPr>
                <w:rFonts w:ascii="Arial" w:cs="Arial" w:eastAsia="Arial" w:hAnsi="Arial"/>
                <w:sz w:val="14"/>
                <w:szCs w:val="14"/>
                <w:color w:val="auto"/>
              </w:rPr>
              <w:t>Current: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Federal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8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76"/>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(1,388)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152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(1,505)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7020" w:type="dxa"/>
            <w:vAlign w:val="bottom"/>
            <w:gridSpan w:val="2"/>
            <w:vMerge w:val="restart"/>
          </w:tcPr>
          <w:p>
            <w:pPr>
              <w:ind w:left="320"/>
              <w:spacing w:after="0"/>
              <w:rPr>
                <w:sz w:val="20"/>
                <w:szCs w:val="20"/>
                <w:color w:val="auto"/>
              </w:rPr>
            </w:pPr>
            <w:r>
              <w:rPr>
                <w:rFonts w:ascii="Arial" w:cs="Arial" w:eastAsia="Arial" w:hAnsi="Arial"/>
                <w:sz w:val="14"/>
                <w:szCs w:val="14"/>
                <w:color w:val="auto"/>
              </w:rPr>
              <w:t>Total current</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7020" w:type="dxa"/>
            <w:vAlign w:val="bottom"/>
            <w:gridSpan w:val="2"/>
            <w:vMerge w:val="continue"/>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1,099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9"/>
              </w:rPr>
              <w:t>(2,908)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7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Deferred:</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ind w:left="220"/>
              <w:spacing w:after="0"/>
              <w:rPr>
                <w:sz w:val="20"/>
                <w:szCs w:val="20"/>
                <w:color w:val="auto"/>
              </w:rPr>
            </w:pPr>
            <w:r>
              <w:rPr>
                <w:rFonts w:ascii="Arial" w:cs="Arial" w:eastAsia="Arial" w:hAnsi="Arial"/>
                <w:sz w:val="14"/>
                <w:szCs w:val="14"/>
                <w:color w:val="auto"/>
              </w:rPr>
              <w:t>Federal</w:t>
            </w:r>
          </w:p>
        </w:tc>
        <w:tc>
          <w:tcPr>
            <w:tcW w:w="8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13,363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5,156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(8,176)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w:t>
            </w: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(2,173)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ind w:left="220"/>
              <w:spacing w:after="0"/>
              <w:rPr>
                <w:sz w:val="20"/>
                <w:szCs w:val="20"/>
                <w:color w:val="auto"/>
              </w:rPr>
            </w:pPr>
            <w:r>
              <w:rPr>
                <w:rFonts w:ascii="Arial" w:cs="Arial" w:eastAsia="Arial" w:hAnsi="Arial"/>
                <w:sz w:val="14"/>
                <w:szCs w:val="14"/>
                <w:color w:val="auto"/>
              </w:rPr>
              <w:t>Foreign</w:t>
            </w:r>
          </w:p>
        </w:tc>
        <w:tc>
          <w:tcPr>
            <w:tcW w:w="80" w:type="dxa"/>
            <w:vAlign w:val="bottom"/>
          </w:tcPr>
          <w:p>
            <w:pPr>
              <w:spacing w:after="0"/>
              <w:rPr>
                <w:sz w:val="15"/>
                <w:szCs w:val="15"/>
                <w:color w:val="auto"/>
              </w:rPr>
            </w:pP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449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(246)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 in valuation allowance</w:t>
            </w:r>
          </w:p>
        </w:tc>
        <w:tc>
          <w:tcPr>
            <w:tcW w:w="8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(14,703)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(4,450)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88,387</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7020" w:type="dxa"/>
            <w:vAlign w:val="bottom"/>
            <w:gridSpan w:val="2"/>
            <w:vMerge w:val="restart"/>
          </w:tcPr>
          <w:p>
            <w:pPr>
              <w:ind w:left="320"/>
              <w:spacing w:after="0"/>
              <w:rPr>
                <w:sz w:val="20"/>
                <w:szCs w:val="20"/>
                <w:color w:val="auto"/>
              </w:rPr>
            </w:pPr>
            <w:r>
              <w:rPr>
                <w:rFonts w:ascii="Arial" w:cs="Arial" w:eastAsia="Arial" w:hAnsi="Arial"/>
                <w:sz w:val="14"/>
                <w:szCs w:val="14"/>
                <w:color w:val="auto"/>
              </w:rPr>
              <w:t>Total deferred</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7020" w:type="dxa"/>
            <w:vAlign w:val="bottom"/>
            <w:gridSpan w:val="2"/>
            <w:vMerge w:val="continue"/>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(406)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77,792</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center"/>
              <w:ind w:left="10"/>
              <w:spacing w:after="0"/>
              <w:rPr>
                <w:sz w:val="20"/>
                <w:szCs w:val="20"/>
                <w:color w:val="auto"/>
              </w:rPr>
            </w:pPr>
            <w:r>
              <w:rPr>
                <w:rFonts w:ascii="Arial" w:cs="Arial" w:eastAsia="Arial" w:hAnsi="Arial"/>
                <w:sz w:val="14"/>
                <w:szCs w:val="14"/>
                <w:color w:val="auto"/>
                <w:w w:val="76"/>
              </w:rPr>
              <w:t>$</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(2,459)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79,675</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80" w:type="dxa"/>
            <w:vAlign w:val="bottom"/>
            <w:gridSpan w:val="3"/>
            <w:vMerge w:val="restart"/>
          </w:tcPr>
          <w:p>
            <w:pPr>
              <w:ind w:left="280"/>
              <w:spacing w:after="0"/>
              <w:rPr>
                <w:sz w:val="20"/>
                <w:szCs w:val="20"/>
                <w:color w:val="auto"/>
              </w:rPr>
            </w:pPr>
            <w:r>
              <w:rPr>
                <w:rFonts w:ascii="Arial" w:cs="Arial" w:eastAsia="Arial" w:hAnsi="Arial"/>
                <w:sz w:val="14"/>
                <w:szCs w:val="14"/>
                <w:color w:val="auto"/>
              </w:rPr>
              <w:t>A reconciliation of the Company's effective tax rate for continuing operations to the statutory federal rate is as follows:</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1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1"/>
                <w:szCs w:val="11"/>
                <w:b w:val="1"/>
                <w:bCs w:val="1"/>
                <w:color w:val="auto"/>
                <w:w w:val="89"/>
              </w:rPr>
              <w:t>Year ended December 31,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30"/>
              <w:spacing w:after="0" w:line="111" w:lineRule="exact"/>
              <w:rPr>
                <w:sz w:val="20"/>
                <w:szCs w:val="20"/>
                <w:color w:val="auto"/>
              </w:rPr>
            </w:pPr>
            <w:r>
              <w:rPr>
                <w:rFonts w:ascii="Arial" w:cs="Arial" w:eastAsia="Arial" w:hAnsi="Arial"/>
                <w:sz w:val="11"/>
                <w:szCs w:val="11"/>
                <w:b w:val="1"/>
                <w:bCs w:val="1"/>
                <w:color w:val="auto"/>
              </w:rPr>
              <w:t>2010</w:t>
            </w:r>
          </w:p>
        </w:tc>
        <w:tc>
          <w:tcPr>
            <w:tcW w:w="2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3"/>
          </w:tcPr>
          <w:p>
            <w:pPr>
              <w:jc w:val="center"/>
              <w:ind w:right="30"/>
              <w:spacing w:after="0" w:line="111" w:lineRule="exact"/>
              <w:rPr>
                <w:sz w:val="20"/>
                <w:szCs w:val="20"/>
                <w:color w:val="auto"/>
              </w:rPr>
            </w:pPr>
            <w:r>
              <w:rPr>
                <w:rFonts w:ascii="Arial" w:cs="Arial" w:eastAsia="Arial" w:hAnsi="Arial"/>
                <w:sz w:val="11"/>
                <w:szCs w:val="11"/>
                <w:b w:val="1"/>
                <w:bCs w:val="1"/>
                <w:color w:val="auto"/>
                <w:w w:val="89"/>
              </w:rPr>
              <w:t>2009</w:t>
            </w:r>
          </w:p>
        </w:tc>
        <w:tc>
          <w:tcPr>
            <w:tcW w:w="200" w:type="dxa"/>
            <w:vAlign w:val="bottom"/>
          </w:tcPr>
          <w:p>
            <w:pPr>
              <w:spacing w:after="0"/>
              <w:rPr>
                <w:sz w:val="9"/>
                <w:szCs w:val="9"/>
                <w:color w:val="auto"/>
              </w:rPr>
            </w:pPr>
          </w:p>
        </w:tc>
        <w:tc>
          <w:tcPr>
            <w:tcW w:w="420" w:type="dxa"/>
            <w:vAlign w:val="bottom"/>
            <w:tcBorders>
              <w:bottom w:val="single" w:sz="8" w:color="auto"/>
            </w:tcBorders>
            <w:gridSpan w:val="4"/>
          </w:tcPr>
          <w:p>
            <w:pPr>
              <w:jc w:val="right"/>
              <w:ind w:right="100"/>
              <w:spacing w:after="0" w:line="11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Statutory income tax rate</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9"/>
              </w:rPr>
              <w:t>(35.0)%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w w:val="97"/>
              </w:rPr>
              <w:t>(35.0)%</w:t>
            </w:r>
          </w:p>
        </w:tc>
        <w:tc>
          <w:tcPr>
            <w:tcW w:w="820" w:type="dxa"/>
            <w:vAlign w:val="bottom"/>
            <w:gridSpan w:val="5"/>
            <w:shd w:val="clear" w:color="auto" w:fill="CCEEFF"/>
          </w:tcPr>
          <w:p>
            <w:pPr>
              <w:jc w:val="right"/>
              <w:ind w:right="150"/>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State income taxes, net of federal benefit</w:t>
            </w:r>
          </w:p>
        </w:tc>
        <w:tc>
          <w:tcPr>
            <w:tcW w:w="80" w:type="dxa"/>
            <w:vAlign w:val="bottom"/>
          </w:tcPr>
          <w:p>
            <w:pPr>
              <w:spacing w:after="0"/>
              <w:rPr>
                <w:sz w:val="15"/>
                <w:szCs w:val="15"/>
                <w:color w:val="auto"/>
              </w:rPr>
            </w:pPr>
          </w:p>
        </w:tc>
        <w:tc>
          <w:tcPr>
            <w:tcW w:w="500" w:type="dxa"/>
            <w:vAlign w:val="bottom"/>
            <w:gridSpan w:val="2"/>
          </w:tcPr>
          <w:p>
            <w:pPr>
              <w:jc w:val="right"/>
              <w:ind w:right="105"/>
              <w:spacing w:after="0"/>
              <w:rPr>
                <w:sz w:val="20"/>
                <w:szCs w:val="20"/>
                <w:color w:val="auto"/>
              </w:rPr>
            </w:pPr>
            <w:r>
              <w:rPr>
                <w:rFonts w:ascii="Arial" w:cs="Arial" w:eastAsia="Arial" w:hAnsi="Arial"/>
                <w:sz w:val="14"/>
                <w:szCs w:val="14"/>
                <w:color w:val="auto"/>
              </w:rPr>
              <w:t>(8.8)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jc w:val="right"/>
              <w:ind w:right="270"/>
              <w:spacing w:after="0"/>
              <w:rPr>
                <w:sz w:val="20"/>
                <w:szCs w:val="20"/>
                <w:color w:val="auto"/>
              </w:rPr>
            </w:pPr>
            <w:r>
              <w:rPr>
                <w:rFonts w:ascii="Arial" w:cs="Arial" w:eastAsia="Arial" w:hAnsi="Arial"/>
                <w:sz w:val="14"/>
                <w:szCs w:val="14"/>
                <w:color w:val="auto"/>
                <w:w w:val="97"/>
              </w:rPr>
              <w:t>(5.6)</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income taxes</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8"/>
              </w:rPr>
              <w:t>(17.8)</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Foreign dividends</w:t>
            </w:r>
          </w:p>
        </w:tc>
        <w:tc>
          <w:tcPr>
            <w:tcW w:w="80" w:type="dxa"/>
            <w:vAlign w:val="bottom"/>
          </w:tcPr>
          <w:p>
            <w:pPr>
              <w:spacing w:after="0"/>
              <w:rPr>
                <w:sz w:val="15"/>
                <w:szCs w:val="15"/>
                <w:color w:val="auto"/>
              </w:rPr>
            </w:pPr>
          </w:p>
        </w:tc>
        <w:tc>
          <w:tcPr>
            <w:tcW w:w="5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0"/>
              </w:rPr>
              <w:t>14.6</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Tax credits</w:t>
            </w:r>
          </w:p>
        </w:tc>
        <w:tc>
          <w:tcPr>
            <w:tcW w:w="80" w:type="dxa"/>
            <w:vAlign w:val="bottom"/>
          </w:tcPr>
          <w:p>
            <w:pPr>
              <w:spacing w:after="0"/>
              <w:rPr>
                <w:sz w:val="15"/>
                <w:szCs w:val="15"/>
                <w:color w:val="auto"/>
              </w:rPr>
            </w:pPr>
          </w:p>
        </w:tc>
        <w:tc>
          <w:tcPr>
            <w:tcW w:w="500" w:type="dxa"/>
            <w:vAlign w:val="bottom"/>
            <w:gridSpan w:val="2"/>
          </w:tcPr>
          <w:p>
            <w:pPr>
              <w:jc w:val="right"/>
              <w:ind w:right="105"/>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4"/>
                <w:szCs w:val="14"/>
                <w:color w:val="auto"/>
                <w:w w:val="98"/>
              </w:rPr>
              <w:t>(22.6)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jc w:val="right"/>
              <w:ind w:right="270"/>
              <w:spacing w:after="0"/>
              <w:rPr>
                <w:sz w:val="20"/>
                <w:szCs w:val="20"/>
                <w:color w:val="auto"/>
              </w:rPr>
            </w:pPr>
            <w:r>
              <w:rPr>
                <w:rFonts w:ascii="Arial" w:cs="Arial" w:eastAsia="Arial" w:hAnsi="Arial"/>
                <w:sz w:val="14"/>
                <w:szCs w:val="14"/>
                <w:color w:val="auto"/>
                <w:w w:val="97"/>
              </w:rPr>
              <w:t>(3.9)</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Uncertain tax positions</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Valuation allowance</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53.0</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33.2</w:t>
            </w:r>
          </w:p>
        </w:tc>
        <w:tc>
          <w:tcPr>
            <w:tcW w:w="200" w:type="dxa"/>
            <w:vAlign w:val="bottom"/>
          </w:tcPr>
          <w:p>
            <w:pPr>
              <w:spacing w:after="0"/>
              <w:rPr>
                <w:sz w:val="15"/>
                <w:szCs w:val="15"/>
                <w:color w:val="auto"/>
              </w:rPr>
            </w:pPr>
          </w:p>
        </w:tc>
        <w:tc>
          <w:tcPr>
            <w:tcW w:w="420" w:type="dxa"/>
            <w:vAlign w:val="bottom"/>
            <w:gridSpan w:val="4"/>
          </w:tcPr>
          <w:p>
            <w:pPr>
              <w:jc w:val="right"/>
              <w:spacing w:after="0"/>
              <w:rPr>
                <w:sz w:val="20"/>
                <w:szCs w:val="20"/>
                <w:color w:val="auto"/>
              </w:rPr>
            </w:pPr>
            <w:r>
              <w:rPr>
                <w:rFonts w:ascii="Arial" w:cs="Arial" w:eastAsia="Arial" w:hAnsi="Arial"/>
                <w:sz w:val="14"/>
                <w:szCs w:val="14"/>
                <w:color w:val="auto"/>
              </w:rPr>
              <w:t>242.3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140" w:type="dxa"/>
            <w:vAlign w:val="bottom"/>
            <w:gridSpan w:val="2"/>
          </w:tcPr>
          <w:p>
            <w:pPr>
              <w:ind w:left="1160"/>
              <w:spacing w:after="0"/>
              <w:rPr>
                <w:sz w:val="20"/>
                <w:szCs w:val="20"/>
                <w:color w:val="auto"/>
              </w:rPr>
            </w:pPr>
            <w:r>
              <w:rPr>
                <w:rFonts w:ascii="Arial" w:cs="Arial" w:eastAsia="Arial" w:hAnsi="Arial"/>
                <w:sz w:val="14"/>
                <w:szCs w:val="14"/>
                <w:color w:val="auto"/>
              </w:rPr>
              <w:t>Effective income tax rate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25"/>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4"/>
                <w:szCs w:val="14"/>
                <w:color w:val="auto"/>
                <w:w w:val="97"/>
              </w:rPr>
              <w:t>(33.3)%</w:t>
            </w:r>
          </w:p>
        </w:tc>
        <w:tc>
          <w:tcPr>
            <w:tcW w:w="820" w:type="dxa"/>
            <w:vAlign w:val="bottom"/>
            <w:gridSpan w:val="5"/>
          </w:tcPr>
          <w:p>
            <w:pPr>
              <w:jc w:val="right"/>
              <w:ind w:right="210"/>
              <w:spacing w:after="0"/>
              <w:rPr>
                <w:sz w:val="20"/>
                <w:szCs w:val="20"/>
                <w:color w:val="auto"/>
              </w:rPr>
            </w:pPr>
            <w:r>
              <w:rPr>
                <w:rFonts w:ascii="Arial" w:cs="Arial" w:eastAsia="Arial" w:hAnsi="Arial"/>
                <w:sz w:val="14"/>
                <w:szCs w:val="14"/>
                <w:color w:val="auto"/>
              </w:rPr>
              <w:t>218.5%</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269"/>
              <w:spacing w:after="0"/>
              <w:rPr>
                <w:sz w:val="20"/>
                <w:szCs w:val="20"/>
                <w:color w:val="auto"/>
              </w:rPr>
            </w:pPr>
            <w:r>
              <w:rPr>
                <w:rFonts w:ascii="Arial" w:cs="Arial" w:eastAsia="Arial" w:hAnsi="Arial"/>
                <w:sz w:val="14"/>
                <w:szCs w:val="14"/>
                <w:color w:val="auto"/>
              </w:rPr>
              <w:t>85</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1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808080"/>
            </w:tcBorders>
          </w:tcPr>
          <w:p>
            <w:pPr>
              <w:spacing w:after="0"/>
              <w:rPr>
                <w:sz w:val="15"/>
                <w:szCs w:val="15"/>
                <w:color w:val="auto"/>
              </w:rPr>
            </w:pPr>
          </w:p>
        </w:tc>
        <w:tc>
          <w:tcPr>
            <w:tcW w:w="69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left="280" w:hanging="273"/>
        <w:spacing w:after="0"/>
        <w:tabs>
          <w:tab w:leader="none" w:pos="2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 (Continued)</w:t>
      </w:r>
    </w:p>
    <w:p>
      <w:pPr>
        <w:spacing w:after="0" w:line="192"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color w:val="auto"/>
        </w:rPr>
        <w:t>The following is a summary of the significant components of deferred income tax assets and liabilities (in thousands):</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131"/>
        </w:trPr>
        <w:tc>
          <w:tcPr>
            <w:tcW w:w="7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11"/>
        </w:trPr>
        <w:tc>
          <w:tcPr>
            <w:tcW w:w="75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70"/>
              <w:spacing w:after="0" w:line="111" w:lineRule="exact"/>
              <w:rPr>
                <w:sz w:val="20"/>
                <w:szCs w:val="20"/>
                <w:color w:val="auto"/>
              </w:rPr>
            </w:pPr>
            <w:r>
              <w:rPr>
                <w:rFonts w:ascii="Arial" w:cs="Arial" w:eastAsia="Arial" w:hAnsi="Arial"/>
                <w:sz w:val="11"/>
                <w:szCs w:val="11"/>
                <w:b w:val="1"/>
                <w:bCs w:val="1"/>
                <w:color w:val="auto"/>
              </w:rPr>
              <w:t>2010</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70"/>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52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rPr>
                <w:sz w:val="20"/>
                <w:szCs w:val="20"/>
                <w:color w:val="auto"/>
              </w:rPr>
            </w:pPr>
            <w:r>
              <w:rPr>
                <w:rFonts w:ascii="Arial" w:cs="Arial" w:eastAsia="Arial" w:hAnsi="Arial"/>
                <w:sz w:val="14"/>
                <w:szCs w:val="14"/>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46,822</w:t>
            </w:r>
          </w:p>
        </w:tc>
        <w:tc>
          <w:tcPr>
            <w:tcW w:w="14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38,468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loss carryforward</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rPr>
                <w:sz w:val="20"/>
                <w:szCs w:val="20"/>
                <w:color w:val="auto"/>
              </w:rPr>
            </w:pPr>
            <w:r>
              <w:rPr>
                <w:rFonts w:ascii="Arial" w:cs="Arial" w:eastAsia="Arial" w:hAnsi="Arial"/>
                <w:sz w:val="14"/>
                <w:szCs w:val="14"/>
                <w:color w:val="auto"/>
              </w:rPr>
              <w:t>Research and development tax credits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19,046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tax credits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rPr>
                <w:sz w:val="20"/>
                <w:szCs w:val="20"/>
                <w:color w:val="auto"/>
              </w:rPr>
            </w:pPr>
            <w:r>
              <w:rPr>
                <w:rFonts w:ascii="Arial" w:cs="Arial" w:eastAsia="Arial" w:hAnsi="Arial"/>
                <w:sz w:val="14"/>
                <w:szCs w:val="14"/>
                <w:color w:val="auto"/>
              </w:rPr>
              <w:t>Intangible assets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7,378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temporary differences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105,367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119,763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Valuation allowance</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(103,114)</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(117,817)</w:t>
            </w:r>
          </w:p>
        </w:tc>
        <w:tc>
          <w:tcPr>
            <w:tcW w:w="0" w:type="dxa"/>
            <w:vAlign w:val="bottom"/>
          </w:tcPr>
          <w:p>
            <w:pPr>
              <w:spacing w:after="0"/>
              <w:rPr>
                <w:sz w:val="1"/>
                <w:szCs w:val="1"/>
                <w:color w:val="auto"/>
              </w:rPr>
            </w:pPr>
          </w:p>
        </w:tc>
      </w:tr>
      <w:tr>
        <w:trPr>
          <w:trHeight w:val="22"/>
        </w:trPr>
        <w:tc>
          <w:tcPr>
            <w:tcW w:w="7520" w:type="dxa"/>
            <w:vAlign w:val="bottom"/>
            <w:vMerge w:val="restart"/>
          </w:tcPr>
          <w:p>
            <w:pPr>
              <w:ind w:left="220"/>
              <w:spacing w:after="0"/>
              <w:rPr>
                <w:sz w:val="20"/>
                <w:szCs w:val="20"/>
                <w:color w:val="auto"/>
              </w:rPr>
            </w:pPr>
            <w:r>
              <w:rPr>
                <w:rFonts w:ascii="Arial" w:cs="Arial" w:eastAsia="Arial" w:hAnsi="Arial"/>
                <w:sz w:val="14"/>
                <w:szCs w:val="14"/>
                <w:color w:val="auto"/>
              </w:rPr>
              <w:t>Total deferred tax assets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2,253</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2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00"/>
              <w:spacing w:after="0"/>
              <w:rPr>
                <w:sz w:val="20"/>
                <w:szCs w:val="20"/>
                <w:color w:val="auto"/>
              </w:rPr>
            </w:pPr>
            <w:r>
              <w:rPr>
                <w:rFonts w:ascii="Arial" w:cs="Arial" w:eastAsia="Arial" w:hAnsi="Arial"/>
                <w:sz w:val="14"/>
                <w:szCs w:val="14"/>
                <w:color w:val="auto"/>
              </w:rPr>
              <w:t>Purchased intangible assets</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Unrealized gain on available-for-sale securities</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2"/>
        </w:trPr>
        <w:tc>
          <w:tcPr>
            <w:tcW w:w="7520" w:type="dxa"/>
            <w:vAlign w:val="bottom"/>
            <w:vMerge w:val="restart"/>
          </w:tcPr>
          <w:p>
            <w:pPr>
              <w:ind w:left="220"/>
              <w:spacing w:after="0"/>
              <w:rPr>
                <w:sz w:val="20"/>
                <w:szCs w:val="20"/>
                <w:color w:val="auto"/>
              </w:rPr>
            </w:pPr>
            <w:r>
              <w:rPr>
                <w:rFonts w:ascii="Arial" w:cs="Arial" w:eastAsia="Arial" w:hAnsi="Arial"/>
                <w:sz w:val="14"/>
                <w:szCs w:val="14"/>
                <w:color w:val="auto"/>
              </w:rPr>
              <w:t>Total deferred tax liabilities</w:t>
            </w: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net deferred tax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20" w:type="dxa"/>
            <w:vAlign w:val="bottom"/>
            <w:vMerge w:val="restart"/>
          </w:tcPr>
          <w:p>
            <w:pPr>
              <w:spacing w:after="0"/>
              <w:rPr>
                <w:sz w:val="20"/>
                <w:szCs w:val="20"/>
                <w:color w:val="auto"/>
              </w:rPr>
            </w:pPr>
            <w:r>
              <w:rPr>
                <w:rFonts w:ascii="Arial" w:cs="Arial" w:eastAsia="Arial" w:hAnsi="Arial"/>
                <w:sz w:val="14"/>
                <w:szCs w:val="14"/>
                <w:color w:val="auto"/>
              </w:rPr>
              <w:t>Deferred tax asset—current</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vMerge w:val="continue"/>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8" w:lineRule="exact"/>
              <w:rPr>
                <w:sz w:val="20"/>
                <w:szCs w:val="20"/>
                <w:color w:val="auto"/>
              </w:rPr>
            </w:pPr>
            <w:r>
              <w:rPr>
                <w:rFonts w:ascii="Arial" w:cs="Arial" w:eastAsia="Arial" w:hAnsi="Arial"/>
                <w:sz w:val="14"/>
                <w:szCs w:val="14"/>
                <w:color w:val="auto"/>
              </w:rPr>
              <w:t>408</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8" w:lineRule="exact"/>
              <w:rPr>
                <w:sz w:val="20"/>
                <w:szCs w:val="20"/>
                <w:color w:val="auto"/>
              </w:rPr>
            </w:pPr>
            <w:r>
              <w:rPr>
                <w:rFonts w:ascii="Arial" w:cs="Arial" w:eastAsia="Arial" w:hAnsi="Arial"/>
                <w:sz w:val="14"/>
                <w:szCs w:val="14"/>
                <w:color w:val="auto"/>
              </w:rPr>
              <w:t>562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asset—noncurrent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20" w:type="dxa"/>
            <w:vAlign w:val="bottom"/>
            <w:vMerge w:val="restart"/>
          </w:tcPr>
          <w:p>
            <w:pPr>
              <w:ind w:left="320"/>
              <w:spacing w:after="0"/>
              <w:rPr>
                <w:sz w:val="20"/>
                <w:szCs w:val="20"/>
                <w:color w:val="auto"/>
              </w:rPr>
            </w:pPr>
            <w:r>
              <w:rPr>
                <w:rFonts w:ascii="Arial" w:cs="Arial" w:eastAsia="Arial" w:hAnsi="Arial"/>
                <w:sz w:val="14"/>
                <w:szCs w:val="14"/>
                <w:color w:val="auto"/>
              </w:rPr>
              <w:t>Total net deferred tax assets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1,679</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276"/>
        <w:spacing w:after="0" w:line="287" w:lineRule="auto"/>
        <w:rPr>
          <w:sz w:val="20"/>
          <w:szCs w:val="20"/>
          <w:color w:val="auto"/>
        </w:rPr>
      </w:pPr>
      <w:r>
        <w:rPr>
          <w:rFonts w:ascii="Arial" w:cs="Arial" w:eastAsia="Arial" w:hAnsi="Arial"/>
          <w:sz w:val="13"/>
          <w:szCs w:val="13"/>
          <w:color w:val="auto"/>
        </w:rPr>
        <w:t>At December 31, 2010, the Company had cumulative net operating losses ("NOL") of $154.6 million for federal income tax purposes and $40.2 million for state income tax purposes. The federal NOL carryforwards expire at various dates from 2020 through 2029. The state NOL expires at various dates from 2010 through 2028. Of the federal NOL, $111.8 million is attributable to stock option deductions. The Company's federal NOL carryforward for tax return purposes is $25.7 million greater than its recognized federal NOL for financial reporting purposes, as excess tax benefits (stock compensation deductions in excess of book compensation costs) are not recognized until realized. The tax benefit of this loss would be recognized for financial statement purposes in the period in which the tax benefit reduces income taxes payable, which will not be recognized until the Company recognizes a reduction in taxes payable from all other NOL carryforwards. In addition, the Company has $7.4 million of deferred tax assets as of December 31, 2010 related to compensation expenses recognized for financial reporting purposes that are not deductible for tax purposes until options are exercised or shares vest. As employees will not exercise the underlying options unless the current market price exceeds the option exercise price and the Company's tax deduction for restricted shares is determined as the shares vest, the ultimate realization of the benefit related to stock options is directly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360"/>
          </w:cols>
          <w:pgMar w:left="220" w:top="132" w:right="3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INCOME TAXES (Continued)</w:t>
      </w:r>
    </w:p>
    <w:p>
      <w:pPr>
        <w:spacing w:after="0" w:line="200" w:lineRule="exact"/>
        <w:rPr>
          <w:sz w:val="20"/>
          <w:szCs w:val="20"/>
          <w:color w:val="auto"/>
        </w:rPr>
      </w:pPr>
    </w:p>
    <w:p>
      <w:pPr>
        <w:spacing w:after="0" w:line="364" w:lineRule="exact"/>
        <w:rPr>
          <w:sz w:val="20"/>
          <w:szCs w:val="20"/>
          <w:color w:val="auto"/>
        </w:rPr>
      </w:pPr>
    </w:p>
    <w:p>
      <w:pPr>
        <w:ind w:right="360"/>
        <w:spacing w:after="0" w:line="289" w:lineRule="auto"/>
        <w:rPr>
          <w:sz w:val="20"/>
          <w:szCs w:val="20"/>
          <w:color w:val="auto"/>
        </w:rPr>
      </w:pPr>
      <w:r>
        <w:rPr>
          <w:rFonts w:ascii="Arial" w:cs="Arial" w:eastAsia="Arial" w:hAnsi="Arial"/>
          <w:sz w:val="14"/>
          <w:szCs w:val="14"/>
          <w:color w:val="auto"/>
        </w:rPr>
        <w:t>associated with the price of the Company's common stock. At December 31, 2010, the Company's stock price of $2.67 was well below the weighted average exercise price of the Company's stock options of $4.40.</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also has available federal and state research and development credit carryforwards of $25.0 million that expire at various dates from 2015 through 2029.</w:t>
      </w:r>
    </w:p>
    <w:p>
      <w:pPr>
        <w:spacing w:after="0" w:line="189" w:lineRule="exact"/>
        <w:rPr>
          <w:sz w:val="20"/>
          <w:szCs w:val="20"/>
          <w:color w:val="auto"/>
        </w:rPr>
      </w:pPr>
    </w:p>
    <w:p>
      <w:pPr>
        <w:jc w:val="both"/>
        <w:ind w:right="120" w:firstLine="282"/>
        <w:spacing w:after="0" w:line="275" w:lineRule="auto"/>
        <w:rPr>
          <w:sz w:val="20"/>
          <w:szCs w:val="20"/>
          <w:color w:val="auto"/>
        </w:rPr>
      </w:pPr>
      <w:r>
        <w:rPr>
          <w:rFonts w:ascii="Arial" w:cs="Arial" w:eastAsia="Arial" w:hAnsi="Arial"/>
          <w:sz w:val="14"/>
          <w:szCs w:val="14"/>
          <w:color w:val="auto"/>
        </w:rPr>
        <w:t>The Company has available $14.0 million of capital loss carryover resulting from the sale of Zynetix on November 26, 2008. The capital loss is only available to offset capital gains. Because it is not more likely than not that the Company will realize a benefit prior to the expiration of the capital loss carryforward in 2013, a full valuation allowance has been established against the $5.4 million tax benefit associated with this capital loss.</w:t>
      </w:r>
    </w:p>
    <w:p>
      <w:pPr>
        <w:spacing w:after="0" w:line="146" w:lineRule="exact"/>
        <w:rPr>
          <w:sz w:val="20"/>
          <w:szCs w:val="20"/>
          <w:color w:val="auto"/>
        </w:rPr>
      </w:pPr>
    </w:p>
    <w:p>
      <w:pPr>
        <w:ind w:right="40" w:firstLine="284"/>
        <w:spacing w:after="0" w:line="266" w:lineRule="auto"/>
        <w:rPr>
          <w:sz w:val="20"/>
          <w:szCs w:val="20"/>
          <w:color w:val="auto"/>
        </w:rPr>
      </w:pPr>
      <w:r>
        <w:rPr>
          <w:rFonts w:ascii="Arial" w:cs="Arial" w:eastAsia="Arial" w:hAnsi="Arial"/>
          <w:sz w:val="14"/>
          <w:szCs w:val="14"/>
          <w:color w:val="auto"/>
        </w:rPr>
        <w:t>Deferred tax assets are required to be reduced by a valuation allowance, if based on all available evidence, it is considered more likely than not that some portion or all of the recorded deferred tax assets will not be realized in a future period. As a result of the Company's evaluation, the Company concluded that there was insufficient positive evidence to overcome the more objective negative evidence related to its cumulative losses and other factors. Accordingly, during the fourth quarter of fiscal 2008, the Company recorded an increase to its valuation allowance of $88.4 million on substantially all of its domestic net deferred tax assets after considering all positive and negative factors as to the recoverability of these assets. This determination was based on many factors, including the severity of the current and prior year losses, three years of cumulative losses, the current severe economic recession, a significant decrease to taxable income forecasted in future periods, and other relevant factors.</w:t>
      </w:r>
    </w:p>
    <w:p>
      <w:pPr>
        <w:spacing w:after="0" w:line="153" w:lineRule="exact"/>
        <w:rPr>
          <w:sz w:val="20"/>
          <w:szCs w:val="20"/>
          <w:color w:val="auto"/>
        </w:rPr>
      </w:pPr>
    </w:p>
    <w:p>
      <w:pPr>
        <w:ind w:firstLine="284"/>
        <w:spacing w:after="0" w:line="264" w:lineRule="auto"/>
        <w:rPr>
          <w:sz w:val="20"/>
          <w:szCs w:val="20"/>
          <w:color w:val="auto"/>
        </w:rPr>
      </w:pPr>
      <w:r>
        <w:rPr>
          <w:rFonts w:ascii="Arial" w:cs="Arial" w:eastAsia="Arial" w:hAnsi="Arial"/>
          <w:sz w:val="14"/>
          <w:szCs w:val="14"/>
          <w:color w:val="auto"/>
        </w:rPr>
        <w:t>During fiscal 2010 and fiscal 2009, the Company performed an analysis to determine if, based on all available evidence, it considered it more likely than not that some portion or all of the recorded deferred tax assets will not be realized in a future period. As a result of the Company's evaluation, the Company concluded that there was insufficient positive evidence to overcome the more objective negative evidence related to its cumulative losses and other factors. Accordingly, the Company has maintained a valuation allowance against its domestic deferred tax asset amounting to $103.1 million at December 31, 2010 and $117.8 million at December 31, 2009. During the preparation of the 2010 financial statements, the Company determined that in prior years, the Company had overstated the balance of deferred tax assets relating to stock-based compensation and, since 2008, had overstated the valuation allowance related to those assets by an equal and offsetting amount. At December 31, 2009, the deferred tax assets and related valuation allowance were overstated by $11.0 million. The Company has corrected this error in the above deferred income tax assets and liabilities components table as of December 31, 2010. Because these deferred tax assets carry a full valuation allowance, the correction of this error had no effect on the 2010 tax provision, consolidated balance sheet or consolidated statement of cash flows.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operates under a tax holiday in India, which has been extended through March 2011.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left="280" w:hanging="273"/>
        <w:spacing w:after="0"/>
        <w:tabs>
          <w:tab w:leader="none" w:pos="2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 (Continued)</w:t>
      </w:r>
    </w:p>
    <w:p>
      <w:pPr>
        <w:spacing w:after="0" w:line="192"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color w:val="auto"/>
        </w:rPr>
        <w:t>A reconciliation of the Company's unrecognized tax benefits is as follows (in thousands):</w:t>
      </w: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4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w w:val="97"/>
              </w:rPr>
              <w:t>2010</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1"/>
                <w:szCs w:val="11"/>
                <w:b w:val="1"/>
                <w:bCs w:val="1"/>
                <w:color w:val="auto"/>
                <w:w w:val="97"/>
              </w:rPr>
              <w:t>2009</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Unrecognized tax benefits at January 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10,070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tcPr>
          <w:p>
            <w:pPr>
              <w:spacing w:after="0"/>
              <w:rPr>
                <w:sz w:val="20"/>
                <w:szCs w:val="20"/>
                <w:color w:val="auto"/>
              </w:rPr>
            </w:pPr>
            <w:r>
              <w:rPr>
                <w:rFonts w:ascii="Arial" w:cs="Arial" w:eastAsia="Arial" w:hAnsi="Arial"/>
                <w:sz w:val="14"/>
                <w:szCs w:val="14"/>
                <w:color w:val="auto"/>
              </w:rPr>
              <w:t>Increases related to current year tax positions</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Settlements</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2"/>
        </w:trPr>
        <w:tc>
          <w:tcPr>
            <w:tcW w:w="4840" w:type="dxa"/>
            <w:vAlign w:val="bottom"/>
            <w:vMerge w:val="restart"/>
          </w:tcPr>
          <w:p>
            <w:pPr>
              <w:spacing w:after="0"/>
              <w:rPr>
                <w:sz w:val="20"/>
                <w:szCs w:val="20"/>
                <w:color w:val="auto"/>
              </w:rPr>
            </w:pPr>
            <w:r>
              <w:rPr>
                <w:rFonts w:ascii="Arial" w:cs="Arial" w:eastAsia="Arial" w:hAnsi="Arial"/>
                <w:sz w:val="14"/>
                <w:szCs w:val="14"/>
                <w:color w:val="auto"/>
              </w:rPr>
              <w:t>Unrecognized tax benefits at December 31</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840" w:type="dxa"/>
            <w:vAlign w:val="bottom"/>
            <w:vMerge w:val="continue"/>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9,990</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10,070</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As of the date of adoption of the guidance related to uncertain tax positions, the Company elected to include any applicable interest and penalties related to uncertain tax positions in its income tax provision in its consolidated statement of operations. The Company recorded liabilities for potential penalties and interest of $23,000 for the year ended December 31, 2010, and $18,000 for the years ended December 31, 2009 and 2008. The Company does not expect its unrecognized tax benefits to change materially over the next 12 months. Due to the Company's valuation allowance at December 31, 2010, none of the Company's unrecognized tax benefits, if recognized, would affect the effective tax rate.</w:t>
      </w:r>
    </w:p>
    <w:p>
      <w:pPr>
        <w:spacing w:after="0" w:line="150" w:lineRule="exact"/>
        <w:rPr>
          <w:sz w:val="20"/>
          <w:szCs w:val="20"/>
          <w:color w:val="auto"/>
        </w:rPr>
      </w:pPr>
    </w:p>
    <w:p>
      <w:pPr>
        <w:ind w:right="80" w:firstLine="282"/>
        <w:spacing w:after="0" w:line="305" w:lineRule="auto"/>
        <w:rPr>
          <w:sz w:val="20"/>
          <w:szCs w:val="20"/>
          <w:color w:val="auto"/>
        </w:rPr>
      </w:pPr>
      <w:r>
        <w:rPr>
          <w:rFonts w:ascii="Arial" w:cs="Arial" w:eastAsia="Arial" w:hAnsi="Arial"/>
          <w:sz w:val="13"/>
          <w:szCs w:val="13"/>
          <w:color w:val="auto"/>
        </w:rPr>
        <w:t>The Company and its subsidiaries file income tax returns in the U.S. federal jurisdiction, as well as various state and foreign jurisdictions. Generally, the tax years 2006 through 2010 remain open to examination by the major taxing jurisdictions to which the Company is subject. The Company's federal NOLs generated prior to 2003 could be adjusted on examination even though the year in which the loss was generated is otherwise closed by the statute of limitations. The Company's primary state jurisdiction, Massachusetts, has open periods from 2006 through 2010.</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MAJOR CUSTOMERS</w:t>
      </w:r>
    </w:p>
    <w:p>
      <w:pPr>
        <w:spacing w:after="0" w:line="193" w:lineRule="exact"/>
        <w:rPr>
          <w:sz w:val="20"/>
          <w:szCs w:val="20"/>
          <w:color w:val="auto"/>
        </w:rPr>
      </w:pPr>
    </w:p>
    <w:p>
      <w:pPr>
        <w:ind w:right="20" w:firstLine="282"/>
        <w:spacing w:after="0" w:line="275" w:lineRule="auto"/>
        <w:rPr>
          <w:sz w:val="20"/>
          <w:szCs w:val="20"/>
          <w:color w:val="auto"/>
        </w:rPr>
      </w:pPr>
      <w:r>
        <w:rPr>
          <w:rFonts w:ascii="Arial" w:cs="Arial" w:eastAsia="Arial" w:hAnsi="Arial"/>
          <w:sz w:val="14"/>
          <w:szCs w:val="14"/>
          <w:color w:val="auto"/>
        </w:rPr>
        <w:t>The Company had one customer, AT&amp;T, that contributed approximately 21% of the Company's consolidated revenue in the year ended December 31, 2010 and approximately 29% of the Company's consolidated revenue in the year ended December 31, 2008. The Company had no customers that contributed 10% or more of its consolidated revenue in the year ended December 31, 2009, and no other customers that contributed 10% or more of consolidated revenue in the years ended December 31, 2010 and 2008.</w:t>
      </w:r>
    </w:p>
    <w:p>
      <w:pPr>
        <w:spacing w:after="0" w:line="146" w:lineRule="exact"/>
        <w:rPr>
          <w:sz w:val="20"/>
          <w:szCs w:val="20"/>
          <w:color w:val="auto"/>
        </w:rPr>
      </w:pPr>
    </w:p>
    <w:p>
      <w:pPr>
        <w:ind w:firstLine="276"/>
        <w:spacing w:after="0" w:line="341" w:lineRule="auto"/>
        <w:rPr>
          <w:sz w:val="20"/>
          <w:szCs w:val="20"/>
          <w:color w:val="auto"/>
        </w:rPr>
      </w:pPr>
      <w:r>
        <w:rPr>
          <w:rFonts w:ascii="Arial" w:cs="Arial" w:eastAsia="Arial" w:hAnsi="Arial"/>
          <w:sz w:val="12"/>
          <w:szCs w:val="12"/>
          <w:color w:val="auto"/>
        </w:rPr>
        <w:t>At December 31, 2010, one customer accounted for 10% or more of the Company's accounts receivable balance, representing approximately 14% of the Company's accounts receivable balance. At December 31, 2009 there were no customers that accounted for 10% or more of the Company's accounts receivable balance. The Company performs ongoing credit evaluations of its customers and generally does not require collateral on accounts receivable. The Company maintains an allowance for doubtful accounts and such losses have been within management's expectations.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GEOGRAPHIC AND OPERATING SEGMENT INFORMATION</w:t>
      </w:r>
    </w:p>
    <w:p>
      <w:pPr>
        <w:spacing w:after="0" w:line="193" w:lineRule="exact"/>
        <w:rPr>
          <w:sz w:val="20"/>
          <w:szCs w:val="20"/>
          <w:color w:val="auto"/>
        </w:rPr>
      </w:pPr>
    </w:p>
    <w:p>
      <w:pPr>
        <w:ind w:firstLine="282"/>
        <w:spacing w:after="0" w:line="289" w:lineRule="auto"/>
        <w:rPr>
          <w:sz w:val="20"/>
          <w:szCs w:val="20"/>
          <w:color w:val="auto"/>
        </w:rPr>
      </w:pPr>
      <w:r>
        <w:rPr>
          <w:rFonts w:ascii="Arial" w:cs="Arial" w:eastAsia="Arial" w:hAnsi="Arial"/>
          <w:sz w:val="14"/>
          <w:szCs w:val="14"/>
          <w:color w:val="auto"/>
        </w:rPr>
        <w:t>The Company's classification of revenue by geographic area is determined by the location of the Company's customers. The following table summarizes revenue by geographic area as a percentage of total revenue:</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31"/>
        </w:trPr>
        <w:tc>
          <w:tcPr>
            <w:tcW w:w="5160" w:type="dxa"/>
            <w:vAlign w:val="bottom"/>
          </w:tcPr>
          <w:p>
            <w:pPr>
              <w:spacing w:after="0"/>
              <w:rPr>
                <w:sz w:val="11"/>
                <w:szCs w:val="11"/>
                <w:color w:val="auto"/>
              </w:rPr>
            </w:pPr>
          </w:p>
        </w:tc>
        <w:tc>
          <w:tcPr>
            <w:tcW w:w="1700" w:type="dxa"/>
            <w:vAlign w:val="bottom"/>
            <w:gridSpan w:val="6"/>
          </w:tcPr>
          <w:p>
            <w:pPr>
              <w:jc w:val="right"/>
              <w:ind w:right="320"/>
              <w:spacing w:after="0"/>
              <w:rPr>
                <w:sz w:val="20"/>
                <w:szCs w:val="20"/>
                <w:color w:val="auto"/>
              </w:rPr>
            </w:pPr>
            <w:r>
              <w:rPr>
                <w:rFonts w:ascii="Arial" w:cs="Arial" w:eastAsia="Arial" w:hAnsi="Arial"/>
                <w:sz w:val="11"/>
                <w:szCs w:val="11"/>
                <w:b w:val="1"/>
                <w:bCs w:val="1"/>
                <w:color w:val="auto"/>
              </w:rPr>
              <w:t>Year ended December 31,</w:t>
            </w:r>
          </w:p>
        </w:tc>
      </w:tr>
      <w:tr>
        <w:trPr>
          <w:trHeight w:val="111"/>
        </w:trPr>
        <w:tc>
          <w:tcPr>
            <w:tcW w:w="516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ind w:right="13"/>
              <w:spacing w:after="0" w:line="111" w:lineRule="exact"/>
              <w:rPr>
                <w:sz w:val="20"/>
                <w:szCs w:val="20"/>
                <w:color w:val="auto"/>
              </w:rPr>
            </w:pPr>
            <w:r>
              <w:rPr>
                <w:rFonts w:ascii="Arial" w:cs="Arial" w:eastAsia="Arial" w:hAnsi="Arial"/>
                <w:sz w:val="11"/>
                <w:szCs w:val="11"/>
                <w:b w:val="1"/>
                <w:bCs w:val="1"/>
                <w:color w:val="auto"/>
              </w:rPr>
              <w:t>2010</w:t>
            </w:r>
          </w:p>
        </w:tc>
        <w:tc>
          <w:tcPr>
            <w:tcW w:w="260" w:type="dxa"/>
            <w:vAlign w:val="bottom"/>
            <w:tcBorders>
              <w:top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2009</w:t>
            </w:r>
          </w:p>
        </w:tc>
        <w:tc>
          <w:tcPr>
            <w:tcW w:w="260" w:type="dxa"/>
            <w:vAlign w:val="bottom"/>
            <w:tcBorders>
              <w:top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11"/>
              <w:spacing w:after="0" w:line="111" w:lineRule="exact"/>
              <w:rPr>
                <w:sz w:val="20"/>
                <w:szCs w:val="20"/>
                <w:color w:val="auto"/>
              </w:rPr>
            </w:pPr>
            <w:r>
              <w:rPr>
                <w:rFonts w:ascii="Arial" w:cs="Arial" w:eastAsia="Arial" w:hAnsi="Arial"/>
                <w:sz w:val="11"/>
                <w:szCs w:val="11"/>
                <w:b w:val="1"/>
                <w:bCs w:val="1"/>
                <w:color w:val="auto"/>
              </w:rPr>
              <w:t>2008</w:t>
            </w:r>
          </w:p>
        </w:tc>
        <w:tc>
          <w:tcPr>
            <w:tcW w:w="120" w:type="dxa"/>
            <w:vAlign w:val="bottom"/>
          </w:tcPr>
          <w:p>
            <w:pPr>
              <w:spacing w:after="0"/>
              <w:rPr>
                <w:sz w:val="9"/>
                <w:szCs w:val="9"/>
                <w:color w:val="auto"/>
              </w:rPr>
            </w:pPr>
          </w:p>
        </w:tc>
      </w:tr>
      <w:tr>
        <w:trPr>
          <w:trHeight w:val="166"/>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75"/>
        </w:trPr>
        <w:tc>
          <w:tcPr>
            <w:tcW w:w="5160" w:type="dxa"/>
            <w:vAlign w:val="bottom"/>
          </w:tcPr>
          <w:p>
            <w:pPr>
              <w:spacing w:after="0"/>
              <w:rPr>
                <w:sz w:val="20"/>
                <w:szCs w:val="20"/>
                <w:color w:val="auto"/>
              </w:rPr>
            </w:pPr>
            <w:r>
              <w:rPr>
                <w:rFonts w:ascii="Arial" w:cs="Arial" w:eastAsia="Arial" w:hAnsi="Arial"/>
                <w:sz w:val="14"/>
                <w:szCs w:val="14"/>
                <w:color w:val="auto"/>
              </w:rPr>
              <w:t>Europe, Middle East and Africa</w:t>
            </w: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r>
      <w:tr>
        <w:trPr>
          <w:trHeight w:val="175"/>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Japan</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r>
      <w:tr>
        <w:trPr>
          <w:trHeight w:val="175"/>
        </w:trPr>
        <w:tc>
          <w:tcPr>
            <w:tcW w:w="5160" w:type="dxa"/>
            <w:vAlign w:val="bottom"/>
          </w:tcPr>
          <w:p>
            <w:pPr>
              <w:spacing w:after="0"/>
              <w:rPr>
                <w:sz w:val="20"/>
                <w:szCs w:val="20"/>
                <w:color w:val="auto"/>
              </w:rPr>
            </w:pPr>
            <w:r>
              <w:rPr>
                <w:rFonts w:ascii="Arial" w:cs="Arial" w:eastAsia="Arial" w:hAnsi="Arial"/>
                <w:sz w:val="14"/>
                <w:szCs w:val="14"/>
                <w:color w:val="auto"/>
              </w:rPr>
              <w:t>Other Asia Pacific</w:t>
            </w: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r>
      <w:tr>
        <w:trPr>
          <w:trHeight w:val="175"/>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r>
      <w:tr>
        <w:trPr>
          <w:trHeight w:val="22"/>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51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International revenue, both as a percentage of total revenue and absolute dollars, may vary from one period to the next, and accordingly, current data may not be indicative of future periods.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Company's product revenue is comprised of the following (in thousands):</w:t>
      </w:r>
    </w:p>
    <w:p>
      <w:pPr>
        <w:spacing w:after="0" w:line="229" w:lineRule="exact"/>
        <w:rPr>
          <w:sz w:val="20"/>
          <w:szCs w:val="20"/>
          <w:color w:val="auto"/>
        </w:rPr>
      </w:pPr>
    </w:p>
    <w:tbl>
      <w:tblPr>
        <w:tblLayout w:type="fixed"/>
        <w:tblInd w:w="280" w:type="dxa"/>
        <w:tblCellMar>
          <w:top w:w="0" w:type="dxa"/>
          <w:left w:w="0" w:type="dxa"/>
          <w:bottom w:w="0" w:type="dxa"/>
          <w:right w:w="0" w:type="dxa"/>
        </w:tblCellMar>
      </w:tblPr>
      <w:tr>
        <w:trPr>
          <w:trHeight w:val="131"/>
        </w:trPr>
        <w:tc>
          <w:tcPr>
            <w:tcW w:w="20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1"/>
                <w:szCs w:val="11"/>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36"/>
              <w:spacing w:after="0" w:line="111" w:lineRule="exact"/>
              <w:rPr>
                <w:sz w:val="20"/>
                <w:szCs w:val="20"/>
                <w:color w:val="auto"/>
              </w:rPr>
            </w:pPr>
            <w:r>
              <w:rPr>
                <w:rFonts w:ascii="Arial" w:cs="Arial" w:eastAsia="Arial" w:hAnsi="Arial"/>
                <w:sz w:val="11"/>
                <w:szCs w:val="11"/>
                <w:b w:val="1"/>
                <w:bCs w:val="1"/>
                <w:color w:val="auto"/>
              </w:rPr>
              <w:t>2010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33"/>
              <w:spacing w:after="0" w:line="111" w:lineRule="exact"/>
              <w:rPr>
                <w:sz w:val="20"/>
                <w:szCs w:val="20"/>
                <w:color w:val="auto"/>
              </w:rPr>
            </w:pPr>
            <w:r>
              <w:rPr>
                <w:rFonts w:ascii="Arial" w:cs="Arial" w:eastAsia="Arial" w:hAnsi="Arial"/>
                <w:sz w:val="11"/>
                <w:szCs w:val="11"/>
                <w:b w:val="1"/>
                <w:bCs w:val="1"/>
                <w:color w:val="auto"/>
                <w:w w:val="97"/>
              </w:rPr>
              <w:t>2009</w:t>
            </w: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53"/>
              <w:spacing w:after="0" w:line="111" w:lineRule="exact"/>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Trunking and access products</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122,244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112,412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188,796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Peering (NBS) products</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23,864</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146,583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136,276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203,387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0" w:type="dxa"/>
            <w:vAlign w:val="bottom"/>
            <w:gridSpan w:val="2"/>
            <w:vMerge w:val="restart"/>
          </w:tcPr>
          <w:p>
            <w:pPr>
              <w:spacing w:after="0"/>
              <w:rPr>
                <w:sz w:val="20"/>
                <w:szCs w:val="20"/>
                <w:color w:val="auto"/>
              </w:rPr>
            </w:pPr>
            <w:r>
              <w:rPr>
                <w:rFonts w:ascii="Arial" w:cs="Arial" w:eastAsia="Arial" w:hAnsi="Arial"/>
                <w:sz w:val="14"/>
                <w:szCs w:val="14"/>
                <w:color w:val="auto"/>
              </w:rPr>
              <w:t>The Company's service revenue is comprised of the following (in thousands):</w:t>
            </w: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6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10"/>
          </w:tcPr>
          <w:p>
            <w:pPr>
              <w:ind w:left="38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11"/>
        </w:trPr>
        <w:tc>
          <w:tcPr>
            <w:tcW w:w="20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76"/>
              <w:spacing w:after="0" w:line="111" w:lineRule="exact"/>
              <w:rPr>
                <w:sz w:val="20"/>
                <w:szCs w:val="20"/>
                <w:color w:val="auto"/>
              </w:rPr>
            </w:pPr>
            <w:r>
              <w:rPr>
                <w:rFonts w:ascii="Arial" w:cs="Arial" w:eastAsia="Arial" w:hAnsi="Arial"/>
                <w:sz w:val="11"/>
                <w:szCs w:val="11"/>
                <w:b w:val="1"/>
                <w:bCs w:val="1"/>
                <w:color w:val="auto"/>
              </w:rPr>
              <w:t>2010</w:t>
            </w:r>
          </w:p>
        </w:tc>
        <w:tc>
          <w:tcPr>
            <w:tcW w:w="6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3"/>
              <w:spacing w:after="0" w:line="111" w:lineRule="exact"/>
              <w:rPr>
                <w:sz w:val="20"/>
                <w:szCs w:val="20"/>
                <w:color w:val="auto"/>
              </w:rPr>
            </w:pPr>
            <w:r>
              <w:rPr>
                <w:rFonts w:ascii="Arial" w:cs="Arial" w:eastAsia="Arial" w:hAnsi="Arial"/>
                <w:sz w:val="11"/>
                <w:szCs w:val="11"/>
                <w:b w:val="1"/>
                <w:bCs w:val="1"/>
                <w:color w:val="auto"/>
              </w:rPr>
              <w:t>2009</w:t>
            </w: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53"/>
              <w:spacing w:after="0" w:line="111" w:lineRule="exact"/>
              <w:rPr>
                <w:sz w:val="20"/>
                <w:szCs w:val="20"/>
                <w:color w:val="auto"/>
              </w:rPr>
            </w:pPr>
            <w:r>
              <w:rPr>
                <w:rFonts w:ascii="Arial" w:cs="Arial" w:eastAsia="Arial" w:hAnsi="Arial"/>
                <w:sz w:val="11"/>
                <w:szCs w:val="11"/>
                <w:b w:val="1"/>
                <w:bCs w:val="1"/>
                <w:color w:val="auto"/>
                <w:w w:val="97"/>
              </w:rPr>
              <w:t>2008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Maintenance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78,379</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69,132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78,996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4"/>
                <w:szCs w:val="14"/>
                <w:color w:val="auto"/>
              </w:rPr>
              <w:t>Professional services</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24,345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22,088</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20" w:type="dxa"/>
            <w:vAlign w:val="bottom"/>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102,724</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109,758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9220" w:firstLine="7"/>
        <w:spacing w:after="0" w:line="524" w:lineRule="auto"/>
        <w:tabs>
          <w:tab w:leader="none" w:pos="272"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LITIGATION SETTLEMENTS 2002 Securities Litigation</w:t>
      </w:r>
    </w:p>
    <w:p>
      <w:pPr>
        <w:ind w:right="20" w:firstLine="284"/>
        <w:spacing w:after="0" w:line="267" w:lineRule="auto"/>
        <w:rPr>
          <w:sz w:val="20"/>
          <w:szCs w:val="20"/>
          <w:color w:val="auto"/>
        </w:rPr>
      </w:pPr>
      <w:r>
        <w:rPr>
          <w:rFonts w:ascii="Arial" w:cs="Arial" w:eastAsia="Arial" w:hAnsi="Arial"/>
          <w:sz w:val="14"/>
          <w:szCs w:val="14"/>
          <w:color w:val="auto"/>
        </w:rPr>
        <w:t>On January 6, 2006, a purchaser of the Company's common stock filed a complaint in the United States District Court for the District of Massachusetts that was essentially identical to an Amended Consolidated Complaint previously filed against the defendants and dismissed on October 5, 2005 alleging that Sonus made false and misleading statements about its products and business. The court appointed the Public Employees' Retirement System of Mississippi as lead plaintiff. The lead plaintiff filed an Amended Consolidated Complaint (the "2002 Securities Litigation"). On April 19, 2007, the defendants filed a motion to dismiss the 2002 Securities Litigation. On September 23, 2008, Sonus agreed to settle the litigation and, on October 3, 2008, entered into a Memorandum of Understanding with the plaintiffs setting forth the terms of the settlement. Pursuant to the settlement, subject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LITIGATION SETTLEMENTS (Continued)</w:t>
      </w:r>
    </w:p>
    <w:p>
      <w:pPr>
        <w:spacing w:after="0" w:line="200" w:lineRule="exact"/>
        <w:rPr>
          <w:sz w:val="20"/>
          <w:szCs w:val="20"/>
          <w:color w:val="auto"/>
        </w:rPr>
      </w:pPr>
    </w:p>
    <w:p>
      <w:pPr>
        <w:spacing w:after="0" w:line="364" w:lineRule="exact"/>
        <w:rPr>
          <w:sz w:val="20"/>
          <w:szCs w:val="20"/>
          <w:color w:val="auto"/>
        </w:rPr>
      </w:pPr>
    </w:p>
    <w:p>
      <w:pPr>
        <w:ind w:right="100"/>
        <w:spacing w:after="0" w:line="289" w:lineRule="auto"/>
        <w:rPr>
          <w:sz w:val="20"/>
          <w:szCs w:val="20"/>
          <w:color w:val="auto"/>
        </w:rPr>
      </w:pPr>
      <w:r>
        <w:rPr>
          <w:rFonts w:ascii="Arial" w:cs="Arial" w:eastAsia="Arial" w:hAnsi="Arial"/>
          <w:sz w:val="13"/>
          <w:szCs w:val="13"/>
          <w:color w:val="auto"/>
        </w:rPr>
        <w:t>confirmatory discovery and final court approval, the Company agreed to pay $9.5 million to the shareholder class in the case, as well as $0.1 million toward the cost of the class notice process. In addition, the Company incurred $0.4 million in incremental legal fees in connection with the confirmatory discovery and settlement approval process. Of these amounts, $9.6 million is included as a component of Litigation settlements, net of insurance recovery, and $0.4 million is included as a component of General and administrative expense in the Company's consolidated statement of operations for the year ended December 31, 2008. On February 4, 2009, the Court issued an order in which it certified a settlement class, preliminarily approved the settlement, and ordered that notice be sent to the settlement class. The hearing on final court approval of the settlement was held on June 16, 2009, and the court entered its Orders finally approving the settlement and the request of plaintiffs' counsel for attorneys' fees on June 23, 2009. There were no class member objections to the settlement. At December 31, 2008, the Company had accrued $10.0 million related to this settlement which was paid to the plaintiffs in fiscal 2009. The Company did not have any insurance available for this claim.</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C2 Patent Litigation</w:t>
      </w:r>
    </w:p>
    <w:p>
      <w:pPr>
        <w:spacing w:after="0" w:line="193" w:lineRule="exact"/>
        <w:rPr>
          <w:sz w:val="20"/>
          <w:szCs w:val="20"/>
          <w:color w:val="auto"/>
        </w:rPr>
      </w:pPr>
    </w:p>
    <w:p>
      <w:pPr>
        <w:ind w:firstLine="284"/>
        <w:spacing w:after="0" w:line="265" w:lineRule="auto"/>
        <w:rPr>
          <w:sz w:val="20"/>
          <w:szCs w:val="20"/>
          <w:color w:val="auto"/>
        </w:rPr>
      </w:pPr>
      <w:r>
        <w:rPr>
          <w:rFonts w:ascii="Arial" w:cs="Arial" w:eastAsia="Arial" w:hAnsi="Arial"/>
          <w:sz w:val="14"/>
          <w:szCs w:val="14"/>
          <w:color w:val="auto"/>
        </w:rPr>
        <w:t>On June 14, 2006, C2 Communications ("C2") sued AT&amp;T, Inc., Verizon Communications, Inc., Qwest, Bellsouth Corporation, Sprint Nextel Corporation, Global Crossing and Level 3 in the Eastern District of Texas, Marshall Division. C2 alleged that each of the defendants infringed U.S. Patent No. 6,243,373 entitled "Method and Apparatus for Implementing a Computer Network Internet Telephone System." Sonus agreed, subject to certain conditions, to assume the defense of Qwest, Global Crossing and Level 3 in this litigation to the extent the claim resulted from their use of products purchased from Sonus. During the trial, on September 16, 2008, Sonus reached an agreement to settle this litigation. The parties entered into a settlement and license agreement that provided for the payment of $9.5 million in full settlement of all claims against Qwest, Global Crossing and Level 3 as well as fully paid licenses to the Company, Qwest, Global Crossing and Level 3. The settlement was paid on September 24, 2008. The settlement expense is included as a component of Litigation settlements, net of insurance recovery, in the Company's consolidated statements of operations for the year ended 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RELATED PARTIES</w:t>
      </w:r>
    </w:p>
    <w:p>
      <w:pPr>
        <w:spacing w:after="0" w:line="193" w:lineRule="exact"/>
        <w:rPr>
          <w:sz w:val="20"/>
          <w:szCs w:val="20"/>
          <w:color w:val="auto"/>
        </w:rPr>
      </w:pPr>
    </w:p>
    <w:p>
      <w:pPr>
        <w:ind w:right="80" w:firstLine="284"/>
        <w:spacing w:after="0" w:line="318" w:lineRule="auto"/>
        <w:rPr>
          <w:sz w:val="20"/>
          <w:szCs w:val="20"/>
          <w:color w:val="auto"/>
        </w:rPr>
      </w:pPr>
      <w:r>
        <w:rPr>
          <w:rFonts w:ascii="Arial" w:cs="Arial" w:eastAsia="Arial" w:hAnsi="Arial"/>
          <w:sz w:val="12"/>
          <w:szCs w:val="12"/>
          <w:color w:val="auto"/>
        </w:rPr>
        <w:t>Dr. Nottenburg, the Company's former President and Chief Executive Officer, serves on the Board of Directors of Comverse Technology ("Comverse"), a worldwide provider of software and systems. Comverse has several majority-owned subsidiaries, including Ulticom, Inc. (which Comverse sold in the fourth quarter of fiscal 2010) and Verint Systems. All three companies are vendors of the Company. The Company had well-established and ongoing business relationships with these vendors prior to the appointment of Dr. Nottenburg as the Company's President and Chief Executive Officer effective June 13, 2008. Costs incurred for purchases from these companies, in the aggregate, were $3.9 million for the period from January 1, 2010 through October 12, 2010, $6.5 million for the year ended December 31, 2009 and $3.5 million for the period from June 13, 2008 through December 31, 2008. The Company had an aggregate outstanding accounts payable balance to these companies of $0.2 million at December 31, 2009. The Company did not have an outstanding accounts payable balance with Comverse or its Verint Systems subsidiary at December 31,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ind w:right="8460" w:firstLine="7"/>
        <w:spacing w:after="0" w:line="524" w:lineRule="auto"/>
        <w:tabs>
          <w:tab w:leader="none" w:pos="272"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Leases</w:t>
      </w:r>
    </w:p>
    <w:p>
      <w:pPr>
        <w:ind w:right="20" w:firstLine="282"/>
        <w:spacing w:after="0" w:line="297" w:lineRule="auto"/>
        <w:rPr>
          <w:sz w:val="20"/>
          <w:szCs w:val="20"/>
          <w:color w:val="auto"/>
        </w:rPr>
      </w:pPr>
      <w:r>
        <w:rPr>
          <w:rFonts w:ascii="Arial" w:cs="Arial" w:eastAsia="Arial" w:hAnsi="Arial"/>
          <w:sz w:val="13"/>
          <w:szCs w:val="13"/>
          <w:color w:val="auto"/>
        </w:rPr>
        <w:t>The Company leases its facilities under operating leases, which expire at various times through 2018. The Company is responsible for certain real estate taxes, utilities and maintenance costs under these leases. The Company's corporate headquarters is located in a leased facility in Westford, Massachusetts, consisting of 97,500 square feet under a lease that expires in August 2018. Sonus moved into this facility in December 2010. Escalation clauses, free rent and other lease concessions are recognized on a straight-line basis over the minimum lease term. Rent expense was $5.5 million in the year ended December 31, 2010, $5.6 million in the year ended December 31, 2009 and $5.2 million in the year ended December 31, 2008.</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81"/>
        </w:trPr>
        <w:tc>
          <w:tcPr>
            <w:tcW w:w="8160" w:type="dxa"/>
            <w:vAlign w:val="bottom"/>
            <w:gridSpan w:val="2"/>
          </w:tcPr>
          <w:p>
            <w:pPr>
              <w:spacing w:after="0"/>
              <w:rPr>
                <w:sz w:val="20"/>
                <w:szCs w:val="20"/>
                <w:color w:val="auto"/>
              </w:rPr>
            </w:pPr>
            <w:r>
              <w:rPr>
                <w:rFonts w:ascii="Arial" w:cs="Arial" w:eastAsia="Arial" w:hAnsi="Arial"/>
                <w:sz w:val="14"/>
                <w:szCs w:val="14"/>
                <w:color w:val="auto"/>
              </w:rPr>
              <w:t>Future minimum payments under operating lease arrangements as of December 31, 2010 are as follows (in thousands):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vMerge w:val="continue"/>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Years ending December 31,</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160" w:type="dxa"/>
            <w:vAlign w:val="bottom"/>
          </w:tcPr>
          <w:p>
            <w:pPr>
              <w:ind w:left="120"/>
              <w:spacing w:after="0"/>
              <w:rPr>
                <w:sz w:val="20"/>
                <w:szCs w:val="20"/>
                <w:color w:val="auto"/>
              </w:rPr>
            </w:pPr>
            <w:r>
              <w:rPr>
                <w:rFonts w:ascii="Arial" w:cs="Arial" w:eastAsia="Arial" w:hAnsi="Arial"/>
                <w:sz w:val="14"/>
                <w:szCs w:val="14"/>
                <w:color w:val="auto"/>
              </w:rPr>
              <w:t>2011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3,485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160" w:type="dxa"/>
            <w:vAlign w:val="bottom"/>
          </w:tcPr>
          <w:p>
            <w:pPr>
              <w:ind w:left="120"/>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2014</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160" w:type="dxa"/>
            <w:vAlign w:val="bottom"/>
          </w:tcPr>
          <w:p>
            <w:pPr>
              <w:ind w:left="120"/>
              <w:spacing w:after="0"/>
              <w:rPr>
                <w:sz w:val="20"/>
                <w:szCs w:val="20"/>
                <w:color w:val="auto"/>
              </w:rPr>
            </w:pPr>
            <w:r>
              <w:rPr>
                <w:rFonts w:ascii="Arial" w:cs="Arial" w:eastAsia="Arial" w:hAnsi="Arial"/>
                <w:sz w:val="14"/>
                <w:szCs w:val="14"/>
                <w:color w:val="auto"/>
              </w:rPr>
              <w:t>2015</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6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Thereafter</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18,185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2001 IPO Litigation</w:t>
      </w:r>
    </w:p>
    <w:p>
      <w:pPr>
        <w:spacing w:after="0" w:line="193" w:lineRule="exact"/>
        <w:rPr>
          <w:sz w:val="20"/>
          <w:szCs w:val="20"/>
          <w:color w:val="auto"/>
        </w:rPr>
      </w:pPr>
    </w:p>
    <w:p>
      <w:pPr>
        <w:ind w:firstLine="284"/>
        <w:spacing w:after="0" w:line="264" w:lineRule="auto"/>
        <w:rPr>
          <w:sz w:val="20"/>
          <w:szCs w:val="20"/>
          <w:color w:val="auto"/>
        </w:rPr>
      </w:pPr>
      <w:r>
        <w:rPr>
          <w:rFonts w:ascii="Arial" w:cs="Arial" w:eastAsia="Arial" w:hAnsi="Arial"/>
          <w:sz w:val="14"/>
          <w:szCs w:val="14"/>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The amended complaint, filed in April 2002,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 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55" w:lineRule="exact"/>
        <w:rPr>
          <w:sz w:val="20"/>
          <w:szCs w:val="20"/>
          <w:color w:val="auto"/>
        </w:rPr>
      </w:pPr>
    </w:p>
    <w:p>
      <w:pPr>
        <w:ind w:right="40" w:firstLine="284"/>
        <w:spacing w:after="0" w:line="289" w:lineRule="auto"/>
        <w:rPr>
          <w:sz w:val="20"/>
          <w:szCs w:val="20"/>
          <w:color w:val="auto"/>
        </w:rPr>
      </w:pPr>
      <w:r>
        <w:rPr>
          <w:rFonts w:ascii="Arial" w:cs="Arial" w:eastAsia="Arial" w:hAnsi="Arial"/>
          <w:sz w:val="14"/>
          <w:szCs w:val="14"/>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COMMITMENTS AND CONTINGENCIES (Continued)</w:t>
      </w:r>
    </w:p>
    <w:p>
      <w:pPr>
        <w:spacing w:after="0" w:line="200" w:lineRule="exact"/>
        <w:rPr>
          <w:sz w:val="20"/>
          <w:szCs w:val="20"/>
          <w:color w:val="auto"/>
        </w:rPr>
      </w:pPr>
    </w:p>
    <w:p>
      <w:pPr>
        <w:spacing w:after="0" w:line="364"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auto"/>
        </w:rPr>
        <w:t>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October 2004, the District Court certified the class in a case against certain defendants. On August 31, 2005, the District Court approved the terms of the proposed settlement.</w:t>
      </w:r>
    </w:p>
    <w:p>
      <w:pPr>
        <w:spacing w:after="0" w:line="189" w:lineRule="exact"/>
        <w:rPr>
          <w:sz w:val="20"/>
          <w:szCs w:val="20"/>
          <w:color w:val="auto"/>
        </w:rPr>
      </w:pPr>
    </w:p>
    <w:p>
      <w:pPr>
        <w:ind w:right="20" w:firstLine="284"/>
        <w:spacing w:after="0" w:line="270" w:lineRule="auto"/>
        <w:rPr>
          <w:sz w:val="20"/>
          <w:szCs w:val="20"/>
          <w:color w:val="auto"/>
        </w:rPr>
      </w:pPr>
      <w:r>
        <w:rPr>
          <w:rFonts w:ascii="Arial" w:cs="Arial" w:eastAsia="Arial" w:hAnsi="Arial"/>
          <w:sz w:val="14"/>
          <w:szCs w:val="14"/>
          <w:color w:val="auto"/>
        </w:rPr>
        <w:t>On December 5, 2006, the United States Court of Appeals for the Second Circuit (the "Second Circuit") reversed the District Court's October 2004 order certifying a class.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 granting plaintiffs' motion for final approval of the settlement, approval of the plan of distribution of a new settlement fund and certification of the settlement classes. An Order and Final Judgment was entered on January 14, 2010.</w:t>
      </w:r>
    </w:p>
    <w:p>
      <w:pPr>
        <w:spacing w:after="0" w:line="150" w:lineRule="exact"/>
        <w:rPr>
          <w:sz w:val="20"/>
          <w:szCs w:val="20"/>
          <w:color w:val="auto"/>
        </w:rPr>
      </w:pPr>
    </w:p>
    <w:p>
      <w:pPr>
        <w:ind w:firstLine="284"/>
        <w:spacing w:after="0" w:line="267" w:lineRule="auto"/>
        <w:rPr>
          <w:sz w:val="20"/>
          <w:szCs w:val="20"/>
          <w:color w:val="auto"/>
        </w:rPr>
      </w:pPr>
      <w:r>
        <w:rPr>
          <w:rFonts w:ascii="Arial" w:cs="Arial" w:eastAsia="Arial" w:hAnsi="Arial"/>
          <w:sz w:val="14"/>
          <w:szCs w:val="14"/>
          <w:color w:val="auto"/>
        </w:rPr>
        <w:t>On October 7, 2010, all but two parties who had filed a notice of appeal filed a stipulation with the Second Circuit withdrawing their appeals with prejudice, and one of the remaining objectors filed a brief in support of his appeal. On December 8, 2010, plaintiffs moved to dismiss with prejudice the appeal filed by one of the two appellants based on alleged violations of the Second Circuit's rules, including failure to serve, falsifying proofs of service, and failure to include citations to the record. The motion was fully briefed as of December 30, 2010, but the Second Circuit has not yet ruled on the motion. The filing of plaintiffs' motion tolled the deadline for appellees to file answering briefs on both appeals. If the District Court's order is upheld on appeal, the Company would have no material liability in connection with this litigation, and this litigation would be resolved.</w:t>
      </w:r>
    </w:p>
    <w:p>
      <w:pPr>
        <w:spacing w:after="0" w:line="154" w:lineRule="exact"/>
        <w:rPr>
          <w:sz w:val="20"/>
          <w:szCs w:val="20"/>
          <w:color w:val="auto"/>
        </w:rPr>
      </w:pPr>
    </w:p>
    <w:p>
      <w:pPr>
        <w:ind w:right="120" w:firstLine="284"/>
        <w:spacing w:after="0" w:line="265" w:lineRule="auto"/>
        <w:rPr>
          <w:sz w:val="20"/>
          <w:szCs w:val="20"/>
          <w:color w:val="auto"/>
        </w:rPr>
      </w:pPr>
      <w:r>
        <w:rPr>
          <w:rFonts w:ascii="Arial" w:cs="Arial" w:eastAsia="Arial" w:hAnsi="Arial"/>
          <w:sz w:val="14"/>
          <w:szCs w:val="14"/>
          <w:color w:val="auto"/>
        </w:rPr>
        <w:t>On October 5, 2007, Vanessa Simmonds, a purported shareholder,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On March 12, 2009, the Western District Court entered its judgment in the case and granted the moving issuers' motion to dismiss, finding plaintiff's demand letters were insufficient to put the issuers on notice of the claims asserted against them. The Western District Court also granted the underwriters' motion to dismiss as to the claims arising from the non-moving issuers' IPOs, finding plaintiff's claims were time-barred under the applicable statute of limitations.</w:t>
      </w:r>
    </w:p>
    <w:p>
      <w:pPr>
        <w:spacing w:after="0" w:line="155" w:lineRule="exact"/>
        <w:rPr>
          <w:sz w:val="20"/>
          <w:szCs w:val="20"/>
          <w:color w:val="auto"/>
        </w:rPr>
      </w:pPr>
    </w:p>
    <w:p>
      <w:pPr>
        <w:ind w:right="220" w:firstLine="284"/>
        <w:spacing w:after="0" w:line="270" w:lineRule="auto"/>
        <w:rPr>
          <w:sz w:val="20"/>
          <w:szCs w:val="20"/>
          <w:color w:val="auto"/>
        </w:rPr>
      </w:pPr>
      <w:r>
        <w:rPr>
          <w:rFonts w:ascii="Arial" w:cs="Arial" w:eastAsia="Arial" w:hAnsi="Arial"/>
          <w:sz w:val="14"/>
          <w:szCs w:val="14"/>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COMMITMENTS AND CONTINGENCIES (Continued)</w:t>
      </w:r>
    </w:p>
    <w:p>
      <w:pPr>
        <w:spacing w:after="0" w:line="200" w:lineRule="exact"/>
        <w:rPr>
          <w:sz w:val="20"/>
          <w:szCs w:val="20"/>
          <w:color w:val="auto"/>
        </w:rPr>
      </w:pPr>
    </w:p>
    <w:p>
      <w:pPr>
        <w:spacing w:after="0" w:line="364"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applicable statute of limitations. In remanding, the Ninth Circuit advised the non-moving issuers and underwriters to file in the Western District Court the same challenges to plaintiff's demand letters that moving issuers had filed.</w:t>
      </w:r>
    </w:p>
    <w:p>
      <w:pPr>
        <w:spacing w:after="0" w:line="137" w:lineRule="exact"/>
        <w:rPr>
          <w:sz w:val="20"/>
          <w:szCs w:val="20"/>
          <w:color w:val="auto"/>
        </w:rPr>
      </w:pPr>
    </w:p>
    <w:p>
      <w:pPr>
        <w:ind w:right="240" w:firstLine="284"/>
        <w:spacing w:after="0" w:line="267" w:lineRule="auto"/>
        <w:rPr>
          <w:sz w:val="20"/>
          <w:szCs w:val="20"/>
          <w:color w:val="auto"/>
        </w:rPr>
      </w:pPr>
      <w:r>
        <w:rPr>
          <w:rFonts w:ascii="Arial" w:cs="Arial" w:eastAsia="Arial" w:hAnsi="Arial"/>
          <w:sz w:val="14"/>
          <w:szCs w:val="14"/>
          <w:color w:val="auto"/>
        </w:rPr>
        <w:t>On January 18, 2011, the Ninth Circuit denied all petitions for rehearing and petitions for rehearing en banc. On January 25, 2011, the Ninth Circuit granted the underwriters' motion to stay the issuance of mandate and ordered that the mandate in the cases involving the non-moving issuers is stayed for ninety days pending the filing of a petition for writ of certiorari in the United States Supreme Court. On January 26, 2011, the Ninth Circuit granted the appellant's motion and ruled that the mandate in all cases (including the Company's and other moving issuers) is stayed for ninety days pending the appellant's filing of a petition for writ of certiorari in the United States Supreme Court. The Company currently believes that the outcome of this litigation will not have a material adverse impact on its financial position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193" w:lineRule="exact"/>
        <w:rPr>
          <w:sz w:val="20"/>
          <w:szCs w:val="20"/>
          <w:color w:val="auto"/>
        </w:rPr>
      </w:pPr>
    </w:p>
    <w:p>
      <w:pPr>
        <w:ind w:right="80" w:firstLine="284"/>
        <w:spacing w:after="0" w:line="289" w:lineRule="auto"/>
        <w:rPr>
          <w:sz w:val="20"/>
          <w:szCs w:val="20"/>
          <w:color w:val="auto"/>
        </w:rPr>
      </w:pPr>
      <w:r>
        <w:rPr>
          <w:rFonts w:ascii="Arial" w:cs="Arial" w:eastAsia="Arial" w:hAnsi="Arial"/>
          <w:sz w:val="14"/>
          <w:szCs w:val="14"/>
          <w:color w:val="auto"/>
        </w:rPr>
        <w:t>In addition, we are often a party to disputes and legal proceedings that we consider routine and incidental to our business. Management does not expect the results of any of these actions to have a material adverse effect on our business, results of operations or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QUARTERLY RESULTS (UNAUDITED)</w:t>
      </w:r>
    </w:p>
    <w:p>
      <w:pPr>
        <w:spacing w:after="0" w:line="193" w:lineRule="exact"/>
        <w:rPr>
          <w:sz w:val="20"/>
          <w:szCs w:val="20"/>
          <w:color w:val="auto"/>
        </w:rPr>
      </w:pPr>
    </w:p>
    <w:p>
      <w:pPr>
        <w:ind w:right="340" w:firstLine="282"/>
        <w:spacing w:after="0" w:line="305" w:lineRule="auto"/>
        <w:rPr>
          <w:sz w:val="20"/>
          <w:szCs w:val="20"/>
          <w:color w:val="auto"/>
        </w:rPr>
      </w:pPr>
      <w:r>
        <w:rPr>
          <w:rFonts w:ascii="Arial" w:cs="Arial" w:eastAsia="Arial" w:hAnsi="Arial"/>
          <w:sz w:val="13"/>
          <w:szCs w:val="13"/>
          <w:color w:val="auto"/>
        </w:rPr>
        <w:t>The following tables present the Company's quarterly operating results for the years ended December 31, 2010 and 2009. The information for each of these quarters is unaudited and has been prepared on the same basis as the audited consolidated financial statements. In the opinion of management, all necessary adjustments, consisting only of normal recurring adjustments, have been included to present fairly the unaudited consolidated quarterly results when read in conjunction with the Company's audited consolidated financial statements and related notes.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85"/>
              <w:spacing w:after="0"/>
              <w:rPr>
                <w:sz w:val="20"/>
                <w:szCs w:val="20"/>
                <w:color w:val="auto"/>
              </w:rPr>
            </w:pPr>
            <w:r>
              <w:rPr>
                <w:rFonts w:ascii="Arial" w:cs="Arial" w:eastAsia="Arial" w:hAnsi="Arial"/>
                <w:sz w:val="11"/>
                <w:szCs w:val="11"/>
                <w:b w:val="1"/>
                <w:bCs w:val="1"/>
                <w:color w:val="auto"/>
              </w:rPr>
              <w:t>First</w:t>
            </w:r>
          </w:p>
        </w:tc>
        <w:tc>
          <w:tcPr>
            <w:tcW w:w="100" w:type="dxa"/>
            <w:vAlign w:val="bottom"/>
          </w:tcPr>
          <w:p>
            <w:pPr>
              <w:spacing w:after="0"/>
              <w:rPr>
                <w:sz w:val="10"/>
                <w:szCs w:val="10"/>
                <w:color w:val="auto"/>
              </w:rPr>
            </w:pPr>
          </w:p>
        </w:tc>
        <w:tc>
          <w:tcPr>
            <w:tcW w:w="540" w:type="dxa"/>
            <w:vAlign w:val="bottom"/>
          </w:tcPr>
          <w:p>
            <w:pPr>
              <w:jc w:val="right"/>
              <w:ind w:right="92"/>
              <w:spacing w:after="0"/>
              <w:rPr>
                <w:sz w:val="20"/>
                <w:szCs w:val="20"/>
                <w:color w:val="auto"/>
              </w:rPr>
            </w:pPr>
            <w:r>
              <w:rPr>
                <w:rFonts w:ascii="Arial" w:cs="Arial" w:eastAsia="Arial" w:hAnsi="Arial"/>
                <w:sz w:val="11"/>
                <w:szCs w:val="11"/>
                <w:b w:val="1"/>
                <w:bCs w:val="1"/>
                <w:color w:val="auto"/>
                <w:w w:val="90"/>
              </w:rPr>
              <w:t>Second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Third</w:t>
            </w:r>
          </w:p>
        </w:tc>
        <w:tc>
          <w:tcPr>
            <w:tcW w:w="100" w:type="dxa"/>
            <w:vAlign w:val="bottom"/>
          </w:tcPr>
          <w:p>
            <w:pPr>
              <w:spacing w:after="0"/>
              <w:rPr>
                <w:sz w:val="10"/>
                <w:szCs w:val="10"/>
                <w:color w:val="auto"/>
              </w:rPr>
            </w:pPr>
          </w:p>
        </w:tc>
        <w:tc>
          <w:tcPr>
            <w:tcW w:w="1820" w:type="dxa"/>
            <w:vAlign w:val="bottom"/>
            <w:gridSpan w:val="3"/>
          </w:tcPr>
          <w:p>
            <w:pPr>
              <w:ind w:left="60"/>
              <w:spacing w:after="0"/>
              <w:rPr>
                <w:sz w:val="20"/>
                <w:szCs w:val="20"/>
                <w:color w:val="auto"/>
              </w:rPr>
            </w:pPr>
            <w:r>
              <w:rPr>
                <w:rFonts w:ascii="Arial" w:cs="Arial" w:eastAsia="Arial" w:hAnsi="Arial"/>
                <w:sz w:val="11"/>
                <w:szCs w:val="11"/>
                <w:b w:val="1"/>
                <w:bCs w:val="1"/>
                <w:color w:val="auto"/>
              </w:rPr>
              <w:t>Fourth</w:t>
            </w: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w w:val="95"/>
              </w:rPr>
              <w:t>Quarter</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w w:val="95"/>
              </w:rPr>
              <w:t>Quarter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Quarter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Quarter</w:t>
            </w:r>
          </w:p>
        </w:tc>
        <w:tc>
          <w:tcPr>
            <w:tcW w:w="1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1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jc w:val="right"/>
              <w:spacing w:after="0" w:line="111" w:lineRule="exact"/>
              <w:rPr>
                <w:sz w:val="20"/>
                <w:szCs w:val="20"/>
                <w:color w:val="auto"/>
              </w:rPr>
            </w:pPr>
            <w:r>
              <w:rPr>
                <w:rFonts w:ascii="Arial" w:cs="Arial" w:eastAsia="Arial" w:hAnsi="Arial"/>
                <w:sz w:val="11"/>
                <w:szCs w:val="11"/>
                <w:b w:val="1"/>
                <w:bCs w:val="1"/>
                <w:color w:val="auto"/>
                <w:w w:val="74"/>
              </w:rPr>
              <w:t>(In</w:t>
            </w:r>
          </w:p>
        </w:tc>
        <w:tc>
          <w:tcPr>
            <w:tcW w:w="1620" w:type="dxa"/>
            <w:vAlign w:val="bottom"/>
            <w:gridSpan w:val="7"/>
          </w:tcPr>
          <w:p>
            <w:pPr>
              <w:spacing w:after="0" w:line="111" w:lineRule="exact"/>
              <w:rPr>
                <w:sz w:val="20"/>
                <w:szCs w:val="20"/>
                <w:color w:val="auto"/>
              </w:rPr>
            </w:pPr>
            <w:r>
              <w:rPr>
                <w:rFonts w:ascii="Arial" w:cs="Arial" w:eastAsia="Arial" w:hAnsi="Arial"/>
                <w:sz w:val="11"/>
                <w:szCs w:val="11"/>
                <w:b w:val="1"/>
                <w:bCs w:val="1"/>
                <w:color w:val="auto"/>
                <w:w w:val="89"/>
              </w:rPr>
              <w:t>thousands, except per share data)</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Fiscal 2010</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Revenue</w:t>
            </w:r>
          </w:p>
        </w:tc>
        <w:tc>
          <w:tcPr>
            <w:tcW w:w="2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62,408</w:t>
            </w:r>
          </w:p>
        </w:tc>
        <w:tc>
          <w:tcPr>
            <w:tcW w:w="1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61,181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42,739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82,979</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revenue</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30,296</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3760" w:type="dxa"/>
            <w:vAlign w:val="bottom"/>
            <w:vMerge w:val="restart"/>
          </w:tcPr>
          <w:p>
            <w:pPr>
              <w:ind w:left="100"/>
              <w:spacing w:after="0"/>
              <w:rPr>
                <w:sz w:val="20"/>
                <w:szCs w:val="20"/>
                <w:color w:val="auto"/>
              </w:rPr>
            </w:pPr>
            <w:r>
              <w:rPr>
                <w:rFonts w:ascii="Arial" w:cs="Arial" w:eastAsia="Arial" w:hAnsi="Arial"/>
                <w:sz w:val="14"/>
                <w:szCs w:val="14"/>
                <w:color w:val="auto"/>
              </w:rPr>
              <w:t>Gross profit</w:t>
            </w:r>
          </w:p>
        </w:tc>
        <w:tc>
          <w:tcPr>
            <w:tcW w:w="2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38,178</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38,513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23,778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52,683</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3760" w:type="dxa"/>
            <w:vAlign w:val="bottom"/>
            <w:shd w:val="clear" w:color="auto" w:fill="CCEEFF"/>
          </w:tcPr>
          <w:p>
            <w:pPr>
              <w:ind w:left="100"/>
              <w:spacing w:after="0" w:line="156" w:lineRule="exact"/>
              <w:rPr>
                <w:sz w:val="20"/>
                <w:szCs w:val="20"/>
                <w:color w:val="auto"/>
              </w:rPr>
            </w:pPr>
            <w:r>
              <w:rPr>
                <w:rFonts w:ascii="Arial" w:cs="Arial" w:eastAsia="Arial" w:hAnsi="Arial"/>
                <w:sz w:val="14"/>
                <w:szCs w:val="14"/>
                <w:color w:val="auto"/>
              </w:rPr>
              <w:t>Income (loss) from operations</w:t>
            </w:r>
          </w:p>
        </w:tc>
        <w:tc>
          <w:tcPr>
            <w:tcW w:w="244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5"/>
              <w:spacing w:after="0" w:line="156" w:lineRule="exact"/>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44</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(22,555)</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11,452</w:t>
            </w:r>
          </w:p>
        </w:tc>
        <w:tc>
          <w:tcPr>
            <w:tcW w:w="14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2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5"/>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(22,278)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11,410</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Earnings (loss) per share(1):</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tcPr>
          <w:p>
            <w:pPr>
              <w:ind w:left="220"/>
              <w:spacing w:after="0"/>
              <w:rPr>
                <w:sz w:val="20"/>
                <w:szCs w:val="20"/>
                <w:color w:val="auto"/>
              </w:rPr>
            </w:pPr>
            <w:r>
              <w:rPr>
                <w:rFonts w:ascii="Arial" w:cs="Arial" w:eastAsia="Arial" w:hAnsi="Arial"/>
                <w:sz w:val="14"/>
                <w:szCs w:val="14"/>
                <w:color w:val="auto"/>
              </w:rPr>
              <w:t>Basic</w:t>
            </w:r>
          </w:p>
        </w:tc>
        <w:tc>
          <w:tcPr>
            <w:tcW w:w="2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(0.08)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5"/>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Shares used in computing earnings (loss) per share:</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274,701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276,659</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3760" w:type="dxa"/>
            <w:vAlign w:val="bottom"/>
          </w:tcPr>
          <w:p>
            <w:pPr>
              <w:ind w:left="220"/>
              <w:spacing w:after="0"/>
              <w:rPr>
                <w:sz w:val="20"/>
                <w:szCs w:val="20"/>
                <w:color w:val="auto"/>
              </w:rPr>
            </w:pPr>
            <w:r>
              <w:rPr>
                <w:rFonts w:ascii="Arial" w:cs="Arial" w:eastAsia="Arial" w:hAnsi="Arial"/>
                <w:sz w:val="14"/>
                <w:szCs w:val="14"/>
                <w:color w:val="auto"/>
              </w:rPr>
              <w:t>Diluted</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274,701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276,314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275,412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278,096</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40" w:type="dxa"/>
            <w:vAlign w:val="bottom"/>
          </w:tcPr>
          <w:p>
            <w:pPr>
              <w:jc w:val="right"/>
              <w:ind w:right="1389"/>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Borders>
              <w:bottom w:val="single" w:sz="8" w:color="808080"/>
            </w:tcBorders>
          </w:tcPr>
          <w:p>
            <w:pPr>
              <w:spacing w:after="0"/>
              <w:rPr>
                <w:sz w:val="15"/>
                <w:szCs w:val="15"/>
                <w:color w:val="auto"/>
              </w:rPr>
            </w:pPr>
          </w:p>
        </w:tc>
        <w:tc>
          <w:tcPr>
            <w:tcW w:w="3760" w:type="dxa"/>
            <w:vAlign w:val="bottom"/>
            <w:tcBorders>
              <w:bottom w:val="single" w:sz="8" w:color="808080"/>
            </w:tcBorders>
          </w:tcPr>
          <w:p>
            <w:pPr>
              <w:spacing w:after="0"/>
              <w:rPr>
                <w:sz w:val="15"/>
                <w:szCs w:val="15"/>
                <w:color w:val="auto"/>
              </w:rPr>
            </w:pPr>
          </w:p>
        </w:tc>
        <w:tc>
          <w:tcPr>
            <w:tcW w:w="23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SONUS NETWORKS,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QUARTERLY RESULTS (UNAUDITED) (Continued)</w:t>
      </w:r>
    </w:p>
    <w:p>
      <w:pPr>
        <w:spacing w:after="0" w:line="200" w:lineRule="exact"/>
        <w:rPr>
          <w:sz w:val="20"/>
          <w:szCs w:val="20"/>
          <w:color w:val="auto"/>
        </w:rPr>
      </w:pPr>
    </w:p>
    <w:p>
      <w:pPr>
        <w:spacing w:after="0" w:line="333"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7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85"/>
              <w:spacing w:after="0"/>
              <w:rPr>
                <w:sz w:val="20"/>
                <w:szCs w:val="20"/>
                <w:color w:val="auto"/>
              </w:rPr>
            </w:pPr>
            <w:r>
              <w:rPr>
                <w:rFonts w:ascii="Arial" w:cs="Arial" w:eastAsia="Arial" w:hAnsi="Arial"/>
                <w:sz w:val="11"/>
                <w:szCs w:val="11"/>
                <w:b w:val="1"/>
                <w:bCs w:val="1"/>
                <w:color w:val="auto"/>
              </w:rPr>
              <w:t>First</w:t>
            </w:r>
          </w:p>
        </w:tc>
        <w:tc>
          <w:tcPr>
            <w:tcW w:w="100" w:type="dxa"/>
            <w:vAlign w:val="bottom"/>
          </w:tcPr>
          <w:p>
            <w:pPr>
              <w:spacing w:after="0"/>
              <w:rPr>
                <w:sz w:val="10"/>
                <w:szCs w:val="10"/>
                <w:color w:val="auto"/>
              </w:rPr>
            </w:pPr>
          </w:p>
        </w:tc>
        <w:tc>
          <w:tcPr>
            <w:tcW w:w="540" w:type="dxa"/>
            <w:vAlign w:val="bottom"/>
          </w:tcPr>
          <w:p>
            <w:pPr>
              <w:jc w:val="right"/>
              <w:ind w:right="92"/>
              <w:spacing w:after="0"/>
              <w:rPr>
                <w:sz w:val="20"/>
                <w:szCs w:val="20"/>
                <w:color w:val="auto"/>
              </w:rPr>
            </w:pPr>
            <w:r>
              <w:rPr>
                <w:rFonts w:ascii="Arial" w:cs="Arial" w:eastAsia="Arial" w:hAnsi="Arial"/>
                <w:sz w:val="11"/>
                <w:szCs w:val="11"/>
                <w:b w:val="1"/>
                <w:bCs w:val="1"/>
                <w:color w:val="auto"/>
                <w:w w:val="90"/>
              </w:rPr>
              <w:t>Second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Third</w:t>
            </w:r>
          </w:p>
        </w:tc>
        <w:tc>
          <w:tcPr>
            <w:tcW w:w="10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Fourth</w:t>
            </w: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w w:val="95"/>
              </w:rPr>
              <w:t>Quarter</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w w:val="95"/>
              </w:rPr>
              <w:t>Quarter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Quarter</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Quarter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7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jc w:val="right"/>
              <w:spacing w:after="0" w:line="111" w:lineRule="exact"/>
              <w:rPr>
                <w:sz w:val="20"/>
                <w:szCs w:val="20"/>
                <w:color w:val="auto"/>
              </w:rPr>
            </w:pPr>
            <w:r>
              <w:rPr>
                <w:rFonts w:ascii="Arial" w:cs="Arial" w:eastAsia="Arial" w:hAnsi="Arial"/>
                <w:sz w:val="11"/>
                <w:szCs w:val="11"/>
                <w:b w:val="1"/>
                <w:bCs w:val="1"/>
                <w:color w:val="auto"/>
                <w:w w:val="74"/>
              </w:rPr>
              <w:t>(In</w:t>
            </w:r>
          </w:p>
        </w:tc>
        <w:tc>
          <w:tcPr>
            <w:tcW w:w="1620" w:type="dxa"/>
            <w:vAlign w:val="bottom"/>
            <w:gridSpan w:val="7"/>
          </w:tcPr>
          <w:p>
            <w:pPr>
              <w:spacing w:after="0" w:line="111" w:lineRule="exact"/>
              <w:rPr>
                <w:sz w:val="20"/>
                <w:szCs w:val="20"/>
                <w:color w:val="auto"/>
              </w:rPr>
            </w:pPr>
            <w:r>
              <w:rPr>
                <w:rFonts w:ascii="Arial" w:cs="Arial" w:eastAsia="Arial" w:hAnsi="Arial"/>
                <w:sz w:val="11"/>
                <w:szCs w:val="11"/>
                <w:b w:val="1"/>
                <w:bCs w:val="1"/>
                <w:color w:val="auto"/>
                <w:w w:val="89"/>
              </w:rPr>
              <w:t>thousands, except per share data)</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Fiscal 2009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ind w:left="100"/>
              <w:spacing w:after="0"/>
              <w:rPr>
                <w:sz w:val="20"/>
                <w:szCs w:val="20"/>
                <w:color w:val="auto"/>
              </w:rPr>
            </w:pPr>
            <w:r>
              <w:rPr>
                <w:rFonts w:ascii="Arial" w:cs="Arial" w:eastAsia="Arial" w:hAnsi="Arial"/>
                <w:sz w:val="14"/>
                <w:szCs w:val="14"/>
                <w:color w:val="auto"/>
              </w:rPr>
              <w:t>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41,012</w:t>
            </w:r>
          </w:p>
        </w:tc>
        <w:tc>
          <w:tcPr>
            <w:tcW w:w="1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61,607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56,165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68,712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100" w:type="dxa"/>
            <w:vAlign w:val="bottom"/>
            <w:gridSpan w:val="2"/>
            <w:vMerge w:val="restart"/>
          </w:tcPr>
          <w:p>
            <w:pPr>
              <w:ind w:left="100"/>
              <w:spacing w:after="0"/>
              <w:rPr>
                <w:sz w:val="20"/>
                <w:szCs w:val="20"/>
                <w:color w:val="auto"/>
              </w:rPr>
            </w:pPr>
            <w:r>
              <w:rPr>
                <w:rFonts w:ascii="Arial" w:cs="Arial" w:eastAsia="Arial" w:hAnsi="Arial"/>
                <w:sz w:val="14"/>
                <w:szCs w:val="14"/>
                <w:color w:val="auto"/>
              </w:rPr>
              <w:t>Gross profit</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100" w:type="dxa"/>
            <w:vAlign w:val="bottom"/>
            <w:gridSpan w:val="2"/>
            <w:vMerge w:val="continue"/>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23,215</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40,292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35,250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45,379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gridSpan w:val="2"/>
            <w:shd w:val="clear" w:color="auto" w:fill="CCEEFF"/>
          </w:tcPr>
          <w:p>
            <w:pPr>
              <w:ind w:left="100"/>
              <w:spacing w:after="0" w:line="156" w:lineRule="exact"/>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5"/>
              <w:spacing w:after="0" w:line="156" w:lineRule="exact"/>
              <w:rPr>
                <w:sz w:val="20"/>
                <w:szCs w:val="20"/>
                <w:color w:val="auto"/>
              </w:rPr>
            </w:pPr>
            <w:r>
              <w:rPr>
                <w:rFonts w:ascii="Arial" w:cs="Arial" w:eastAsia="Arial" w:hAnsi="Arial"/>
                <w:sz w:val="14"/>
                <w:szCs w:val="14"/>
                <w:color w:val="auto"/>
              </w:rPr>
              <w:t>(17,764)</w:t>
            </w:r>
          </w:p>
        </w:tc>
        <w:tc>
          <w:tcPr>
            <w:tcW w:w="1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2,268</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(3,529)</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7,641</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ind w:left="10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5"/>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(3,397)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10,309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Earnings (loss) per share(1):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5"/>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(0.01)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5"/>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tcPr>
          <w:p>
            <w:pPr>
              <w:ind w:left="100"/>
              <w:spacing w:after="0"/>
              <w:rPr>
                <w:sz w:val="20"/>
                <w:szCs w:val="20"/>
                <w:color w:val="auto"/>
              </w:rPr>
            </w:pPr>
            <w:r>
              <w:rPr>
                <w:rFonts w:ascii="Arial" w:cs="Arial" w:eastAsia="Arial" w:hAnsi="Arial"/>
                <w:sz w:val="14"/>
                <w:szCs w:val="14"/>
                <w:color w:val="auto"/>
              </w:rPr>
              <w:t>Shares used in computing earnings (loss) per share: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273,095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274,359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0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273,095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273,768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273,907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275,152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70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1580" w:hanging="427"/>
        <w:spacing w:after="0" w:line="289" w:lineRule="auto"/>
        <w:tabs>
          <w:tab w:leader="none" w:pos="1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income (loss) per share is calculated independently for each of the quarters presented; accordingly, the sum of the quarterly net income (loss) per share may not equal the total calculated for the year.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None.</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93" w:lineRule="exact"/>
        <w:rPr>
          <w:sz w:val="20"/>
          <w:szCs w:val="20"/>
          <w:color w:val="auto"/>
        </w:rPr>
      </w:pPr>
    </w:p>
    <w:p>
      <w:pPr>
        <w:jc w:val="both"/>
        <w:ind w:right="340" w:firstLine="284"/>
        <w:spacing w:after="0" w:line="305" w:lineRule="auto"/>
        <w:rPr>
          <w:sz w:val="20"/>
          <w:szCs w:val="20"/>
          <w:color w:val="auto"/>
        </w:rPr>
      </w:pPr>
      <w:r>
        <w:rPr>
          <w:rFonts w:ascii="Arial" w:cs="Arial" w:eastAsia="Arial" w:hAnsi="Arial"/>
          <w:sz w:val="13"/>
          <w:szCs w:val="13"/>
          <w:color w:val="auto"/>
        </w:rPr>
        <w:t>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Annual Report on Form 10-K. Based on this evaluation, our principal executive officer and principal financial officer concluded that our disclosure controls and procedures were effective as of December 31, 2010.</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93" w:lineRule="exact"/>
        <w:rPr>
          <w:sz w:val="20"/>
          <w:szCs w:val="20"/>
          <w:color w:val="auto"/>
        </w:rPr>
      </w:pPr>
    </w:p>
    <w:p>
      <w:pPr>
        <w:ind w:right="260" w:firstLine="284"/>
        <w:spacing w:after="0" w:line="275"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146" w:lineRule="exact"/>
        <w:rPr>
          <w:sz w:val="20"/>
          <w:szCs w:val="20"/>
          <w:color w:val="auto"/>
        </w:rPr>
      </w:pPr>
    </w:p>
    <w:p>
      <w:pPr>
        <w:ind w:firstLine="284"/>
        <w:spacing w:after="0" w:line="275" w:lineRule="auto"/>
        <w:rPr>
          <w:sz w:val="20"/>
          <w:szCs w:val="20"/>
          <w:color w:val="auto"/>
        </w:rPr>
      </w:pPr>
      <w:r>
        <w:rPr>
          <w:rFonts w:ascii="Arial" w:cs="Arial" w:eastAsia="Arial" w:hAnsi="Arial"/>
          <w:sz w:val="14"/>
          <w:szCs w:val="14"/>
          <w:color w:val="auto"/>
        </w:rPr>
        <w:t xml:space="preserve">Our management assessed the effectiveness of our internal control over financial reporting as of December 31, 2010. In making its assessment of internal control over financial reporting, our management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this assessment, management concluded that, as of December 31, 2010, our internal control over financial reporting is effective.</w:t>
      </w:r>
    </w:p>
    <w:p>
      <w:pPr>
        <w:spacing w:after="0" w:line="146" w:lineRule="exact"/>
        <w:rPr>
          <w:sz w:val="20"/>
          <w:szCs w:val="20"/>
          <w:color w:val="auto"/>
        </w:rPr>
      </w:pPr>
    </w:p>
    <w:p>
      <w:pPr>
        <w:ind w:right="240" w:firstLine="284"/>
        <w:spacing w:after="0" w:line="289" w:lineRule="auto"/>
        <w:rPr>
          <w:sz w:val="20"/>
          <w:szCs w:val="20"/>
          <w:color w:val="auto"/>
        </w:rPr>
      </w:pPr>
      <w:r>
        <w:rPr>
          <w:rFonts w:ascii="Arial" w:cs="Arial" w:eastAsia="Arial" w:hAnsi="Arial"/>
          <w:sz w:val="14"/>
          <w:szCs w:val="14"/>
          <w:color w:val="auto"/>
        </w:rPr>
        <w:t>Deloitte &amp; Touche LLP, an independent registered public accounting firm that audited our financial statements included in this Annual Report, has issued an attestation report on management's internal control over financial reporting, which is included in this Item 9A under the caption "Report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93" w:lineRule="exact"/>
        <w:rPr>
          <w:sz w:val="20"/>
          <w:szCs w:val="20"/>
          <w:color w:val="auto"/>
        </w:rPr>
      </w:pPr>
    </w:p>
    <w:p>
      <w:pPr>
        <w:ind w:right="80" w:firstLine="282"/>
        <w:spacing w:after="0" w:line="289" w:lineRule="auto"/>
        <w:rPr>
          <w:sz w:val="20"/>
          <w:szCs w:val="20"/>
          <w:color w:val="auto"/>
        </w:rPr>
      </w:pPr>
      <w:r>
        <w:rPr>
          <w:rFonts w:ascii="Arial" w:cs="Arial" w:eastAsia="Arial" w:hAnsi="Arial"/>
          <w:sz w:val="14"/>
          <w:szCs w:val="14"/>
          <w:color w:val="auto"/>
        </w:rPr>
        <w:t>There have been no changes in our internal control over financial reporting (as defined in Rule 13a-15(f) under the Securities Exchange Act of 1934) during the fiscal quarter ended December 31, 2010 that have materially affected, or are reasonably likely to materially affect, our internal control over financial reporting.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Sonus Networks,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Westford, Massachusetts</w:t>
      </w:r>
    </w:p>
    <w:p>
      <w:pPr>
        <w:spacing w:after="0" w:line="183" w:lineRule="exact"/>
        <w:rPr>
          <w:sz w:val="20"/>
          <w:szCs w:val="20"/>
          <w:color w:val="auto"/>
        </w:rPr>
      </w:pPr>
    </w:p>
    <w:p>
      <w:pPr>
        <w:ind w:firstLine="282"/>
        <w:spacing w:after="0" w:line="297" w:lineRule="auto"/>
        <w:rPr>
          <w:sz w:val="20"/>
          <w:szCs w:val="20"/>
          <w:color w:val="auto"/>
        </w:rPr>
      </w:pPr>
      <w:r>
        <w:rPr>
          <w:rFonts w:ascii="Arial" w:cs="Arial" w:eastAsia="Arial" w:hAnsi="Arial"/>
          <w:sz w:val="13"/>
          <w:szCs w:val="13"/>
          <w:color w:val="auto"/>
        </w:rPr>
        <w:t xml:space="preserve">We have audited the internal control over financial reporting of Sonus Networks, Inc. and subsidiaries (the "Company") as of December 31, 2010, based on criteria established in </w:t>
      </w:r>
      <w:r>
        <w:rPr>
          <w:rFonts w:ascii="Arial" w:cs="Arial" w:eastAsia="Arial" w:hAnsi="Arial"/>
          <w:sz w:val="13"/>
          <w:szCs w:val="13"/>
          <w:i w:val="1"/>
          <w:iCs w:val="1"/>
          <w:color w:val="auto"/>
        </w:rPr>
        <w:t>Internal Control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w:t>
      </w:r>
      <w:r>
        <w:rPr>
          <w:rFonts w:ascii="Arial" w:cs="Arial" w:eastAsia="Arial" w:hAnsi="Arial"/>
          <w:sz w:val="13"/>
          <w:szCs w:val="13"/>
          <w:color w:val="auto"/>
        </w:rPr>
        <w:t>issued by the Committee of Sponsoring Organizations of the Treadway Commission. The Company's management is responsible for maintaining effective internal control over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34" w:lineRule="exact"/>
        <w:rPr>
          <w:sz w:val="20"/>
          <w:szCs w:val="20"/>
          <w:color w:val="auto"/>
        </w:rPr>
      </w:pPr>
    </w:p>
    <w:p>
      <w:pPr>
        <w:ind w:right="20" w:firstLine="282"/>
        <w:spacing w:after="0" w:line="29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ind w:firstLine="276"/>
        <w:spacing w:after="0" w:line="289"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jc w:val="both"/>
        <w:ind w:right="120" w:firstLine="284"/>
        <w:spacing w:after="0" w:line="305"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29" w:lineRule="exact"/>
        <w:rPr>
          <w:sz w:val="20"/>
          <w:szCs w:val="20"/>
          <w:color w:val="auto"/>
        </w:rPr>
      </w:pPr>
    </w:p>
    <w:p>
      <w:pPr>
        <w:ind w:right="40" w:firstLine="284"/>
        <w:spacing w:after="0" w:line="289" w:lineRule="auto"/>
        <w:rPr>
          <w:sz w:val="20"/>
          <w:szCs w:val="20"/>
          <w:color w:val="auto"/>
        </w:rPr>
      </w:pPr>
      <w:r>
        <w:rPr>
          <w:rFonts w:ascii="Arial" w:cs="Arial" w:eastAsia="Arial" w:hAnsi="Arial"/>
          <w:sz w:val="14"/>
          <w:szCs w:val="14"/>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4"/>
          <w:szCs w:val="14"/>
          <w:i w:val="1"/>
          <w:iCs w:val="1"/>
          <w:color w:val="auto"/>
        </w:rPr>
        <w:t>Internal Control—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Integrated Framework </w:t>
      </w:r>
      <w:r>
        <w:rPr>
          <w:rFonts w:ascii="Arial" w:cs="Arial" w:eastAsia="Arial" w:hAnsi="Arial"/>
          <w:sz w:val="14"/>
          <w:szCs w:val="14"/>
          <w:color w:val="auto"/>
        </w:rPr>
        <w:t>issued by the Committee of Sponsoring Organizations of the Treadway Commission.</w:t>
      </w:r>
    </w:p>
    <w:p>
      <w:pPr>
        <w:spacing w:after="0" w:line="137" w:lineRule="exact"/>
        <w:rPr>
          <w:sz w:val="20"/>
          <w:szCs w:val="20"/>
          <w:color w:val="auto"/>
        </w:rPr>
      </w:pPr>
    </w:p>
    <w:p>
      <w:pPr>
        <w:ind w:right="300" w:firstLine="282"/>
        <w:spacing w:after="0" w:line="289"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the consolidated financial statements as of and for the year ended December 31, 2010 of the Company and our report dated March 10, 2011 expressed an unqualified opinion on those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March 10, 2011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132" w:right="25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 applicable.</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PART III</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193" w:lineRule="exact"/>
        <w:rPr>
          <w:sz w:val="20"/>
          <w:szCs w:val="20"/>
          <w:color w:val="auto"/>
        </w:rPr>
      </w:pPr>
    </w:p>
    <w:p>
      <w:pPr>
        <w:ind w:firstLine="282"/>
        <w:spacing w:after="0" w:line="275" w:lineRule="auto"/>
        <w:rPr>
          <w:sz w:val="20"/>
          <w:szCs w:val="20"/>
          <w:color w:val="auto"/>
        </w:rPr>
      </w:pPr>
      <w:r>
        <w:rPr>
          <w:rFonts w:ascii="Arial" w:cs="Arial" w:eastAsia="Arial" w:hAnsi="Arial"/>
          <w:sz w:val="14"/>
          <w:szCs w:val="14"/>
          <w:color w:val="auto"/>
        </w:rPr>
        <w:t>The information required by this Item 10 is included under the caption "Executive Officers of the Registrant," "Election of Directors," "Section 16(a) Beneficial Ownership Reporting Compliance," "Code of Business Conduct and Ethics" and "Board Meetings and Committees" in our definitive Proxy Statement with respect to our 2011 Annual Meeting of Stockholders to be filed with the SEC no later than 120 days after the end of the fiscal year and is incorporated herein by reference.</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93" w:lineRule="exact"/>
        <w:rPr>
          <w:sz w:val="20"/>
          <w:szCs w:val="20"/>
          <w:color w:val="auto"/>
        </w:rPr>
      </w:pPr>
    </w:p>
    <w:p>
      <w:pPr>
        <w:jc w:val="both"/>
        <w:ind w:right="140" w:firstLine="282"/>
        <w:spacing w:after="0" w:line="305" w:lineRule="auto"/>
        <w:rPr>
          <w:sz w:val="20"/>
          <w:szCs w:val="20"/>
          <w:color w:val="auto"/>
        </w:rPr>
      </w:pPr>
      <w:r>
        <w:rPr>
          <w:rFonts w:ascii="Arial" w:cs="Arial" w:eastAsia="Arial" w:hAnsi="Arial"/>
          <w:sz w:val="13"/>
          <w:szCs w:val="13"/>
          <w:color w:val="auto"/>
        </w:rPr>
        <w:t>The information required by this Item 11 is included under the captions "Director Compensation," "Summary of Executive Compensation," "Plan-Based Awards," "Option Holdings," "Severance and Change-in-Control Arrangements," "Compensation Committee Report" and "Compensation Committee Interlocks and Insider Participation" in our definitive Proxy Statement with respect to our 2011 Annual Meeting of Stockholders to be filed with the SEC not later than 120 days after the end of the fiscal year and is incorporated herein by reference.</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93" w:lineRule="exact"/>
        <w:rPr>
          <w:sz w:val="20"/>
          <w:szCs w:val="20"/>
          <w:color w:val="auto"/>
        </w:rPr>
      </w:pPr>
    </w:p>
    <w:p>
      <w:pPr>
        <w:jc w:val="both"/>
        <w:ind w:right="120" w:firstLine="282"/>
        <w:spacing w:after="0" w:line="330" w:lineRule="auto"/>
        <w:rPr>
          <w:sz w:val="20"/>
          <w:szCs w:val="20"/>
          <w:color w:val="auto"/>
        </w:rPr>
      </w:pPr>
      <w:r>
        <w:rPr>
          <w:rFonts w:ascii="Arial" w:cs="Arial" w:eastAsia="Arial" w:hAnsi="Arial"/>
          <w:sz w:val="13"/>
          <w:szCs w:val="13"/>
          <w:color w:val="auto"/>
        </w:rPr>
        <w:t>The information required by this Item 12 is included under the captions "Beneficial Ownership of Securities" and "Equity Compensation Plan Information" in our definitive Proxy Statement with respect to our 2011 Annual Meeting of Stockholders to be filed with the SEC not later than 120 days after the end of the fiscal year and is incorporated herein by reference.</w:t>
      </w:r>
    </w:p>
    <w:p>
      <w:pPr>
        <w:spacing w:after="0" w:line="10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93" w:lineRule="exact"/>
        <w:rPr>
          <w:sz w:val="20"/>
          <w:szCs w:val="20"/>
          <w:color w:val="auto"/>
        </w:rPr>
      </w:pPr>
    </w:p>
    <w:p>
      <w:pPr>
        <w:ind w:right="60" w:firstLine="282"/>
        <w:spacing w:after="0" w:line="275" w:lineRule="auto"/>
        <w:rPr>
          <w:sz w:val="20"/>
          <w:szCs w:val="20"/>
          <w:color w:val="auto"/>
        </w:rPr>
      </w:pPr>
      <w:r>
        <w:rPr>
          <w:rFonts w:ascii="Arial" w:cs="Arial" w:eastAsia="Arial" w:hAnsi="Arial"/>
          <w:sz w:val="14"/>
          <w:szCs w:val="14"/>
          <w:color w:val="auto"/>
        </w:rPr>
        <w:t>The information required by this Item 13 is included, as applicable, under the captions "Severance and Change-in-Control Agreements," "Indemnification Agreements," "Director Independence" and "Transactions with Related Persons" in our definitive Proxy Statement with respect to our 2011 Annual Meeting of Stockholders to be filed with the SEC not later than 120 days after the end of the fiscal year and is incorporated herein by reference.</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193" w:lineRule="exact"/>
        <w:rPr>
          <w:sz w:val="20"/>
          <w:szCs w:val="20"/>
          <w:color w:val="auto"/>
        </w:rPr>
      </w:pPr>
    </w:p>
    <w:p>
      <w:pPr>
        <w:ind w:right="260" w:firstLine="282"/>
        <w:spacing w:after="0" w:line="275" w:lineRule="auto"/>
        <w:rPr>
          <w:sz w:val="20"/>
          <w:szCs w:val="20"/>
          <w:color w:val="auto"/>
        </w:rPr>
      </w:pPr>
      <w:r>
        <w:rPr>
          <w:rFonts w:ascii="Arial" w:cs="Arial" w:eastAsia="Arial" w:hAnsi="Arial"/>
          <w:sz w:val="14"/>
          <w:szCs w:val="14"/>
          <w:color w:val="auto"/>
        </w:rPr>
        <w:t>The information required by this Item 14 is included under the captions "Fees for Independent Registered Public Accounting Firm during the years ended December 31, 2010 and 2009" and "Policy on Audit Committee Pre-approval of Audit and Non-audit Services" in our definitive Proxy Statement with respect to our 2011 Annual Meeting of Stockholders to be filed with the SEC not later than 120 days after the end of the fiscal year and is incorporated herein by reference.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60"/>
          </w:cols>
          <w:pgMar w:left="220" w:top="132" w:right="21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PART IV</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8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Financial Statements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consolidated financial statements of the Company are listed in the index under Part II, Item 8, of this Annual Report on Form 10-K.</w:t>
      </w:r>
    </w:p>
    <w:p>
      <w:pPr>
        <w:spacing w:after="0" w:line="18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Financial Statement Schedules</w:t>
      </w:r>
    </w:p>
    <w:p>
      <w:pPr>
        <w:spacing w:after="0" w:line="193"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None. All schedules are omitted because they are not applicable, not required under the instructions or the information is contained in the consolidated financial statements, or notes thereto, included herein.</w:t>
      </w:r>
    </w:p>
    <w:p>
      <w:pPr>
        <w:spacing w:after="0" w:line="13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auto"/>
        </w:rPr>
        <w:t>List of Exhibits</w:t>
      </w:r>
    </w:p>
    <w:p>
      <w:pPr>
        <w:spacing w:after="0" w:line="193"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The Exhibits filed as part of this Annual Report on Form 10-K are listed in the Exhibit Index immediately preceding such Exhibits, which Exhibit Index is incorporated herein by reference.</w:t>
      </w:r>
    </w:p>
    <w:p>
      <w:pPr>
        <w:spacing w:after="0" w:line="200"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020"/>
          </w:cols>
          <w:pgMar w:left="220" w:top="132" w:right="65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SIGNATURES</w:t>
      </w:r>
    </w:p>
    <w:p>
      <w:pPr>
        <w:spacing w:after="0" w:line="193"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7"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SONUS NETWORKS, INC.</w:t>
      </w:r>
    </w:p>
    <w:p>
      <w:pPr>
        <w:spacing w:after="0" w:line="211" w:lineRule="exact"/>
        <w:rPr>
          <w:sz w:val="20"/>
          <w:szCs w:val="20"/>
          <w:color w:val="auto"/>
        </w:rPr>
      </w:pPr>
    </w:p>
    <w:p>
      <w:pPr>
        <w:spacing w:after="0"/>
        <w:tabs>
          <w:tab w:leader="none" w:pos="5740" w:val="left"/>
          <w:tab w:leader="none" w:pos="6180" w:val="left"/>
        </w:tabs>
        <w:rPr>
          <w:sz w:val="20"/>
          <w:szCs w:val="20"/>
          <w:color w:val="auto"/>
        </w:rPr>
      </w:pPr>
      <w:r>
        <w:rPr>
          <w:rFonts w:ascii="Arial" w:cs="Arial" w:eastAsia="Arial" w:hAnsi="Arial"/>
          <w:sz w:val="14"/>
          <w:szCs w:val="14"/>
          <w:color w:val="auto"/>
        </w:rPr>
        <w:t>March 10, 2011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62230</wp:posOffset>
            </wp:positionV>
            <wp:extent cx="335851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8515" cy="6985"/>
                    </a:xfrm>
                    <a:prstGeom prst="rect">
                      <a:avLst/>
                    </a:prstGeom>
                    <a:noFill/>
                  </pic:spPr>
                </pic:pic>
              </a:graphicData>
            </a:graphic>
          </wp:anchor>
        </w:drawing>
      </w:r>
    </w:p>
    <w:p>
      <w:pPr>
        <w:spacing w:after="0" w:line="147"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Raymond P. Dolan</w:t>
      </w:r>
    </w:p>
    <w:p>
      <w:pPr>
        <w:spacing w:after="0" w:line="20" w:lineRule="exact"/>
        <w:rPr>
          <w:sz w:val="20"/>
          <w:szCs w:val="20"/>
          <w:color w:val="auto"/>
        </w:rPr>
      </w:pPr>
    </w:p>
    <w:p>
      <w:pPr>
        <w:ind w:left="6200"/>
        <w:spacing w:after="0"/>
        <w:rPr>
          <w:sz w:val="20"/>
          <w:szCs w:val="20"/>
          <w:color w:val="auto"/>
        </w:rPr>
      </w:pPr>
      <w:r>
        <w:rPr>
          <w:rFonts w:ascii="Arial" w:cs="Arial" w:eastAsia="Arial" w:hAnsi="Arial"/>
          <w:sz w:val="14"/>
          <w:szCs w:val="14"/>
          <w:i w:val="1"/>
          <w:iCs w:val="1"/>
          <w:color w:val="auto"/>
        </w:rPr>
        <w:t>President, Chief Executive Officer and Director</w:t>
      </w:r>
    </w:p>
    <w:p>
      <w:pPr>
        <w:spacing w:after="0" w:line="183" w:lineRule="exact"/>
        <w:rPr>
          <w:sz w:val="20"/>
          <w:szCs w:val="20"/>
          <w:color w:val="auto"/>
        </w:rPr>
      </w:pPr>
    </w:p>
    <w:p>
      <w:pPr>
        <w:ind w:right="60" w:firstLine="284"/>
        <w:spacing w:after="0" w:line="289"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20"/>
          </w:cols>
          <w:pgMar w:left="220" w:top="132" w:right="359" w:bottom="1440" w:gutter="0" w:footer="0" w:header="0"/>
        </w:sectPr>
      </w:pPr>
    </w:p>
    <w:p>
      <w:pPr>
        <w:spacing w:after="0" w:line="133" w:lineRule="exact"/>
        <w:rPr>
          <w:sz w:val="20"/>
          <w:szCs w:val="20"/>
          <w:color w:val="auto"/>
        </w:rPr>
      </w:pPr>
    </w:p>
    <w:p>
      <w:pPr>
        <w:jc w:val="center"/>
        <w:ind w:left="760"/>
        <w:spacing w:after="0"/>
        <w:rPr>
          <w:sz w:val="20"/>
          <w:szCs w:val="20"/>
          <w:color w:val="auto"/>
        </w:rPr>
      </w:pPr>
      <w:r>
        <w:rPr>
          <w:rFonts w:ascii="Arial" w:cs="Arial" w:eastAsia="Arial" w:hAnsi="Arial"/>
          <w:sz w:val="11"/>
          <w:szCs w:val="11"/>
          <w:b w:val="1"/>
          <w:bCs w:val="1"/>
          <w:u w:val="single" w:color="auto"/>
          <w:color w:val="auto"/>
        </w:rPr>
        <w:t>Signature</w:t>
      </w:r>
    </w:p>
    <w:p>
      <w:pPr>
        <w:spacing w:after="0" w:line="15"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36156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0"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Raymond P. Dolan</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Wayne Pastore</w:t>
      </w:r>
    </w:p>
    <w:p>
      <w:pPr>
        <w:spacing w:after="0" w:line="189" w:lineRule="exact"/>
        <w:rPr>
          <w:sz w:val="20"/>
          <w:szCs w:val="20"/>
          <w:color w:val="auto"/>
        </w:rPr>
      </w:pPr>
    </w:p>
    <w:p>
      <w:pPr>
        <w:ind w:left="2380"/>
        <w:spacing w:after="0"/>
        <w:rPr>
          <w:sz w:val="20"/>
          <w:szCs w:val="20"/>
          <w:color w:val="auto"/>
        </w:rPr>
      </w:pPr>
      <w:r>
        <w:rPr>
          <w:rFonts w:ascii="Arial" w:cs="Arial" w:eastAsia="Arial" w:hAnsi="Arial"/>
          <w:sz w:val="14"/>
          <w:szCs w:val="14"/>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Elmer Lai</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HOWARD E. JANZEN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Howard E. Janzen</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3"/>
          <w:szCs w:val="13"/>
          <w:color w:val="auto"/>
        </w:rPr>
        <w:t>/s/ JAMES K. BREWINGTON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36156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58"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James K. Brewington</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JOHN P.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John P. Cunningham</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BEATRIZ INFANTE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Beatriz Infante</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JOHN A. SCHOFIELD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John A. Schofield</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SCOTT E.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Scott E. Schubert</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PAUL J. SEVERINO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Paul J. Severino</w:t>
      </w:r>
    </w:p>
    <w:p>
      <w:pPr>
        <w:spacing w:after="0" w:line="189"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/s/ H. BRIAN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361569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15690" cy="6985"/>
                    </a:xfrm>
                    <a:prstGeom prst="rect">
                      <a:avLst/>
                    </a:prstGeom>
                    <a:noFill/>
                  </pic:spPr>
                </pic:pic>
              </a:graphicData>
            </a:graphic>
          </wp:anchor>
        </w:drawing>
      </w:r>
    </w:p>
    <w:p>
      <w:pPr>
        <w:spacing w:after="0" w:line="147" w:lineRule="exact"/>
        <w:rPr>
          <w:sz w:val="20"/>
          <w:szCs w:val="20"/>
          <w:color w:val="auto"/>
        </w:rPr>
      </w:pPr>
    </w:p>
    <w:p>
      <w:pPr>
        <w:jc w:val="center"/>
        <w:ind w:left="760"/>
        <w:spacing w:after="0"/>
        <w:rPr>
          <w:sz w:val="20"/>
          <w:szCs w:val="20"/>
          <w:color w:val="auto"/>
        </w:rPr>
      </w:pPr>
      <w:r>
        <w:rPr>
          <w:rFonts w:ascii="Arial" w:cs="Arial" w:eastAsia="Arial" w:hAnsi="Arial"/>
          <w:sz w:val="14"/>
          <w:szCs w:val="14"/>
          <w:color w:val="auto"/>
        </w:rPr>
        <w:t>H. Brian Thompson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31"/>
        </w:trPr>
        <w:tc>
          <w:tcPr>
            <w:tcW w:w="2000" w:type="dxa"/>
            <w:vAlign w:val="bottom"/>
          </w:tcPr>
          <w:p>
            <w:pPr>
              <w:spacing w:after="0"/>
              <w:rPr>
                <w:sz w:val="11"/>
                <w:szCs w:val="11"/>
                <w:color w:val="auto"/>
              </w:rPr>
            </w:pPr>
          </w:p>
        </w:tc>
        <w:tc>
          <w:tcPr>
            <w:tcW w:w="22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11"/>
                <w:szCs w:val="11"/>
                <w:color w:val="auto"/>
              </w:rPr>
            </w:pPr>
          </w:p>
        </w:tc>
        <w:tc>
          <w:tcPr>
            <w:tcW w:w="580" w:type="dxa"/>
            <w:vAlign w:val="bottom"/>
            <w:gridSpan w:val="2"/>
          </w:tcPr>
          <w:p>
            <w:pPr>
              <w:jc w:val="right"/>
              <w:ind w:right="269"/>
              <w:spacing w:after="0"/>
              <w:rPr>
                <w:sz w:val="20"/>
                <w:szCs w:val="20"/>
                <w:color w:val="auto"/>
              </w:rPr>
            </w:pPr>
            <w:r>
              <w:rPr>
                <w:rFonts w:ascii="Arial" w:cs="Arial" w:eastAsia="Arial" w:hAnsi="Arial"/>
                <w:sz w:val="11"/>
                <w:szCs w:val="11"/>
                <w:b w:val="1"/>
                <w:bCs w:val="1"/>
                <w:color w:val="auto"/>
                <w:w w:val="92"/>
              </w:rPr>
              <w:t>Date</w:t>
            </w:r>
          </w:p>
        </w:tc>
      </w:tr>
      <w:tr>
        <w:trPr>
          <w:trHeight w:val="158"/>
        </w:trPr>
        <w:tc>
          <w:tcPr>
            <w:tcW w:w="2000" w:type="dxa"/>
            <w:vAlign w:val="bottom"/>
          </w:tcPr>
          <w:p>
            <w:pPr>
              <w:spacing w:after="0" w:line="159" w:lineRule="exact"/>
              <w:rPr>
                <w:sz w:val="20"/>
                <w:szCs w:val="20"/>
                <w:color w:val="auto"/>
              </w:rPr>
            </w:pPr>
            <w:r>
              <w:rPr>
                <w:rFonts w:ascii="Arial" w:cs="Arial" w:eastAsia="Arial" w:hAnsi="Arial"/>
                <w:sz w:val="14"/>
                <w:szCs w:val="14"/>
                <w:color w:val="auto"/>
                <w:w w:val="94"/>
              </w:rPr>
              <w:t>President, Chief Executive Officer</w:t>
            </w:r>
          </w:p>
        </w:tc>
        <w:tc>
          <w:tcPr>
            <w:tcW w:w="24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94"/>
              </w:rPr>
              <w:t>and</w:t>
            </w:r>
          </w:p>
        </w:tc>
        <w:tc>
          <w:tcPr>
            <w:tcW w:w="2040" w:type="dxa"/>
            <w:vAlign w:val="bottom"/>
          </w:tcPr>
          <w:p>
            <w:pPr>
              <w:spacing w:after="0" w:line="159" w:lineRule="exact"/>
              <w:rPr>
                <w:sz w:val="20"/>
                <w:szCs w:val="20"/>
                <w:color w:val="auto"/>
              </w:rPr>
            </w:pPr>
            <w:r>
              <w:rPr>
                <w:rFonts w:ascii="Arial" w:cs="Arial" w:eastAsia="Arial" w:hAnsi="Arial"/>
                <w:sz w:val="14"/>
                <w:szCs w:val="14"/>
                <w:color w:val="auto"/>
              </w:rPr>
              <w:t>Director (Principal Executive</w:t>
            </w:r>
          </w:p>
        </w:tc>
        <w:tc>
          <w:tcPr>
            <w:tcW w:w="600" w:type="dxa"/>
            <w:vAlign w:val="bottom"/>
          </w:tcPr>
          <w:p>
            <w:pPr>
              <w:ind w:left="280"/>
              <w:spacing w:after="0" w:line="159" w:lineRule="exact"/>
              <w:rPr>
                <w:sz w:val="20"/>
                <w:szCs w:val="20"/>
                <w:color w:val="auto"/>
              </w:rPr>
            </w:pPr>
            <w:r>
              <w:rPr>
                <w:rFonts w:ascii="Arial" w:cs="Arial" w:eastAsia="Arial" w:hAnsi="Arial"/>
                <w:sz w:val="14"/>
                <w:szCs w:val="14"/>
                <w:color w:val="auto"/>
                <w:w w:val="77"/>
              </w:rPr>
              <w:t>March</w:t>
            </w:r>
          </w:p>
        </w:tc>
        <w:tc>
          <w:tcPr>
            <w:tcW w:w="2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10,</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2011</w:t>
            </w:r>
          </w:p>
        </w:tc>
      </w:tr>
      <w:tr>
        <w:trPr>
          <w:trHeight w:val="181"/>
        </w:trPr>
        <w:tc>
          <w:tcPr>
            <w:tcW w:w="4280" w:type="dxa"/>
            <w:vAlign w:val="bottom"/>
            <w:gridSpan w:val="3"/>
          </w:tcPr>
          <w:p>
            <w:pPr>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519"/>
        </w:trPr>
        <w:tc>
          <w:tcPr>
            <w:tcW w:w="4280" w:type="dxa"/>
            <w:vAlign w:val="bottom"/>
            <w:gridSpan w:val="3"/>
          </w:tcPr>
          <w:p>
            <w:pPr>
              <w:spacing w:after="0"/>
              <w:rPr>
                <w:sz w:val="20"/>
                <w:szCs w:val="20"/>
                <w:color w:val="auto"/>
              </w:rPr>
            </w:pPr>
            <w:r>
              <w:rPr>
                <w:rFonts w:ascii="Arial" w:cs="Arial" w:eastAsia="Arial" w:hAnsi="Arial"/>
                <w:sz w:val="14"/>
                <w:szCs w:val="14"/>
                <w:color w:val="auto"/>
              </w:rPr>
              <w:t>Senior Vice President and Chief Financial Officer (Principal Financial</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181"/>
        </w:trPr>
        <w:tc>
          <w:tcPr>
            <w:tcW w:w="4280" w:type="dxa"/>
            <w:vAlign w:val="bottom"/>
            <w:gridSpan w:val="3"/>
          </w:tcPr>
          <w:p>
            <w:pPr>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497"/>
        </w:trPr>
        <w:tc>
          <w:tcPr>
            <w:tcW w:w="4280" w:type="dxa"/>
            <w:vAlign w:val="bottom"/>
            <w:gridSpan w:val="3"/>
          </w:tcPr>
          <w:p>
            <w:pPr>
              <w:spacing w:after="0"/>
              <w:rPr>
                <w:sz w:val="20"/>
                <w:szCs w:val="20"/>
                <w:color w:val="auto"/>
              </w:rPr>
            </w:pPr>
            <w:r>
              <w:rPr>
                <w:rFonts w:ascii="Arial" w:cs="Arial" w:eastAsia="Arial" w:hAnsi="Arial"/>
                <w:sz w:val="14"/>
                <w:szCs w:val="14"/>
                <w:color w:val="auto"/>
              </w:rPr>
              <w:t>Vice President, Finance, Corporate Controller and Chief Accounting</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181"/>
        </w:trPr>
        <w:tc>
          <w:tcPr>
            <w:tcW w:w="4280" w:type="dxa"/>
            <w:vAlign w:val="bottom"/>
            <w:gridSpan w:val="3"/>
          </w:tcPr>
          <w:p>
            <w:pPr>
              <w:spacing w:after="0"/>
              <w:rPr>
                <w:sz w:val="20"/>
                <w:szCs w:val="20"/>
                <w:color w:val="auto"/>
              </w:rPr>
            </w:pPr>
            <w:r>
              <w:rPr>
                <w:rFonts w:ascii="Arial" w:cs="Arial" w:eastAsia="Arial" w:hAnsi="Arial"/>
                <w:sz w:val="14"/>
                <w:szCs w:val="14"/>
                <w:color w:val="auto"/>
              </w:rPr>
              <w:t>Officer (Principal Accounting Officer)</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503"/>
        </w:trPr>
        <w:tc>
          <w:tcPr>
            <w:tcW w:w="4280" w:type="dxa"/>
            <w:vAlign w:val="bottom"/>
            <w:gridSpan w:val="3"/>
          </w:tcPr>
          <w:p>
            <w:pPr>
              <w:spacing w:after="0"/>
              <w:rPr>
                <w:sz w:val="20"/>
                <w:szCs w:val="20"/>
                <w:color w:val="auto"/>
              </w:rPr>
            </w:pPr>
            <w:r>
              <w:rPr>
                <w:rFonts w:ascii="Arial" w:cs="Arial" w:eastAsia="Arial" w:hAnsi="Arial"/>
                <w:sz w:val="14"/>
                <w:szCs w:val="14"/>
                <w:color w:val="auto"/>
              </w:rPr>
              <w:t>Chairman</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r>
        <w:trPr>
          <w:trHeight w:val="678"/>
        </w:trPr>
        <w:tc>
          <w:tcPr>
            <w:tcW w:w="4280" w:type="dxa"/>
            <w:vAlign w:val="bottom"/>
            <w:gridSpan w:val="3"/>
          </w:tcPr>
          <w:p>
            <w:pPr>
              <w:spacing w:after="0"/>
              <w:rPr>
                <w:sz w:val="20"/>
                <w:szCs w:val="20"/>
                <w:color w:val="auto"/>
              </w:rPr>
            </w:pPr>
            <w:r>
              <w:rPr>
                <w:rFonts w:ascii="Arial" w:cs="Arial" w:eastAsia="Arial" w:hAnsi="Arial"/>
                <w:sz w:val="14"/>
                <w:szCs w:val="14"/>
                <w:color w:val="auto"/>
              </w:rPr>
              <w:t>Director</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10, 2011</w:t>
            </w:r>
          </w:p>
        </w:tc>
      </w:tr>
    </w:tbl>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121920</wp:posOffset>
            </wp:positionV>
            <wp:extent cx="7278370"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2">
            <w:col w:w="4940" w:space="720"/>
            <w:col w:w="5660"/>
          </w:cols>
          <w:pgMar w:left="220" w:top="132" w:right="35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EXHIBIT INDEX</w:t>
      </w:r>
    </w:p>
    <w:p>
      <w:pPr>
        <w:spacing w:after="0" w:line="189" w:lineRule="exact"/>
        <w:rPr>
          <w:sz w:val="20"/>
          <w:szCs w:val="20"/>
          <w:color w:val="auto"/>
        </w:rPr>
      </w:pPr>
    </w:p>
    <w:p>
      <w:pPr>
        <w:ind w:left="130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3175</wp:posOffset>
            </wp:positionV>
            <wp:extent cx="58153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15330" cy="6985"/>
                    </a:xfrm>
                    <a:prstGeom prst="rect">
                      <a:avLst/>
                    </a:prstGeom>
                    <a:noFill/>
                  </pic:spPr>
                </pic:pic>
              </a:graphicData>
            </a:graphic>
          </wp:anchor>
        </w:drawing>
      </w:r>
    </w:p>
    <w:p>
      <w:pPr>
        <w:ind w:left="2300" w:right="580" w:hanging="504"/>
        <w:spacing w:after="0" w:line="259" w:lineRule="auto"/>
        <w:tabs>
          <w:tab w:leader="none" w:pos="22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Fourth Amended and Restated Certificate of Incorporation of Sonus Networks, Inc., as amended (incorporated by reference to the Registrant's Current Report on Form 8-K, filed June 22, 2009 with the SEC).</w:t>
      </w:r>
    </w:p>
    <w:p>
      <w:pPr>
        <w:spacing w:after="0" w:line="1" w:lineRule="exact"/>
        <w:rPr>
          <w:sz w:val="20"/>
          <w:szCs w:val="20"/>
          <w:color w:val="auto"/>
        </w:rPr>
      </w:pPr>
    </w:p>
    <w:p>
      <w:pPr>
        <w:ind w:left="2300" w:right="40" w:hanging="504"/>
        <w:spacing w:after="0" w:line="260" w:lineRule="auto"/>
        <w:tabs>
          <w:tab w:leader="none" w:pos="22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Certificate of Designation specifying the terms of the Series A Junior Participating Preferred Stock, par value $0.01 per share (incorporated by reference to the Registrant's Current Report on Form 8-K, filed June 27, 2008 with the SEC).</w:t>
      </w:r>
    </w:p>
    <w:p>
      <w:pPr>
        <w:spacing w:after="0" w:line="1" w:lineRule="exact"/>
        <w:rPr>
          <w:sz w:val="20"/>
          <w:szCs w:val="20"/>
          <w:color w:val="auto"/>
        </w:rPr>
      </w:pPr>
    </w:p>
    <w:p>
      <w:pPr>
        <w:ind w:left="1800"/>
        <w:spacing w:after="0"/>
        <w:tabs>
          <w:tab w:leader="none" w:pos="22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2"/>
          <w:szCs w:val="12"/>
          <w:color w:val="auto"/>
        </w:rPr>
        <w:t>Amended and Restated By Laws of Registrant (incorporated by reference to the Registrant's Current Report on Form 8-K, filed June 22,</w:t>
      </w:r>
    </w:p>
    <w:p>
      <w:pPr>
        <w:spacing w:after="0" w:line="1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2009 with the SEC).</w:t>
      </w:r>
    </w:p>
    <w:p>
      <w:pPr>
        <w:spacing w:after="0" w:line="14" w:lineRule="exact"/>
        <w:rPr>
          <w:sz w:val="20"/>
          <w:szCs w:val="20"/>
          <w:color w:val="auto"/>
        </w:rPr>
      </w:pPr>
    </w:p>
    <w:p>
      <w:pPr>
        <w:ind w:left="2300" w:right="440" w:hanging="504"/>
        <w:spacing w:after="0" w:line="260" w:lineRule="auto"/>
        <w:tabs>
          <w:tab w:leader="none" w:pos="22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Stock Certificate representing shares of Sonus Networks, Inc. Common Stock (incorporated by reference to the Registrant's Registration Statement on Form S-1).</w:t>
      </w:r>
    </w:p>
    <w:p>
      <w:pPr>
        <w:spacing w:after="0" w:line="1" w:lineRule="exact"/>
        <w:rPr>
          <w:sz w:val="20"/>
          <w:szCs w:val="20"/>
          <w:color w:val="auto"/>
        </w:rPr>
      </w:pPr>
    </w:p>
    <w:p>
      <w:pPr>
        <w:ind w:left="2300" w:hanging="504"/>
        <w:spacing w:after="0" w:line="260" w:lineRule="auto"/>
        <w:tabs>
          <w:tab w:leader="none" w:pos="22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Rights Agreement, dated June 26, 2008, between the Registrant and American Stock Transfer &amp; Trust Company, LLC, which includes as Exhibit A thereto a form of Certificate of Designation for the Series A Junior Participating Preferred Stock, as Exhibit B thereto the Form of Rights Certificate and Exhibit C thereto a Summary of Rights to Purchase Shares of Preferred Stock (incorporated by reference to the Registrant's Current Report on Form 8-K, filed June 27, 2008 with the SEC).</w:t>
      </w:r>
    </w:p>
    <w:p>
      <w:pPr>
        <w:spacing w:after="0" w:line="2" w:lineRule="exact"/>
        <w:rPr>
          <w:sz w:val="20"/>
          <w:szCs w:val="20"/>
          <w:color w:val="auto"/>
        </w:rPr>
      </w:pPr>
    </w:p>
    <w:p>
      <w:pPr>
        <w:ind w:left="2300" w:right="260" w:hanging="575"/>
        <w:spacing w:after="0" w:line="260" w:lineRule="auto"/>
        <w:tabs>
          <w:tab w:leader="none" w:pos="228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Registration Rights Agreement, dated as of November 2, 2000, by and among Sonus Networks, Inc. and the Stockholder parties thereto (incorporated by reference to the Registrant's Registration Statement on Form S-4).</w:t>
      </w:r>
    </w:p>
    <w:p>
      <w:pPr>
        <w:spacing w:after="0" w:line="1"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2"/>
          <w:szCs w:val="12"/>
          <w:color w:val="auto"/>
        </w:rPr>
        <w:t>Amended and Restated 1997 Stock Incentive Plan (incorporated by reference to the Registrant's Registration Statement on Form S-1)</w:t>
      </w:r>
    </w:p>
    <w:p>
      <w:pPr>
        <w:spacing w:after="0" w:line="14" w:lineRule="exact"/>
        <w:rPr>
          <w:sz w:val="20"/>
          <w:szCs w:val="20"/>
          <w:color w:val="auto"/>
        </w:rPr>
      </w:pPr>
    </w:p>
    <w:p>
      <w:pPr>
        <w:ind w:left="2300" w:right="400" w:hanging="575"/>
        <w:spacing w:after="0" w:line="280" w:lineRule="auto"/>
        <w:tabs>
          <w:tab w:leader="none" w:pos="228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color w:val="auto"/>
        </w:rPr>
        <w:t>Form of Notice of Grant of Stock Options and Stock Option Agreement under the 1997 Stock Incentive Plan—Additional Terms and Conditions (incorporated by reference to the Registrant's Quarterly Report on Form 10-Q, filed August 20, 2004 with the SEC).</w:t>
      </w:r>
    </w:p>
    <w:p>
      <w:pPr>
        <w:spacing w:after="0" w:line="1" w:lineRule="exact"/>
        <w:rPr>
          <w:sz w:val="20"/>
          <w:szCs w:val="20"/>
          <w:color w:val="auto"/>
        </w:rPr>
      </w:pPr>
    </w:p>
    <w:p>
      <w:pPr>
        <w:ind w:left="2300" w:right="220" w:hanging="575"/>
        <w:spacing w:after="0" w:line="260" w:lineRule="auto"/>
        <w:tabs>
          <w:tab w:leader="none" w:pos="228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Form of Indemnity Agreement for Officers and Directors (incorporated by reference to the Registrant's Quarterly Report on Form 10-Q, filed August 20, 2004 with the SEC).</w:t>
      </w:r>
    </w:p>
    <w:p>
      <w:pPr>
        <w:spacing w:after="0" w:line="1" w:lineRule="exact"/>
        <w:rPr>
          <w:sz w:val="20"/>
          <w:szCs w:val="20"/>
          <w:color w:val="auto"/>
        </w:rPr>
      </w:pPr>
    </w:p>
    <w:p>
      <w:pPr>
        <w:ind w:left="2300" w:hanging="575"/>
        <w:spacing w:after="0" w:line="260" w:lineRule="auto"/>
        <w:tabs>
          <w:tab w:leader="none" w:pos="228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Form of Resale Restriction Agreement (incorporated by reference to the Registrant's Current Report on Form 8-K, filed December 28, 2005 with the SEC).</w:t>
      </w:r>
    </w:p>
    <w:p>
      <w:pPr>
        <w:spacing w:after="0" w:line="1" w:lineRule="exact"/>
        <w:rPr>
          <w:sz w:val="20"/>
          <w:szCs w:val="20"/>
          <w:color w:val="auto"/>
        </w:rPr>
      </w:pPr>
    </w:p>
    <w:p>
      <w:pPr>
        <w:ind w:left="2300" w:right="720" w:hanging="575"/>
        <w:spacing w:after="0" w:line="260" w:lineRule="auto"/>
        <w:tabs>
          <w:tab w:leader="none" w:pos="228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Form of Consent to Stock Option Amendment (incorporated by reference to the Registrant's Current Report on Form 8-K, filed December 29, 2006 with the SEC).</w:t>
      </w:r>
    </w:p>
    <w:p>
      <w:pPr>
        <w:spacing w:after="0" w:line="1" w:lineRule="exact"/>
        <w:rPr>
          <w:sz w:val="20"/>
          <w:szCs w:val="20"/>
          <w:color w:val="auto"/>
        </w:rPr>
      </w:pPr>
    </w:p>
    <w:p>
      <w:pPr>
        <w:ind w:left="2300" w:right="160" w:hanging="575"/>
        <w:spacing w:after="0" w:line="260" w:lineRule="auto"/>
        <w:tabs>
          <w:tab w:leader="none" w:pos="228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Amended and Restated 2000 Employee Stock Purchase Plan (incorporated by reference to the Registrant's Annual Report on Form 10-K, filed March 6, 2008 with the SEC).</w:t>
      </w:r>
    </w:p>
    <w:p>
      <w:pPr>
        <w:spacing w:after="0" w:line="1" w:lineRule="exact"/>
        <w:rPr>
          <w:sz w:val="20"/>
          <w:szCs w:val="20"/>
          <w:color w:val="auto"/>
        </w:rPr>
      </w:pPr>
    </w:p>
    <w:p>
      <w:pPr>
        <w:ind w:left="2300" w:right="40" w:hanging="575"/>
        <w:spacing w:after="0" w:line="260" w:lineRule="auto"/>
        <w:tabs>
          <w:tab w:leader="none" w:pos="228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Form of Nonstatutory Stock Option Agreement Granted Under the 2007 Stock Incentive Plan (incorporated by reference to the Registrant's Quarterly Report on Form 10-Q, filed May 8, 2008 with the SEC).</w:t>
      </w:r>
    </w:p>
    <w:p>
      <w:pPr>
        <w:spacing w:after="0" w:line="1" w:lineRule="exact"/>
        <w:rPr>
          <w:sz w:val="20"/>
          <w:szCs w:val="20"/>
          <w:color w:val="auto"/>
        </w:rPr>
      </w:pPr>
    </w:p>
    <w:p>
      <w:pPr>
        <w:ind w:left="2300" w:right="20" w:hanging="575"/>
        <w:spacing w:after="0" w:line="260" w:lineRule="auto"/>
        <w:tabs>
          <w:tab w:leader="none" w:pos="228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Form of Award of Restricted Stock and Restricted Stock Agreement Under the 2007 Stock incentive Plan (incorporated by Reference to the Registrant's Quarterly Report on Form 10-Q, filed May 8, 2008 with the SEC).</w:t>
      </w:r>
    </w:p>
    <w:p>
      <w:pPr>
        <w:spacing w:after="0" w:line="1" w:lineRule="exact"/>
        <w:rPr>
          <w:sz w:val="20"/>
          <w:szCs w:val="20"/>
          <w:color w:val="auto"/>
        </w:rPr>
      </w:pPr>
    </w:p>
    <w:p>
      <w:pPr>
        <w:ind w:left="2300" w:right="200" w:hanging="646"/>
        <w:spacing w:after="0" w:line="260" w:lineRule="auto"/>
        <w:tabs>
          <w:tab w:leader="none" w:pos="228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4"/>
          <w:szCs w:val="14"/>
          <w:color w:val="auto"/>
        </w:rPr>
        <w:t>Employment Agreement between the Registrant and Richard N. Nottenburg accepted on May 16, 2008 (incorporated by reference to the Registrant's Current Report on Form 8-K, filed May 20, 2008 with the SEC).</w:t>
      </w:r>
    </w:p>
    <w:p>
      <w:pPr>
        <w:spacing w:after="0" w:line="1" w:lineRule="exact"/>
        <w:rPr>
          <w:sz w:val="20"/>
          <w:szCs w:val="20"/>
          <w:color w:val="auto"/>
        </w:rPr>
      </w:pPr>
    </w:p>
    <w:p>
      <w:pPr>
        <w:ind w:left="2300" w:right="40" w:hanging="641"/>
        <w:spacing w:after="0" w:line="281" w:lineRule="auto"/>
        <w:tabs>
          <w:tab w:leader="none" w:pos="2280" w:val="left"/>
        </w:tabs>
        <w:rPr>
          <w:sz w:val="20"/>
          <w:szCs w:val="20"/>
          <w:color w:val="auto"/>
        </w:rPr>
      </w:pPr>
      <w:r>
        <w:rPr>
          <w:rFonts w:ascii="Arial" w:cs="Arial" w:eastAsia="Arial" w:hAnsi="Arial"/>
          <w:sz w:val="14"/>
          <w:szCs w:val="14"/>
          <w:color w:val="auto"/>
        </w:rPr>
        <w:t>10.11+</w:t>
      </w:r>
      <w:r>
        <w:rPr>
          <w:sz w:val="20"/>
          <w:szCs w:val="20"/>
          <w:color w:val="auto"/>
        </w:rPr>
        <w:tab/>
      </w:r>
      <w:r>
        <w:rPr>
          <w:rFonts w:ascii="Arial" w:cs="Arial" w:eastAsia="Arial" w:hAnsi="Arial"/>
          <w:sz w:val="14"/>
          <w:szCs w:val="14"/>
          <w:color w:val="auto"/>
        </w:rPr>
        <w:t>Executive Severance and Arbitration Agreement between the Registrant and Matthew Dillon accepted on October 7, 2008 (incorporated by reference to the Registrant's Current Report on Form 8-K, filed October 8, 2008 with the SEC).</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0260"/>
          </w:cols>
          <w:pgMar w:left="220" w:top="132" w:right="141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ind w:left="130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3175</wp:posOffset>
            </wp:positionV>
            <wp:extent cx="58153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15330" cy="6985"/>
                    </a:xfrm>
                    <a:prstGeom prst="rect">
                      <a:avLst/>
                    </a:prstGeom>
                    <a:noFill/>
                  </pic:spPr>
                </pic:pic>
              </a:graphicData>
            </a:graphic>
          </wp:anchor>
        </w:drawing>
      </w:r>
    </w:p>
    <w:p>
      <w:pPr>
        <w:ind w:left="2300" w:right="100" w:hanging="646"/>
        <w:spacing w:after="0" w:line="259" w:lineRule="auto"/>
        <w:tabs>
          <w:tab w:leader="none" w:pos="228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4"/>
          <w:szCs w:val="14"/>
          <w:color w:val="auto"/>
        </w:rPr>
        <w:t>Employment Letter between the Registrant and Gurudutt Pai accepted on December 11, 2008 (incorporated by reference to the Registrant's Current Report on Form 8-K, filed on December 15, 2008 with the SEC).</w:t>
      </w:r>
    </w:p>
    <w:p>
      <w:pPr>
        <w:spacing w:after="0" w:line="1" w:lineRule="exact"/>
        <w:rPr>
          <w:sz w:val="20"/>
          <w:szCs w:val="20"/>
          <w:color w:val="auto"/>
        </w:rPr>
      </w:pPr>
    </w:p>
    <w:p>
      <w:pPr>
        <w:ind w:left="2300" w:right="20" w:hanging="646"/>
        <w:spacing w:after="0" w:line="260" w:lineRule="auto"/>
        <w:tabs>
          <w:tab w:leader="none" w:pos="228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4"/>
          <w:szCs w:val="14"/>
          <w:color w:val="auto"/>
        </w:rPr>
        <w:t>Letter Agreement dated January 9, 2009 by and among the Registrant and Legatum Capital Limited and certain of its affiliates (incorporated by reference to the Registrant's Current Report on Form 8-K, filed January 12, 2009 with the SEC).</w:t>
      </w:r>
    </w:p>
    <w:p>
      <w:pPr>
        <w:spacing w:after="0" w:line="1" w:lineRule="exact"/>
        <w:rPr>
          <w:sz w:val="20"/>
          <w:szCs w:val="20"/>
          <w:color w:val="auto"/>
        </w:rPr>
      </w:pPr>
    </w:p>
    <w:p>
      <w:pPr>
        <w:ind w:left="1660"/>
        <w:spacing w:after="0"/>
        <w:tabs>
          <w:tab w:leader="none" w:pos="228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2"/>
          <w:szCs w:val="12"/>
          <w:color w:val="auto"/>
        </w:rPr>
        <w:t>2007 Stock Incentive Plan, as amended.</w:t>
      </w:r>
    </w:p>
    <w:p>
      <w:pPr>
        <w:spacing w:after="0" w:line="14" w:lineRule="exact"/>
        <w:rPr>
          <w:sz w:val="20"/>
          <w:szCs w:val="20"/>
          <w:color w:val="auto"/>
        </w:rPr>
      </w:pPr>
    </w:p>
    <w:p>
      <w:pPr>
        <w:ind w:left="2300" w:hanging="646"/>
        <w:spacing w:after="0" w:line="260" w:lineRule="auto"/>
        <w:tabs>
          <w:tab w:leader="none" w:pos="2280" w:val="left"/>
        </w:tabs>
        <w:rPr>
          <w:sz w:val="20"/>
          <w:szCs w:val="20"/>
          <w:color w:val="auto"/>
        </w:rPr>
      </w:pPr>
      <w:r>
        <w:rPr>
          <w:rFonts w:ascii="Arial" w:cs="Arial" w:eastAsia="Arial" w:hAnsi="Arial"/>
          <w:sz w:val="14"/>
          <w:szCs w:val="14"/>
          <w:color w:val="auto"/>
        </w:rPr>
        <w:t>10.15+</w:t>
      </w:r>
      <w:r>
        <w:rPr>
          <w:sz w:val="20"/>
          <w:szCs w:val="20"/>
          <w:color w:val="auto"/>
        </w:rPr>
        <w:tab/>
      </w:r>
      <w:r>
        <w:rPr>
          <w:rFonts w:ascii="Arial" w:cs="Arial" w:eastAsia="Arial" w:hAnsi="Arial"/>
          <w:sz w:val="14"/>
          <w:szCs w:val="14"/>
          <w:color w:val="auto"/>
        </w:rPr>
        <w:t>Senior Management Cash Incentive Plan (incorporated by reference to the Registrant's Current Report on Form 8-K, filed February 24, 2010 with the SEC).</w:t>
      </w:r>
    </w:p>
    <w:p>
      <w:pPr>
        <w:spacing w:after="0" w:line="1" w:lineRule="exact"/>
        <w:rPr>
          <w:sz w:val="20"/>
          <w:szCs w:val="20"/>
          <w:color w:val="auto"/>
        </w:rPr>
      </w:pPr>
    </w:p>
    <w:p>
      <w:pPr>
        <w:ind w:left="2300" w:right="180" w:hanging="646"/>
        <w:spacing w:after="0" w:line="260" w:lineRule="auto"/>
        <w:tabs>
          <w:tab w:leader="none" w:pos="2280" w:val="left"/>
        </w:tabs>
        <w:rPr>
          <w:sz w:val="20"/>
          <w:szCs w:val="20"/>
          <w:color w:val="auto"/>
        </w:rPr>
      </w:pPr>
      <w:r>
        <w:rPr>
          <w:rFonts w:ascii="Arial" w:cs="Arial" w:eastAsia="Arial" w:hAnsi="Arial"/>
          <w:sz w:val="14"/>
          <w:szCs w:val="14"/>
          <w:color w:val="auto"/>
        </w:rPr>
        <w:t>10.16+</w:t>
      </w:r>
      <w:r>
        <w:rPr>
          <w:sz w:val="20"/>
          <w:szCs w:val="20"/>
          <w:color w:val="auto"/>
        </w:rPr>
        <w:tab/>
      </w:r>
      <w:r>
        <w:rPr>
          <w:rFonts w:ascii="Arial" w:cs="Arial" w:eastAsia="Arial" w:hAnsi="Arial"/>
          <w:sz w:val="14"/>
          <w:szCs w:val="14"/>
          <w:color w:val="auto"/>
        </w:rPr>
        <w:t>Amendment to Employment Letter between the Registrant and Gurudutt Pai accepted on February 18, 2010 (incorporated by reference to the Registrant's Annual Report on Form 10-K, filed February 25, 2010 with the SEC).</w:t>
      </w:r>
    </w:p>
    <w:p>
      <w:pPr>
        <w:spacing w:after="0" w:line="1" w:lineRule="exact"/>
        <w:rPr>
          <w:sz w:val="20"/>
          <w:szCs w:val="20"/>
          <w:color w:val="auto"/>
        </w:rPr>
      </w:pPr>
    </w:p>
    <w:p>
      <w:pPr>
        <w:ind w:left="2300" w:right="140" w:hanging="646"/>
        <w:spacing w:after="0" w:line="260" w:lineRule="auto"/>
        <w:tabs>
          <w:tab w:leader="none" w:pos="2280" w:val="left"/>
        </w:tabs>
        <w:rPr>
          <w:sz w:val="20"/>
          <w:szCs w:val="20"/>
          <w:color w:val="auto"/>
        </w:rPr>
      </w:pPr>
      <w:r>
        <w:rPr>
          <w:rFonts w:ascii="Arial" w:cs="Arial" w:eastAsia="Arial" w:hAnsi="Arial"/>
          <w:sz w:val="14"/>
          <w:szCs w:val="14"/>
          <w:color w:val="auto"/>
        </w:rPr>
        <w:t>10.17+</w:t>
      </w:r>
      <w:r>
        <w:rPr>
          <w:sz w:val="20"/>
          <w:szCs w:val="20"/>
          <w:color w:val="auto"/>
        </w:rPr>
        <w:tab/>
      </w:r>
      <w:r>
        <w:rPr>
          <w:rFonts w:ascii="Arial" w:cs="Arial" w:eastAsia="Arial" w:hAnsi="Arial"/>
          <w:sz w:val="14"/>
          <w:szCs w:val="14"/>
          <w:color w:val="auto"/>
        </w:rPr>
        <w:t>Executive Severance and Arbitration Agreement between the Registrant and Wayne Pastore accepted on October 2, 2008 (incorporated by reference to the Registrant's Annual Report on Form 10-K, filed February 25, 2010 with the SEC).</w:t>
      </w:r>
    </w:p>
    <w:p>
      <w:pPr>
        <w:spacing w:after="0" w:line="1" w:lineRule="exact"/>
        <w:rPr>
          <w:sz w:val="20"/>
          <w:szCs w:val="20"/>
          <w:color w:val="auto"/>
        </w:rPr>
      </w:pPr>
    </w:p>
    <w:p>
      <w:pPr>
        <w:ind w:left="2300" w:right="60" w:hanging="646"/>
        <w:spacing w:after="0" w:line="260" w:lineRule="auto"/>
        <w:tabs>
          <w:tab w:leader="none" w:pos="2280" w:val="left"/>
        </w:tabs>
        <w:rPr>
          <w:sz w:val="20"/>
          <w:szCs w:val="20"/>
          <w:color w:val="auto"/>
        </w:rPr>
      </w:pPr>
      <w:r>
        <w:rPr>
          <w:rFonts w:ascii="Arial" w:cs="Arial" w:eastAsia="Arial" w:hAnsi="Arial"/>
          <w:sz w:val="14"/>
          <w:szCs w:val="14"/>
          <w:color w:val="auto"/>
        </w:rPr>
        <w:t>10.18+</w:t>
      </w:r>
      <w:r>
        <w:rPr>
          <w:sz w:val="20"/>
          <w:szCs w:val="20"/>
          <w:color w:val="auto"/>
        </w:rPr>
        <w:tab/>
      </w:r>
      <w:r>
        <w:rPr>
          <w:rFonts w:ascii="Arial" w:cs="Arial" w:eastAsia="Arial" w:hAnsi="Arial"/>
          <w:sz w:val="14"/>
          <w:szCs w:val="14"/>
          <w:color w:val="auto"/>
        </w:rPr>
        <w:t>Amendment to Employment Letter between the Registrant and Wayne Pastore accepted on February 19, 2010 (incorporated by reference to the Registrant's Annual Report on Form 10-K, filed February 25, 2010 with the SEC).</w:t>
      </w:r>
    </w:p>
    <w:p>
      <w:pPr>
        <w:spacing w:after="0" w:line="1" w:lineRule="exact"/>
        <w:rPr>
          <w:sz w:val="20"/>
          <w:szCs w:val="20"/>
          <w:color w:val="auto"/>
        </w:rPr>
      </w:pPr>
    </w:p>
    <w:p>
      <w:pPr>
        <w:ind w:left="2300" w:right="80" w:hanging="646"/>
        <w:spacing w:after="0" w:line="260" w:lineRule="auto"/>
        <w:tabs>
          <w:tab w:leader="none" w:pos="2280" w:val="left"/>
        </w:tabs>
        <w:rPr>
          <w:sz w:val="20"/>
          <w:szCs w:val="20"/>
          <w:color w:val="auto"/>
        </w:rPr>
      </w:pPr>
      <w:r>
        <w:rPr>
          <w:rFonts w:ascii="Arial" w:cs="Arial" w:eastAsia="Arial" w:hAnsi="Arial"/>
          <w:sz w:val="14"/>
          <w:szCs w:val="14"/>
          <w:color w:val="auto"/>
        </w:rPr>
        <w:t>10.19+</w:t>
      </w:r>
      <w:r>
        <w:rPr>
          <w:sz w:val="20"/>
          <w:szCs w:val="20"/>
          <w:color w:val="auto"/>
        </w:rPr>
        <w:tab/>
      </w:r>
      <w:r>
        <w:rPr>
          <w:rFonts w:ascii="Arial" w:cs="Arial" w:eastAsia="Arial" w:hAnsi="Arial"/>
          <w:sz w:val="14"/>
          <w:szCs w:val="14"/>
          <w:color w:val="auto"/>
        </w:rPr>
        <w:t>Amendment to Employment Letter between the Registrant and Wayne Pastore accepted on April 29, 2010 (incorporated by reference to the Registrant's Current Report on Form 8-K, filed May 3, 2010 with the SEC).</w:t>
      </w:r>
    </w:p>
    <w:p>
      <w:pPr>
        <w:spacing w:after="0" w:line="1" w:lineRule="exact"/>
        <w:rPr>
          <w:sz w:val="20"/>
          <w:szCs w:val="20"/>
          <w:color w:val="auto"/>
        </w:rPr>
      </w:pPr>
    </w:p>
    <w:p>
      <w:pPr>
        <w:jc w:val="both"/>
        <w:ind w:left="2300" w:right="20" w:hanging="646"/>
        <w:spacing w:after="0" w:line="260" w:lineRule="auto"/>
        <w:tabs>
          <w:tab w:leader="none" w:pos="2280" w:val="left"/>
        </w:tabs>
        <w:rPr>
          <w:sz w:val="20"/>
          <w:szCs w:val="20"/>
          <w:color w:val="auto"/>
        </w:rPr>
      </w:pPr>
      <w:r>
        <w:rPr>
          <w:rFonts w:ascii="Arial" w:cs="Arial" w:eastAsia="Arial" w:hAnsi="Arial"/>
          <w:sz w:val="14"/>
          <w:szCs w:val="14"/>
          <w:color w:val="auto"/>
        </w:rPr>
        <w:t>10.20+</w:t>
      </w:r>
      <w:r>
        <w:rPr>
          <w:sz w:val="20"/>
          <w:szCs w:val="20"/>
          <w:color w:val="auto"/>
        </w:rPr>
        <w:tab/>
      </w:r>
      <w:r>
        <w:rPr>
          <w:rFonts w:ascii="Arial" w:cs="Arial" w:eastAsia="Arial" w:hAnsi="Arial"/>
          <w:sz w:val="14"/>
          <w:szCs w:val="14"/>
          <w:color w:val="auto"/>
        </w:rPr>
        <w:t>Retention Letter between the Registrant and Richard N. Nottenburg accepted on May 18, 2010 (incorporated by reference to the Registrant's Current Report on Form 8-K, filed May 20, 2010 with the SEC).</w:t>
      </w:r>
    </w:p>
    <w:p>
      <w:pPr>
        <w:spacing w:after="0" w:line="1" w:lineRule="exact"/>
        <w:rPr>
          <w:sz w:val="20"/>
          <w:szCs w:val="20"/>
          <w:color w:val="auto"/>
        </w:rPr>
      </w:pPr>
    </w:p>
    <w:p>
      <w:pPr>
        <w:ind w:left="2300" w:right="620" w:hanging="646"/>
        <w:spacing w:after="0" w:line="260" w:lineRule="auto"/>
        <w:tabs>
          <w:tab w:leader="none" w:pos="2280" w:val="left"/>
        </w:tabs>
        <w:rPr>
          <w:sz w:val="20"/>
          <w:szCs w:val="20"/>
          <w:color w:val="auto"/>
        </w:rPr>
      </w:pPr>
      <w:r>
        <w:rPr>
          <w:rFonts w:ascii="Arial" w:cs="Arial" w:eastAsia="Arial" w:hAnsi="Arial"/>
          <w:sz w:val="14"/>
          <w:szCs w:val="14"/>
          <w:color w:val="auto"/>
        </w:rPr>
        <w:t>10.21+</w:t>
      </w:r>
      <w:r>
        <w:rPr>
          <w:sz w:val="20"/>
          <w:szCs w:val="20"/>
          <w:color w:val="auto"/>
        </w:rPr>
        <w:tab/>
      </w:r>
      <w:r>
        <w:rPr>
          <w:rFonts w:ascii="Arial" w:cs="Arial" w:eastAsia="Arial" w:hAnsi="Arial"/>
          <w:sz w:val="14"/>
          <w:szCs w:val="14"/>
          <w:color w:val="auto"/>
        </w:rPr>
        <w:t>Employment Agreement between the Registrant and Jeffrey M. Snider accepted on June 1, 2009 (incorporated by reference to the Registrant's Quarterly Report on Form 10-Q, filed August 3, 2010 with the SEC).</w:t>
      </w:r>
    </w:p>
    <w:p>
      <w:pPr>
        <w:spacing w:after="0" w:line="1" w:lineRule="exact"/>
        <w:rPr>
          <w:sz w:val="20"/>
          <w:szCs w:val="20"/>
          <w:color w:val="auto"/>
        </w:rPr>
      </w:pPr>
    </w:p>
    <w:p>
      <w:pPr>
        <w:ind w:left="2300" w:right="400" w:hanging="646"/>
        <w:spacing w:after="0" w:line="260" w:lineRule="auto"/>
        <w:tabs>
          <w:tab w:leader="none" w:pos="2280" w:val="left"/>
        </w:tabs>
        <w:rPr>
          <w:sz w:val="20"/>
          <w:szCs w:val="20"/>
          <w:color w:val="auto"/>
        </w:rPr>
      </w:pPr>
      <w:r>
        <w:rPr>
          <w:rFonts w:ascii="Arial" w:cs="Arial" w:eastAsia="Arial" w:hAnsi="Arial"/>
          <w:sz w:val="14"/>
          <w:szCs w:val="14"/>
          <w:color w:val="auto"/>
        </w:rPr>
        <w:t>10.22+</w:t>
      </w:r>
      <w:r>
        <w:rPr>
          <w:sz w:val="20"/>
          <w:szCs w:val="20"/>
          <w:color w:val="auto"/>
        </w:rPr>
        <w:tab/>
      </w:r>
      <w:r>
        <w:rPr>
          <w:rFonts w:ascii="Arial" w:cs="Arial" w:eastAsia="Arial" w:hAnsi="Arial"/>
          <w:sz w:val="14"/>
          <w:szCs w:val="14"/>
          <w:color w:val="auto"/>
        </w:rPr>
        <w:t>Employment Agreement between the Registrant and Kumar Vishwanathan accepted on July 6, 2009 (incorporated by reference to the Registrant's Quarterly Report on Form 10-Q, filed August 3, 2010 with the SEC).</w:t>
      </w:r>
    </w:p>
    <w:p>
      <w:pPr>
        <w:spacing w:after="0" w:line="1" w:lineRule="exact"/>
        <w:rPr>
          <w:sz w:val="20"/>
          <w:szCs w:val="20"/>
          <w:color w:val="auto"/>
        </w:rPr>
      </w:pPr>
    </w:p>
    <w:p>
      <w:pPr>
        <w:ind w:left="2300" w:right="380" w:hanging="646"/>
        <w:spacing w:after="0" w:line="260" w:lineRule="auto"/>
        <w:tabs>
          <w:tab w:leader="none" w:pos="2280" w:val="left"/>
        </w:tabs>
        <w:rPr>
          <w:sz w:val="20"/>
          <w:szCs w:val="20"/>
          <w:color w:val="auto"/>
        </w:rPr>
      </w:pPr>
      <w:r>
        <w:rPr>
          <w:rFonts w:ascii="Arial" w:cs="Arial" w:eastAsia="Arial" w:hAnsi="Arial"/>
          <w:sz w:val="14"/>
          <w:szCs w:val="14"/>
          <w:color w:val="auto"/>
        </w:rPr>
        <w:t>10.23+</w:t>
      </w:r>
      <w:r>
        <w:rPr>
          <w:sz w:val="20"/>
          <w:szCs w:val="20"/>
          <w:color w:val="auto"/>
        </w:rPr>
        <w:tab/>
      </w:r>
      <w:r>
        <w:rPr>
          <w:rFonts w:ascii="Arial" w:cs="Arial" w:eastAsia="Arial" w:hAnsi="Arial"/>
          <w:sz w:val="14"/>
          <w:szCs w:val="14"/>
          <w:color w:val="auto"/>
        </w:rPr>
        <w:t>Amendment to Employment Agreement between the Registrant and Kumar Vishwanathan accepted on July 29, 2010 (incorporated by reference to the Registrant's Quarterly Report on Form 10-Q, filed August 3, 2010 with the SEC).</w:t>
      </w:r>
    </w:p>
    <w:p>
      <w:pPr>
        <w:spacing w:after="0" w:line="1" w:lineRule="exact"/>
        <w:rPr>
          <w:sz w:val="20"/>
          <w:szCs w:val="20"/>
          <w:color w:val="auto"/>
        </w:rPr>
      </w:pPr>
    </w:p>
    <w:p>
      <w:pPr>
        <w:ind w:left="2300" w:right="360" w:hanging="646"/>
        <w:spacing w:after="0" w:line="260" w:lineRule="auto"/>
        <w:tabs>
          <w:tab w:leader="none" w:pos="2280" w:val="left"/>
        </w:tabs>
        <w:rPr>
          <w:sz w:val="20"/>
          <w:szCs w:val="20"/>
          <w:color w:val="auto"/>
        </w:rPr>
      </w:pPr>
      <w:r>
        <w:rPr>
          <w:rFonts w:ascii="Arial" w:cs="Arial" w:eastAsia="Arial" w:hAnsi="Arial"/>
          <w:sz w:val="14"/>
          <w:szCs w:val="14"/>
          <w:color w:val="auto"/>
        </w:rPr>
        <w:t>10.24+</w:t>
      </w:r>
      <w:r>
        <w:rPr>
          <w:sz w:val="20"/>
          <w:szCs w:val="20"/>
          <w:color w:val="auto"/>
        </w:rPr>
        <w:tab/>
      </w:r>
      <w:r>
        <w:rPr>
          <w:rFonts w:ascii="Arial" w:cs="Arial" w:eastAsia="Arial" w:hAnsi="Arial"/>
          <w:sz w:val="14"/>
          <w:szCs w:val="14"/>
          <w:color w:val="auto"/>
        </w:rPr>
        <w:t>Employment Agreement between the Registrant and Raymond P. Dolan accepted on October 8, 2010 (incorporated by reference to the Registrant's Current Report on Form 8-K, filed October 12, 2010 with the SEC).</w:t>
      </w:r>
    </w:p>
    <w:p>
      <w:pPr>
        <w:spacing w:after="0" w:line="1" w:lineRule="exact"/>
        <w:rPr>
          <w:sz w:val="20"/>
          <w:szCs w:val="20"/>
          <w:color w:val="auto"/>
        </w:rPr>
      </w:pPr>
    </w:p>
    <w:p>
      <w:pPr>
        <w:jc w:val="both"/>
        <w:ind w:left="2300" w:right="40" w:hanging="646"/>
        <w:spacing w:after="0" w:line="260" w:lineRule="auto"/>
        <w:tabs>
          <w:tab w:leader="none" w:pos="2280" w:val="left"/>
        </w:tabs>
        <w:rPr>
          <w:sz w:val="20"/>
          <w:szCs w:val="20"/>
          <w:color w:val="auto"/>
        </w:rPr>
      </w:pPr>
      <w:r>
        <w:rPr>
          <w:rFonts w:ascii="Arial" w:cs="Arial" w:eastAsia="Arial" w:hAnsi="Arial"/>
          <w:sz w:val="14"/>
          <w:szCs w:val="14"/>
          <w:color w:val="auto"/>
        </w:rPr>
        <w:t>10.25</w:t>
      </w:r>
      <w:r>
        <w:rPr>
          <w:sz w:val="20"/>
          <w:szCs w:val="20"/>
          <w:color w:val="auto"/>
        </w:rPr>
        <w:tab/>
      </w:r>
      <w:r>
        <w:rPr>
          <w:rFonts w:ascii="Arial" w:cs="Arial" w:eastAsia="Arial" w:hAnsi="Arial"/>
          <w:sz w:val="14"/>
          <w:szCs w:val="14"/>
          <w:color w:val="auto"/>
        </w:rPr>
        <w:t>Lease, dated August 11, 2010, between Michelson Farm-Westford Technology Park IV Limited Partnership and the Registrant with respect to the property located at 4 Technology Park Drive, Westford, Massachusetts (incorporated by reference to the Registrant's Quarterly Report on Form 10-Q, filed November 2, 2010 with the SEC).</w:t>
      </w:r>
    </w:p>
    <w:p>
      <w:pPr>
        <w:spacing w:after="0" w:line="1" w:lineRule="exact"/>
        <w:rPr>
          <w:sz w:val="20"/>
          <w:szCs w:val="20"/>
          <w:color w:val="auto"/>
        </w:rPr>
      </w:pPr>
    </w:p>
    <w:p>
      <w:pPr>
        <w:ind w:left="2300" w:right="200" w:hanging="646"/>
        <w:spacing w:after="0" w:line="260" w:lineRule="auto"/>
        <w:tabs>
          <w:tab w:leader="none" w:pos="2280" w:val="left"/>
        </w:tabs>
        <w:rPr>
          <w:sz w:val="20"/>
          <w:szCs w:val="20"/>
          <w:color w:val="auto"/>
        </w:rPr>
      </w:pPr>
      <w:r>
        <w:rPr>
          <w:rFonts w:ascii="Arial" w:cs="Arial" w:eastAsia="Arial" w:hAnsi="Arial"/>
          <w:sz w:val="14"/>
          <w:szCs w:val="14"/>
          <w:color w:val="auto"/>
        </w:rPr>
        <w:t>10.26</w:t>
      </w:r>
      <w:r>
        <w:rPr>
          <w:sz w:val="20"/>
          <w:szCs w:val="20"/>
          <w:color w:val="auto"/>
        </w:rPr>
        <w:tab/>
      </w:r>
      <w:r>
        <w:rPr>
          <w:rFonts w:ascii="Arial" w:cs="Arial" w:eastAsia="Arial" w:hAnsi="Arial"/>
          <w:sz w:val="14"/>
          <w:szCs w:val="14"/>
          <w:color w:val="auto"/>
        </w:rPr>
        <w:t>First Amendment to Lease, dated October 27, 2010, between Michelson Farm-Westford Technology Park IV Limited Partnership and the Registrant with respect to the property located at 4 Technology Park Drive, Westford, Massachusetts (incorporated by reference to the Registrant's Quarterly Report on Form 10-Q, filed November 2, 2010 with the SEC).</w:t>
      </w:r>
    </w:p>
    <w:p>
      <w:pPr>
        <w:spacing w:after="0" w:line="1" w:lineRule="exact"/>
        <w:rPr>
          <w:sz w:val="20"/>
          <w:szCs w:val="20"/>
          <w:color w:val="auto"/>
        </w:rPr>
      </w:pPr>
    </w:p>
    <w:p>
      <w:pPr>
        <w:ind w:left="2300" w:right="60" w:hanging="646"/>
        <w:spacing w:after="0" w:line="336" w:lineRule="auto"/>
        <w:tabs>
          <w:tab w:leader="none" w:pos="2280" w:val="left"/>
        </w:tabs>
        <w:rPr>
          <w:sz w:val="20"/>
          <w:szCs w:val="20"/>
          <w:color w:val="auto"/>
        </w:rPr>
      </w:pPr>
      <w:r>
        <w:rPr>
          <w:rFonts w:ascii="Arial" w:cs="Arial" w:eastAsia="Arial" w:hAnsi="Arial"/>
          <w:sz w:val="14"/>
          <w:szCs w:val="14"/>
          <w:color w:val="auto"/>
        </w:rPr>
        <w:t>10.27</w:t>
      </w:r>
      <w:r>
        <w:rPr>
          <w:sz w:val="20"/>
          <w:szCs w:val="20"/>
          <w:color w:val="auto"/>
        </w:rPr>
        <w:tab/>
      </w:r>
      <w:r>
        <w:rPr>
          <w:rFonts w:ascii="Arial" w:cs="Arial" w:eastAsia="Arial" w:hAnsi="Arial"/>
          <w:sz w:val="12"/>
          <w:szCs w:val="12"/>
          <w:color w:val="auto"/>
        </w:rPr>
        <w:t>Lease and Sublease Termination Agreement, dated August 11, 2010, by and among Michelson Farm-Westford Technology Park V and VIII Limited Partnership, Teradyne, inc. and the Registrant with respect to the properties located at 7 and 9 Technology Park Drive, Westford, Massachusetts (incorporated by reference to the Registrant's Quarterly Report on Form 10-Q, filed November 2, 2010 with the SEC).</w:t>
      </w:r>
    </w:p>
    <w:p>
      <w:pPr>
        <w:spacing w:after="0" w:line="114"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0300"/>
          </w:cols>
          <w:pgMar w:left="220" w:top="132" w:right="137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ind w:left="1300"/>
        <w:spacing w:after="0"/>
        <w:tabs>
          <w:tab w:leader="none" w:pos="6020" w:val="left"/>
        </w:tabs>
        <w:rPr>
          <w:sz w:val="20"/>
          <w:szCs w:val="20"/>
          <w:color w:val="auto"/>
        </w:rPr>
      </w:pPr>
      <w:r>
        <w:rPr>
          <w:rFonts w:ascii="Arial" w:cs="Arial" w:eastAsia="Arial" w:hAnsi="Arial"/>
          <w:sz w:val="11"/>
          <w:szCs w:val="11"/>
          <w:b w:val="1"/>
          <w:bCs w:val="1"/>
          <w:color w:val="auto"/>
        </w:rPr>
        <w:t>Exhibit No.</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3175</wp:posOffset>
            </wp:positionV>
            <wp:extent cx="58153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15330" cy="6985"/>
                    </a:xfrm>
                    <a:prstGeom prst="rect">
                      <a:avLst/>
                    </a:prstGeom>
                    <a:noFill/>
                  </pic:spPr>
                </pic:pic>
              </a:graphicData>
            </a:graphic>
          </wp:anchor>
        </w:drawing>
      </w:r>
    </w:p>
    <w:p>
      <w:pPr>
        <w:ind w:left="2300" w:right="159" w:hanging="646"/>
        <w:spacing w:after="0" w:line="259" w:lineRule="auto"/>
        <w:tabs>
          <w:tab w:leader="none" w:pos="2280" w:val="left"/>
        </w:tabs>
        <w:rPr>
          <w:sz w:val="20"/>
          <w:szCs w:val="20"/>
          <w:color w:val="auto"/>
        </w:rPr>
      </w:pPr>
      <w:r>
        <w:rPr>
          <w:rFonts w:ascii="Arial" w:cs="Arial" w:eastAsia="Arial" w:hAnsi="Arial"/>
          <w:sz w:val="14"/>
          <w:szCs w:val="14"/>
          <w:color w:val="auto"/>
        </w:rPr>
        <w:t>10.28+</w:t>
      </w:r>
      <w:r>
        <w:rPr>
          <w:sz w:val="20"/>
          <w:szCs w:val="20"/>
          <w:color w:val="auto"/>
        </w:rPr>
        <w:tab/>
      </w:r>
      <w:r>
        <w:rPr>
          <w:rFonts w:ascii="Arial" w:cs="Arial" w:eastAsia="Arial" w:hAnsi="Arial"/>
          <w:sz w:val="14"/>
          <w:szCs w:val="14"/>
          <w:color w:val="auto"/>
        </w:rPr>
        <w:t>Separation Letter between the Registrant and Gurudutt Pai accepted on December 29, 2010 (incorporated by reference to the Registrant's Current Report on Form 8-K, filed December 30, 2010 with the SEC).</w:t>
      </w:r>
    </w:p>
    <w:p>
      <w:pPr>
        <w:spacing w:after="0" w:line="1" w:lineRule="exact"/>
        <w:rPr>
          <w:sz w:val="20"/>
          <w:szCs w:val="20"/>
          <w:color w:val="auto"/>
        </w:rPr>
      </w:pPr>
    </w:p>
    <w:p>
      <w:pPr>
        <w:ind w:left="1660"/>
        <w:spacing w:after="0"/>
        <w:tabs>
          <w:tab w:leader="none" w:pos="2280" w:val="left"/>
        </w:tabs>
        <w:rPr>
          <w:sz w:val="20"/>
          <w:szCs w:val="20"/>
          <w:color w:val="auto"/>
        </w:rPr>
      </w:pPr>
      <w:r>
        <w:rPr>
          <w:rFonts w:ascii="Arial" w:cs="Arial" w:eastAsia="Arial" w:hAnsi="Arial"/>
          <w:sz w:val="14"/>
          <w:szCs w:val="14"/>
          <w:color w:val="auto"/>
        </w:rPr>
        <w:t>10.29*+</w:t>
      </w:r>
      <w:r>
        <w:rPr>
          <w:sz w:val="20"/>
          <w:szCs w:val="20"/>
          <w:color w:val="auto"/>
        </w:rPr>
        <w:tab/>
      </w:r>
      <w:r>
        <w:rPr>
          <w:rFonts w:ascii="Arial" w:cs="Arial" w:eastAsia="Arial" w:hAnsi="Arial"/>
          <w:sz w:val="12"/>
          <w:szCs w:val="12"/>
          <w:color w:val="auto"/>
        </w:rPr>
        <w:t>Employment Agreement between the Registrant and Wayne Pastore accepted on December 28, 2007.</w:t>
      </w:r>
    </w:p>
    <w:p>
      <w:pPr>
        <w:spacing w:after="0" w:line="14" w:lineRule="exact"/>
        <w:rPr>
          <w:sz w:val="20"/>
          <w:szCs w:val="20"/>
          <w:color w:val="auto"/>
        </w:rPr>
      </w:pPr>
    </w:p>
    <w:p>
      <w:pPr>
        <w:ind w:left="2300" w:right="539" w:hanging="646"/>
        <w:spacing w:after="0" w:line="260" w:lineRule="auto"/>
        <w:tabs>
          <w:tab w:leader="none" w:pos="2280" w:val="left"/>
        </w:tabs>
        <w:rPr>
          <w:sz w:val="20"/>
          <w:szCs w:val="20"/>
          <w:color w:val="auto"/>
        </w:rPr>
      </w:pPr>
      <w:r>
        <w:rPr>
          <w:rFonts w:ascii="Arial" w:cs="Arial" w:eastAsia="Arial" w:hAnsi="Arial"/>
          <w:sz w:val="14"/>
          <w:szCs w:val="14"/>
          <w:color w:val="auto"/>
        </w:rPr>
        <w:t>10.30+</w:t>
      </w:r>
      <w:r>
        <w:rPr>
          <w:sz w:val="20"/>
          <w:szCs w:val="20"/>
          <w:color w:val="auto"/>
        </w:rPr>
        <w:tab/>
      </w:r>
      <w:r>
        <w:rPr>
          <w:rFonts w:ascii="Arial" w:cs="Arial" w:eastAsia="Arial" w:hAnsi="Arial"/>
          <w:sz w:val="14"/>
          <w:szCs w:val="14"/>
          <w:color w:val="auto"/>
        </w:rPr>
        <w:t>Employment Agreement between the Registrant and Rajiv Laroia accepted on February 11, 2011 (incorporated by reference to the Registrant's Current Report on Form 8-K, filed February 16, 2011 with the SEC).</w:t>
      </w:r>
    </w:p>
    <w:p>
      <w:pPr>
        <w:spacing w:after="0" w:line="1" w:lineRule="exact"/>
        <w:rPr>
          <w:sz w:val="20"/>
          <w:szCs w:val="20"/>
          <w:color w:val="auto"/>
        </w:rPr>
      </w:pPr>
    </w:p>
    <w:p>
      <w:pPr>
        <w:ind w:left="2300" w:right="179" w:hanging="646"/>
        <w:spacing w:after="0" w:line="260" w:lineRule="auto"/>
        <w:tabs>
          <w:tab w:leader="none" w:pos="2280" w:val="left"/>
        </w:tabs>
        <w:rPr>
          <w:sz w:val="20"/>
          <w:szCs w:val="20"/>
          <w:color w:val="auto"/>
        </w:rPr>
      </w:pPr>
      <w:r>
        <w:rPr>
          <w:rFonts w:ascii="Arial" w:cs="Arial" w:eastAsia="Arial" w:hAnsi="Arial"/>
          <w:sz w:val="14"/>
          <w:szCs w:val="14"/>
          <w:color w:val="auto"/>
        </w:rPr>
        <w:t>10.31+</w:t>
      </w:r>
      <w:r>
        <w:rPr>
          <w:sz w:val="20"/>
          <w:szCs w:val="20"/>
          <w:color w:val="auto"/>
        </w:rPr>
        <w:tab/>
      </w:r>
      <w:r>
        <w:rPr>
          <w:rFonts w:ascii="Arial" w:cs="Arial" w:eastAsia="Arial" w:hAnsi="Arial"/>
          <w:sz w:val="14"/>
          <w:szCs w:val="14"/>
          <w:color w:val="auto"/>
        </w:rPr>
        <w:t>Amendment to Employment Agreement between the Registrant and Raymond P. Dolan, accepted on February 14, 2011 (incorporated by reference to the Registrant's Current Report on Form 8-K, filed February 16, 2011 with the SEC).</w:t>
      </w:r>
    </w:p>
    <w:p>
      <w:pPr>
        <w:spacing w:after="0" w:line="1" w:lineRule="exact"/>
        <w:rPr>
          <w:sz w:val="20"/>
          <w:szCs w:val="20"/>
          <w:color w:val="auto"/>
        </w:rPr>
      </w:pPr>
    </w:p>
    <w:p>
      <w:pPr>
        <w:ind w:left="2300" w:right="39" w:hanging="575"/>
        <w:spacing w:after="0" w:line="260" w:lineRule="auto"/>
        <w:tabs>
          <w:tab w:leader="none" w:pos="228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4"/>
          <w:szCs w:val="14"/>
          <w:color w:val="auto"/>
        </w:rPr>
        <w:t>Corporate Code of Conduct and Ethics (incorporated by reference to the Registrant's Current Report on Form 8-K, filed April 1, 2009 with the SEC).</w:t>
      </w:r>
    </w:p>
    <w:p>
      <w:pPr>
        <w:spacing w:after="0" w:line="1"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2"/>
          <w:szCs w:val="12"/>
          <w:color w:val="auto"/>
        </w:rPr>
        <w:t>Subsidiaries of the Registrant.</w:t>
      </w:r>
    </w:p>
    <w:p>
      <w:pPr>
        <w:spacing w:after="0" w:line="14"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3"/>
          <w:szCs w:val="13"/>
          <w:color w:val="auto"/>
        </w:rPr>
        <w:t>Consent of Independent Registered Public Accounting Firm, Deloitte &amp; Touche LLP</w:t>
      </w:r>
    </w:p>
    <w:p>
      <w:pPr>
        <w:spacing w:after="0" w:line="14"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Certificate of Sonus Networks, Inc. Chief Executive Officer Pursuant to Section 302 of the Sarbanes-Oxley Act of 2002.</w:t>
      </w:r>
    </w:p>
    <w:p>
      <w:pPr>
        <w:spacing w:after="0" w:line="14"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Certificate of Sonus Networks, Inc. Chief Financial Officer Pursuant to Section 302 of the Sarbanes-Oxley Act of 2002.</w:t>
      </w:r>
    </w:p>
    <w:p>
      <w:pPr>
        <w:spacing w:after="0" w:line="14"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Certificate of Sonus Networks, Inc. Chief Executive Officer Pursuant to Section 906 of the Sarbanes-Oxley Act of 2002.</w:t>
      </w:r>
    </w:p>
    <w:p>
      <w:pPr>
        <w:spacing w:after="0" w:line="14"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3"/>
          <w:szCs w:val="13"/>
          <w:color w:val="auto"/>
        </w:rPr>
        <w:t>Certificate of Sonus Networks, Inc.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65405</wp:posOffset>
            </wp:positionV>
            <wp:extent cx="17138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3865" cy="6985"/>
                    </a:xfrm>
                    <a:prstGeom prst="rect">
                      <a:avLst/>
                    </a:prstGeom>
                    <a:noFill/>
                  </pic:spPr>
                </pic:pic>
              </a:graphicData>
            </a:graphic>
          </wp:anchor>
        </w:drawing>
      </w:r>
    </w:p>
    <w:p>
      <w:pPr>
        <w:spacing w:after="0" w:line="272" w:lineRule="exact"/>
        <w:rPr>
          <w:sz w:val="20"/>
          <w:szCs w:val="20"/>
          <w:color w:val="auto"/>
        </w:rPr>
      </w:pPr>
    </w:p>
    <w:p>
      <w:pPr>
        <w:ind w:left="1580" w:hanging="427"/>
        <w:spacing w:after="0"/>
        <w:tabs>
          <w:tab w:leader="none" w:pos="1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1" w:lineRule="exact"/>
        <w:rPr>
          <w:sz w:val="20"/>
          <w:szCs w:val="20"/>
          <w:color w:val="auto"/>
        </w:rPr>
      </w:pPr>
    </w:p>
    <w:p>
      <w:pPr>
        <w:jc w:val="center"/>
        <w:ind w:left="5620" w:right="139" w:hanging="4467"/>
        <w:spacing w:after="0" w:line="550" w:lineRule="auto"/>
        <w:tabs>
          <w:tab w:leader="none" w:pos="1582"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filed in response to Item 15(a)(3) of the Instructions to the Annual Report on Form 10-K.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278370"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0239"/>
          </w:cols>
          <w:pgMar w:left="220" w:top="132" w:right="1440" w:bottom="1440" w:gutter="0" w:footer="0" w:header="0"/>
        </w:sectPr>
      </w:pPr>
    </w:p>
    <w:bookmarkStart w:id="104" w:name="page105"/>
    <w:bookmarkEnd w:id="10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rFonts w:ascii="Arial" w:cs="Arial" w:eastAsia="Arial" w:hAnsi="Arial"/>
          <w:sz w:val="15"/>
          <w:szCs w:val="15"/>
          <w:b w:val="1"/>
          <w:bCs w:val="1"/>
          <w:color w:val="auto"/>
        </w:rPr>
        <w:t>Exhibit 10.14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SONUS NETWORKS,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2007 STOCK INCENTIVE PLAN, AS AMENDED</w:t>
      </w:r>
    </w:p>
    <w:p>
      <w:pPr>
        <w:spacing w:after="0" w:line="181" w:lineRule="exact"/>
        <w:rPr>
          <w:sz w:val="20"/>
          <w:szCs w:val="20"/>
          <w:color w:val="auto"/>
        </w:rPr>
      </w:pPr>
    </w:p>
    <w:p>
      <w:pPr>
        <w:ind w:left="540" w:hanging="533"/>
        <w:spacing w:after="0"/>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w:t>
      </w:r>
    </w:p>
    <w:p>
      <w:pPr>
        <w:spacing w:after="0" w:line="177" w:lineRule="exact"/>
        <w:rPr>
          <w:sz w:val="20"/>
          <w:szCs w:val="20"/>
          <w:color w:val="auto"/>
        </w:rPr>
      </w:pPr>
    </w:p>
    <w:p>
      <w:pPr>
        <w:ind w:right="40" w:firstLine="525"/>
        <w:spacing w:after="0" w:line="267" w:lineRule="auto"/>
        <w:rPr>
          <w:sz w:val="20"/>
          <w:szCs w:val="20"/>
          <w:color w:val="auto"/>
        </w:rPr>
      </w:pPr>
      <w:r>
        <w:rPr>
          <w:rFonts w:ascii="Arial" w:cs="Arial" w:eastAsia="Arial" w:hAnsi="Arial"/>
          <w:sz w:val="14"/>
          <w:szCs w:val="14"/>
          <w:color w:val="auto"/>
        </w:rPr>
        <w:t>The purpose of this 2007 Stock Incentive Plan (the “Plan”) of Sonus Networks,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49" w:lineRule="exact"/>
        <w:rPr>
          <w:sz w:val="20"/>
          <w:szCs w:val="20"/>
          <w:color w:val="auto"/>
        </w:rPr>
      </w:pPr>
    </w:p>
    <w:p>
      <w:pPr>
        <w:ind w:left="540" w:hanging="533"/>
        <w:spacing w:after="0"/>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w:t>
      </w:r>
    </w:p>
    <w:p>
      <w:pPr>
        <w:spacing w:after="0" w:line="177" w:lineRule="exact"/>
        <w:rPr>
          <w:sz w:val="20"/>
          <w:szCs w:val="20"/>
          <w:color w:val="auto"/>
        </w:rPr>
      </w:pPr>
    </w:p>
    <w:p>
      <w:pPr>
        <w:ind w:right="60" w:firstLine="525"/>
        <w:spacing w:after="0" w:line="259" w:lineRule="auto"/>
        <w:rPr>
          <w:sz w:val="20"/>
          <w:szCs w:val="20"/>
          <w:color w:val="auto"/>
        </w:rPr>
      </w:pPr>
      <w:r>
        <w:rPr>
          <w:rFonts w:ascii="Arial" w:cs="Arial" w:eastAsia="Arial" w:hAnsi="Arial"/>
          <w:sz w:val="15"/>
          <w:szCs w:val="15"/>
          <w:color w:val="auto"/>
        </w:rPr>
        <w:t>All of the Company’s employees, officers, directors, consultants and advisors are eligible to receive options, stock appreciation rights (“SARs”), restricted stock, restricted stock units and other stock-based awards (each, an “Award”) under the Plan. Each person who receives an Award under the Plan is deemed a “Participant”.</w:t>
      </w:r>
    </w:p>
    <w:p>
      <w:pPr>
        <w:spacing w:after="0" w:line="152" w:lineRule="exact"/>
        <w:rPr>
          <w:sz w:val="20"/>
          <w:szCs w:val="20"/>
          <w:color w:val="auto"/>
        </w:rPr>
      </w:pPr>
    </w:p>
    <w:p>
      <w:pPr>
        <w:ind w:left="540" w:hanging="533"/>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Administration and Delegation</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80" w:firstLine="532"/>
        <w:spacing w:after="0" w:line="246" w:lineRule="auto"/>
        <w:tabs>
          <w:tab w:leader="none" w:pos="1058" w:val="left"/>
        </w:tabs>
        <w:numPr>
          <w:ilvl w:val="1"/>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Administration by Board of Directors. </w:t>
      </w:r>
      <w:r>
        <w:rPr>
          <w:rFonts w:ascii="Arial" w:cs="Arial" w:eastAsia="Arial" w:hAnsi="Arial"/>
          <w:sz w:val="15"/>
          <w:szCs w:val="15"/>
          <w:color w:val="auto"/>
        </w:rPr>
        <w:t>The Plan will be administered by the Board. The Board shall have authority to grant Awards and to adopt, amend and repeal such</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63" w:lineRule="exact"/>
        <w:rPr>
          <w:rFonts w:ascii="Arial" w:cs="Arial" w:eastAsia="Arial" w:hAnsi="Arial"/>
          <w:sz w:val="15"/>
          <w:szCs w:val="15"/>
          <w:color w:val="auto"/>
        </w:rPr>
      </w:pPr>
    </w:p>
    <w:p>
      <w:pPr>
        <w:ind w:right="800" w:firstLine="532"/>
        <w:spacing w:after="0" w:line="259" w:lineRule="auto"/>
        <w:tabs>
          <w:tab w:leader="none" w:pos="1055" w:val="left"/>
        </w:tabs>
        <w:numPr>
          <w:ilvl w:val="1"/>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Appointment of Committees. </w:t>
      </w:r>
      <w:r>
        <w:rPr>
          <w:rFonts w:ascii="Arial" w:cs="Arial" w:eastAsia="Arial" w:hAnsi="Arial"/>
          <w:sz w:val="15"/>
          <w:szCs w:val="15"/>
          <w:color w:val="auto"/>
        </w:rPr>
        <w:t>To the extent permitted by applicable law, the Board may delegate any or all of its powers under the Plan to one or more committees or</w:t>
      </w:r>
      <w:r>
        <w:rPr>
          <w:rFonts w:ascii="Arial" w:cs="Arial" w:eastAsia="Arial" w:hAnsi="Arial"/>
          <w:sz w:val="15"/>
          <w:szCs w:val="15"/>
          <w:i w:val="1"/>
          <w:iCs w:val="1"/>
          <w:color w:val="auto"/>
        </w:rPr>
        <w:t xml:space="preserve"> </w:t>
      </w:r>
      <w:r>
        <w:rPr>
          <w:rFonts w:ascii="Arial" w:cs="Arial" w:eastAsia="Arial" w:hAnsi="Arial"/>
          <w:sz w:val="15"/>
          <w:szCs w:val="15"/>
          <w:color w:val="auto"/>
        </w:rPr>
        <w:t>subcommittees of the Board (a “Committee”). All references in the Plan to the “Board” shall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60"/>
        <w:spacing w:after="0" w:line="259" w:lineRule="auto"/>
        <w:rPr>
          <w:sz w:val="20"/>
          <w:szCs w:val="20"/>
          <w:color w:val="auto"/>
        </w:rPr>
      </w:pPr>
      <w:r>
        <w:rPr>
          <w:rFonts w:ascii="Arial" w:cs="Arial" w:eastAsia="Arial" w:hAnsi="Arial"/>
          <w:sz w:val="15"/>
          <w:szCs w:val="15"/>
          <w:color w:val="auto"/>
        </w:rPr>
        <w:t>mean the Board or a Committee of the Board or the officers referred to in Section 3(c) to the extent that the Board’s powers or authority under the Plan have been delegated to such Committee or officers.</w:t>
      </w:r>
    </w:p>
    <w:p>
      <w:pPr>
        <w:spacing w:after="0" w:line="152" w:lineRule="exact"/>
        <w:rPr>
          <w:sz w:val="20"/>
          <w:szCs w:val="20"/>
          <w:color w:val="auto"/>
        </w:rPr>
      </w:pPr>
    </w:p>
    <w:p>
      <w:pPr>
        <w:ind w:right="20" w:firstLine="532"/>
        <w:spacing w:after="0" w:line="246" w:lineRule="auto"/>
        <w:tabs>
          <w:tab w:leader="none" w:pos="1058" w:val="left"/>
        </w:tabs>
        <w:numPr>
          <w:ilvl w:val="1"/>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Delegation to Officers. </w:t>
      </w:r>
      <w:r>
        <w:rPr>
          <w:rFonts w:ascii="Arial" w:cs="Arial" w:eastAsia="Arial" w:hAnsi="Arial"/>
          <w:sz w:val="15"/>
          <w:szCs w:val="15"/>
          <w:color w:val="auto"/>
        </w:rPr>
        <w:t>To the extent permitted by applicable law, the Board may delegate to one or more officers of the Company the power to grant Awards (subject to any</w:t>
      </w:r>
      <w:r>
        <w:rPr>
          <w:rFonts w:ascii="Arial" w:cs="Arial" w:eastAsia="Arial" w:hAnsi="Arial"/>
          <w:sz w:val="15"/>
          <w:szCs w:val="15"/>
          <w:i w:val="1"/>
          <w:iCs w:val="1"/>
          <w:color w:val="auto"/>
        </w:rPr>
        <w:t xml:space="preserve"> </w:t>
      </w:r>
      <w:r>
        <w:rPr>
          <w:rFonts w:ascii="Arial" w:cs="Arial" w:eastAsia="Arial" w:hAnsi="Arial"/>
          <w:sz w:val="15"/>
          <w:szCs w:val="15"/>
          <w:color w:val="auto"/>
        </w:rPr>
        <w:t>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63" w:lineRule="exact"/>
        <w:rPr>
          <w:rFonts w:ascii="Arial" w:cs="Arial" w:eastAsia="Arial" w:hAnsi="Arial"/>
          <w:sz w:val="15"/>
          <w:szCs w:val="15"/>
          <w:color w:val="auto"/>
        </w:rPr>
      </w:pPr>
    </w:p>
    <w:p>
      <w:pPr>
        <w:ind w:left="540" w:hanging="533"/>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Stock Available for Awards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80" w:firstLine="532"/>
        <w:spacing w:after="0" w:line="383" w:lineRule="auto"/>
        <w:tabs>
          <w:tab w:leader="none" w:pos="1058" w:val="left"/>
        </w:tabs>
        <w:numPr>
          <w:ilvl w:val="1"/>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Number of Shares. </w:t>
      </w:r>
      <w:r>
        <w:rPr>
          <w:rFonts w:ascii="Arial" w:cs="Arial" w:eastAsia="Arial" w:hAnsi="Arial"/>
          <w:sz w:val="12"/>
          <w:szCs w:val="12"/>
          <w:color w:val="auto"/>
        </w:rPr>
        <w:t>Subject to adjustment under Section 9, the aggregate number of shares of common stock, $0.001 par value per share, of the Company (the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reserved for Awards under the Plan is 34,902,701. Shares issued under the Plan may consist in whole or in part of authorized but unissued shares or treasury shares.</w:t>
      </w:r>
    </w:p>
    <w:p>
      <w:pPr>
        <w:spacing w:after="0" w:line="84" w:lineRule="exact"/>
        <w:rPr>
          <w:rFonts w:ascii="Arial" w:cs="Arial" w:eastAsia="Arial" w:hAnsi="Arial"/>
          <w:sz w:val="12"/>
          <w:szCs w:val="12"/>
          <w:color w:val="auto"/>
        </w:rPr>
      </w:pPr>
    </w:p>
    <w:p>
      <w:pPr>
        <w:ind w:right="40" w:firstLine="532"/>
        <w:spacing w:after="0" w:line="263" w:lineRule="auto"/>
        <w:tabs>
          <w:tab w:leader="none" w:pos="1055" w:val="left"/>
        </w:tabs>
        <w:numPr>
          <w:ilvl w:val="1"/>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Share Count. </w:t>
      </w:r>
      <w:r>
        <w:rPr>
          <w:rFonts w:ascii="Arial" w:cs="Arial" w:eastAsia="Arial" w:hAnsi="Arial"/>
          <w:sz w:val="14"/>
          <w:szCs w:val="14"/>
          <w:color w:val="auto"/>
        </w:rPr>
        <w:t>Shares issued pursuant to Awards of Restricted Stock or Restricted Stock Units or Other Stock Unit Awards will count against the shares of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for issuance under the Plan as one and one-half (1.5) shares for every one (1) share issued in connection with the Award. Shares issued pursuant to the exercise of Options will count against the shares available for issuance under the Plan as one (1) share for every one (1) share to which such exercise relates. The total number of shares subject to SARs that are settled in shares shall be counted in full against the number of shares available for issuance under the Plan, regardless of the number of shares actually issued upon settlement of the SARs. If Awards are settled in cash, the shares that would have been delivered had there been no cash settlement shall not be counted against the shares available for issuance under the Plan.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then the shares of Common Stock covered by such Award shall again become available for the grant of Awards under the Plan; provided that any one (1) share issued as Restricted Stock or subject to a Restricted Stock Unit Award or Other Stock Unit Award that is forfeited or terminated shall be credited as one and one-half (1.5) shares when determining the number of shares that shall again become available for Awards under the Plan. Shares that are exchanged by a Participant or withheld by the Company as full or partial payment in connection with any Award under the Plan, as well as any shares exchanged by a Participant or withheld by the Company to satisfy the tax withholding obligations related to any Award, shall not be available for subsequent Awards under the Plan. In the case of Incentive Stock Options (as hereinafter defined), the foregoing provisions shall be subject to any limitations under the Code.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60" w:hanging="528"/>
        <w:spacing w:after="0"/>
        <w:tabs>
          <w:tab w:leader="none" w:pos="1060" w:val="left"/>
        </w:tabs>
        <w:numPr>
          <w:ilvl w:val="1"/>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Sub-limits. </w:t>
      </w:r>
      <w:r>
        <w:rPr>
          <w:rFonts w:ascii="Arial" w:cs="Arial" w:eastAsia="Arial" w:hAnsi="Arial"/>
          <w:sz w:val="15"/>
          <w:szCs w:val="15"/>
          <w:color w:val="auto"/>
        </w:rPr>
        <w:t>Subject to adjustment under Section 9, the following sub-limits on the number of shares subject to Awards shall apply:</w:t>
      </w:r>
    </w:p>
    <w:p>
      <w:pPr>
        <w:spacing w:after="0" w:line="177" w:lineRule="exact"/>
        <w:rPr>
          <w:rFonts w:ascii="Arial" w:cs="Arial" w:eastAsia="Arial" w:hAnsi="Arial"/>
          <w:sz w:val="15"/>
          <w:szCs w:val="15"/>
          <w:color w:val="auto"/>
        </w:rPr>
      </w:pPr>
    </w:p>
    <w:p>
      <w:pPr>
        <w:ind w:right="80" w:firstLine="1057"/>
        <w:spacing w:after="0" w:line="248" w:lineRule="auto"/>
        <w:tabs>
          <w:tab w:leader="none" w:pos="1590" w:val="left"/>
        </w:tabs>
        <w:numPr>
          <w:ilvl w:val="2"/>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Section 162(m) Per-Participant Limit. </w:t>
      </w:r>
      <w:r>
        <w:rPr>
          <w:rFonts w:ascii="Arial" w:cs="Arial" w:eastAsia="Arial" w:hAnsi="Arial"/>
          <w:sz w:val="15"/>
          <w:szCs w:val="15"/>
          <w:color w:val="auto"/>
        </w:rPr>
        <w:t>The maximum number of shares of Common Stock with respect to which Awards may be granted to any Participant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Plan shall be 2,000,000 per calendar year. For purposes of the foregoing limit, the combination of an Option in tandem with a SAR (as each is hereafter defined) shall be treated as a single Award. The per-Participant limit described in this Section 4(b)(1) shall be construed and applied consistently with Section 162(m) of the Code or any successor provision thereto, and the regulations thereunder (“Section 162(m)”).</w:t>
      </w:r>
    </w:p>
    <w:p>
      <w:pPr>
        <w:spacing w:after="0" w:line="161" w:lineRule="exact"/>
        <w:rPr>
          <w:rFonts w:ascii="Arial" w:cs="Arial" w:eastAsia="Arial" w:hAnsi="Arial"/>
          <w:sz w:val="15"/>
          <w:szCs w:val="15"/>
          <w:color w:val="auto"/>
        </w:rPr>
      </w:pPr>
    </w:p>
    <w:p>
      <w:pPr>
        <w:ind w:right="40" w:firstLine="1057"/>
        <w:spacing w:after="0" w:line="259" w:lineRule="auto"/>
        <w:tabs>
          <w:tab w:leader="none" w:pos="1590" w:val="left"/>
        </w:tabs>
        <w:numPr>
          <w:ilvl w:val="2"/>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Limit on Awards to Directors. </w:t>
      </w:r>
      <w:r>
        <w:rPr>
          <w:rFonts w:ascii="Arial" w:cs="Arial" w:eastAsia="Arial" w:hAnsi="Arial"/>
          <w:sz w:val="15"/>
          <w:szCs w:val="15"/>
          <w:color w:val="auto"/>
        </w:rPr>
        <w:t>The maximum number of shares with respect to which Awards may be granted to any director who is not an employee of the Company at</w:t>
      </w:r>
      <w:r>
        <w:rPr>
          <w:rFonts w:ascii="Arial" w:cs="Arial" w:eastAsia="Arial" w:hAnsi="Arial"/>
          <w:sz w:val="15"/>
          <w:szCs w:val="15"/>
          <w:i w:val="1"/>
          <w:iCs w:val="1"/>
          <w:color w:val="auto"/>
        </w:rPr>
        <w:t xml:space="preserve"> </w:t>
      </w:r>
      <w:r>
        <w:rPr>
          <w:rFonts w:ascii="Arial" w:cs="Arial" w:eastAsia="Arial" w:hAnsi="Arial"/>
          <w:sz w:val="15"/>
          <w:szCs w:val="15"/>
          <w:color w:val="auto"/>
        </w:rPr>
        <w:t>the time of grant shall be 100,000 per calendar year.</w:t>
      </w:r>
    </w:p>
    <w:p>
      <w:pPr>
        <w:spacing w:after="0" w:line="152" w:lineRule="exact"/>
        <w:rPr>
          <w:rFonts w:ascii="Arial" w:cs="Arial" w:eastAsia="Arial" w:hAnsi="Arial"/>
          <w:sz w:val="15"/>
          <w:szCs w:val="15"/>
          <w:color w:val="auto"/>
        </w:rPr>
      </w:pPr>
    </w:p>
    <w:p>
      <w:pPr>
        <w:ind w:right="120" w:firstLine="532"/>
        <w:spacing w:after="0" w:line="271" w:lineRule="auto"/>
        <w:tabs>
          <w:tab w:leader="none" w:pos="1055" w:val="left"/>
        </w:tabs>
        <w:numPr>
          <w:ilvl w:val="1"/>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Substitute Awards. </w:t>
      </w:r>
      <w:r>
        <w:rPr>
          <w:rFonts w:ascii="Arial" w:cs="Arial" w:eastAsia="Arial" w:hAnsi="Arial"/>
          <w:sz w:val="14"/>
          <w:szCs w:val="14"/>
          <w:color w:val="auto"/>
        </w:rPr>
        <w:t>In connection with a merger or consolidation of an entity with the Company or the acquisition by the Company of property or stock of an entity, the Board</w:t>
      </w:r>
      <w:r>
        <w:rPr>
          <w:rFonts w:ascii="Arial" w:cs="Arial" w:eastAsia="Arial" w:hAnsi="Arial"/>
          <w:sz w:val="14"/>
          <w:szCs w:val="14"/>
          <w:i w:val="1"/>
          <w:iCs w:val="1"/>
          <w:color w:val="auto"/>
        </w:rPr>
        <w:t xml:space="preserve"> </w:t>
      </w:r>
      <w:r>
        <w:rPr>
          <w:rFonts w:ascii="Arial" w:cs="Arial" w:eastAsia="Arial" w:hAnsi="Arial"/>
          <w:sz w:val="14"/>
          <w:szCs w:val="14"/>
          <w:color w:val="auto"/>
        </w:rPr>
        <w:t>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or any sublimits contained in the Plan, except as may be required by reason of Section 422 and related provisions of the Code.</w:t>
      </w:r>
    </w:p>
    <w:p>
      <w:pPr>
        <w:spacing w:after="0" w:line="147" w:lineRule="exact"/>
        <w:rPr>
          <w:rFonts w:ascii="Arial" w:cs="Arial" w:eastAsia="Arial" w:hAnsi="Arial"/>
          <w:sz w:val="14"/>
          <w:szCs w:val="14"/>
          <w:color w:val="auto"/>
        </w:rPr>
      </w:pPr>
    </w:p>
    <w:p>
      <w:pPr>
        <w:ind w:left="540" w:hanging="533"/>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40" w:firstLine="532"/>
        <w:spacing w:after="0" w:line="277" w:lineRule="auto"/>
        <w:tabs>
          <w:tab w:leader="none" w:pos="1058" w:val="left"/>
        </w:tabs>
        <w:numPr>
          <w:ilvl w:val="1"/>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The Board may grant options to purchase Common Stock (each, an “Option”) and determine the number of shares of Common Stock to be covered by each Option,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price of each Option and the conditions and limitations applicable to the exercise of each Option, including conditions relating to applicable federal or state securities laws, as it considers necessary or advisable. An Option that is not an Incentive Stock Option (as hereinafter defined) shall be designated a “Nonstatutory Stock Option.”</w:t>
      </w:r>
    </w:p>
    <w:p>
      <w:pPr>
        <w:spacing w:after="0" w:line="141" w:lineRule="exact"/>
        <w:rPr>
          <w:rFonts w:ascii="Arial" w:cs="Arial" w:eastAsia="Arial" w:hAnsi="Arial"/>
          <w:sz w:val="14"/>
          <w:szCs w:val="14"/>
          <w:color w:val="auto"/>
        </w:rPr>
      </w:pPr>
    </w:p>
    <w:p>
      <w:pPr>
        <w:ind w:right="160" w:firstLine="532"/>
        <w:spacing w:after="0" w:line="343" w:lineRule="auto"/>
        <w:tabs>
          <w:tab w:leader="none" w:pos="1055" w:val="left"/>
        </w:tabs>
        <w:numPr>
          <w:ilvl w:val="1"/>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Incentive Stock Options. </w:t>
      </w:r>
      <w:r>
        <w:rPr>
          <w:rFonts w:ascii="Arial" w:cs="Arial" w:eastAsia="Arial" w:hAnsi="Arial"/>
          <w:sz w:val="12"/>
          <w:szCs w:val="12"/>
          <w:color w:val="auto"/>
        </w:rPr>
        <w:t>An Option that the Board intends to be an “incentive stock option” as defined in Section 422 of the Code (an “Incentive Stock Option”) shall only be</w:t>
      </w:r>
      <w:r>
        <w:rPr>
          <w:rFonts w:ascii="Arial" w:cs="Arial" w:eastAsia="Arial" w:hAnsi="Arial"/>
          <w:sz w:val="12"/>
          <w:szCs w:val="12"/>
          <w:i w:val="1"/>
          <w:iCs w:val="1"/>
          <w:color w:val="auto"/>
        </w:rPr>
        <w:t xml:space="preserve"> </w:t>
      </w:r>
      <w:r>
        <w:rPr>
          <w:rFonts w:ascii="Arial" w:cs="Arial" w:eastAsia="Arial" w:hAnsi="Arial"/>
          <w:sz w:val="12"/>
          <w:szCs w:val="12"/>
          <w:color w:val="auto"/>
        </w:rPr>
        <w:t>granted to employees of Sonus Networks, Inc., any of Sonus Networks,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w:t>
      </w:r>
    </w:p>
    <w:p>
      <w:pPr>
        <w:sectPr>
          <w:pgSz w:w="11900" w:h="16838" w:orient="portrait"/>
          <w:cols w:equalWidth="0" w:num="1">
            <w:col w:w="11460"/>
          </w:cols>
          <w:pgMar w:left="220" w:top="322" w:right="219" w:bottom="0" w:gutter="0" w:footer="0" w:header="0"/>
        </w:sectPr>
      </w:pPr>
    </w:p>
    <w:bookmarkStart w:id="106" w:name="page107"/>
    <w:bookmarkEnd w:id="106"/>
    <w:p>
      <w:pPr>
        <w:ind w:right="440"/>
        <w:spacing w:after="0" w:line="294" w:lineRule="auto"/>
        <w:rPr>
          <w:sz w:val="20"/>
          <w:szCs w:val="20"/>
          <w:color w:val="auto"/>
        </w:rPr>
      </w:pPr>
      <w:r>
        <w:rPr>
          <w:rFonts w:ascii="Arial" w:cs="Arial" w:eastAsia="Arial" w:hAnsi="Arial"/>
          <w:sz w:val="14"/>
          <w:szCs w:val="14"/>
          <w:color w:val="auto"/>
        </w:rPr>
        <w:t>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30" w:lineRule="exact"/>
        <w:rPr>
          <w:sz w:val="20"/>
          <w:szCs w:val="20"/>
          <w:color w:val="auto"/>
        </w:rPr>
      </w:pPr>
    </w:p>
    <w:p>
      <w:pPr>
        <w:ind w:firstLine="532"/>
        <w:spacing w:after="0" w:line="259" w:lineRule="auto"/>
        <w:tabs>
          <w:tab w:leader="none" w:pos="1058"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Board shall establish the exercise price of each Option and specify such exercise price in the applicable option agreement. The exercise price shall be not less</w:t>
      </w:r>
      <w:r>
        <w:rPr>
          <w:rFonts w:ascii="Arial" w:cs="Arial" w:eastAsia="Arial" w:hAnsi="Arial"/>
          <w:sz w:val="15"/>
          <w:szCs w:val="15"/>
          <w:i w:val="1"/>
          <w:iCs w:val="1"/>
          <w:color w:val="auto"/>
        </w:rPr>
        <w:t xml:space="preserve"> </w:t>
      </w:r>
      <w:r>
        <w:rPr>
          <w:rFonts w:ascii="Arial" w:cs="Arial" w:eastAsia="Arial" w:hAnsi="Arial"/>
          <w:sz w:val="15"/>
          <w:szCs w:val="15"/>
          <w:color w:val="auto"/>
        </w:rPr>
        <w:t>than 100% of the Fair Market Value (as defined below) on the date the Option is granted;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color w:val="auto"/>
        </w:rPr>
        <w:t>provided that if the Board approves the grant of an Option with an exercise price to be determined on a future date, the exercise price shall be not less than 100% of the Fair Market Value on such future date.</w:t>
      </w:r>
    </w:p>
    <w:p>
      <w:pPr>
        <w:spacing w:after="0" w:line="152" w:lineRule="exact"/>
        <w:rPr>
          <w:sz w:val="20"/>
          <w:szCs w:val="20"/>
          <w:color w:val="auto"/>
        </w:rPr>
      </w:pPr>
    </w:p>
    <w:p>
      <w:pPr>
        <w:ind w:right="400" w:firstLine="532"/>
        <w:spacing w:after="0" w:line="259" w:lineRule="auto"/>
        <w:tabs>
          <w:tab w:leader="none" w:pos="1055"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Duration of Options. </w:t>
      </w:r>
      <w:r>
        <w:rPr>
          <w:rFonts w:ascii="Arial" w:cs="Arial" w:eastAsia="Arial" w:hAnsi="Arial"/>
          <w:sz w:val="15"/>
          <w:szCs w:val="15"/>
          <w:color w:val="auto"/>
        </w:rPr>
        <w:t>Each Option shall be exercisable at such times and subject to such terms and conditions as the Board may specify in the applicable option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however, that no Option will be granted for a term in excess of 10 years.</w:t>
      </w:r>
    </w:p>
    <w:p>
      <w:pPr>
        <w:spacing w:after="0" w:line="152" w:lineRule="exact"/>
        <w:rPr>
          <w:rFonts w:ascii="Arial" w:cs="Arial" w:eastAsia="Arial" w:hAnsi="Arial"/>
          <w:sz w:val="15"/>
          <w:szCs w:val="15"/>
          <w:color w:val="auto"/>
        </w:rPr>
      </w:pPr>
    </w:p>
    <w:p>
      <w:pPr>
        <w:ind w:right="100" w:firstLine="532"/>
        <w:spacing w:after="0" w:line="251" w:lineRule="auto"/>
        <w:tabs>
          <w:tab w:leader="none" w:pos="1058"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Exercise of Option. </w:t>
      </w:r>
      <w:r>
        <w:rPr>
          <w:rFonts w:ascii="Arial" w:cs="Arial" w:eastAsia="Arial" w:hAnsi="Arial"/>
          <w:sz w:val="15"/>
          <w:szCs w:val="15"/>
          <w:color w:val="auto"/>
        </w:rPr>
        <w:t>Options may be exercised by delivery to the Company of a written notice of exercise signed by the proper person or by any other form of notice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 notice) approved by the Board, together with payment in full as specified in Section 5(f) for the number of shares for which the Option is exercised. Shares of Common Stock subject to the Option will be delivered by the Company as soon as practicable following exercise.</w:t>
      </w:r>
    </w:p>
    <w:p>
      <w:pPr>
        <w:spacing w:after="0" w:line="158" w:lineRule="exact"/>
        <w:rPr>
          <w:rFonts w:ascii="Arial" w:cs="Arial" w:eastAsia="Arial" w:hAnsi="Arial"/>
          <w:sz w:val="15"/>
          <w:szCs w:val="15"/>
          <w:color w:val="auto"/>
        </w:rPr>
      </w:pPr>
    </w:p>
    <w:p>
      <w:pPr>
        <w:ind w:left="1080" w:hanging="548"/>
        <w:spacing w:after="0"/>
        <w:tabs>
          <w:tab w:leader="none" w:pos="108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Payment Upon Exercise. </w:t>
      </w:r>
      <w:r>
        <w:rPr>
          <w:rFonts w:ascii="Arial" w:cs="Arial" w:eastAsia="Arial" w:hAnsi="Arial"/>
          <w:sz w:val="15"/>
          <w:szCs w:val="15"/>
          <w:color w:val="auto"/>
        </w:rPr>
        <w:t>Common Stock purchased upon the exercise of an Option granted under the Plan shall be paid for as follows:</w:t>
      </w:r>
    </w:p>
    <w:p>
      <w:pPr>
        <w:spacing w:after="0" w:line="177" w:lineRule="exact"/>
        <w:rPr>
          <w:rFonts w:ascii="Arial" w:cs="Arial" w:eastAsia="Arial" w:hAnsi="Arial"/>
          <w:sz w:val="15"/>
          <w:szCs w:val="15"/>
          <w:color w:val="auto"/>
        </w:rPr>
      </w:pPr>
    </w:p>
    <w:p>
      <w:pPr>
        <w:ind w:left="1600" w:hanging="543"/>
        <w:spacing w:after="0"/>
        <w:tabs>
          <w:tab w:leader="none" w:pos="16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in cash or by check, payable to the order of the Company;</w:t>
      </w:r>
    </w:p>
    <w:p>
      <w:pPr>
        <w:spacing w:after="0" w:line="177" w:lineRule="exact"/>
        <w:rPr>
          <w:rFonts w:ascii="Arial" w:cs="Arial" w:eastAsia="Arial" w:hAnsi="Arial"/>
          <w:sz w:val="15"/>
          <w:szCs w:val="15"/>
          <w:color w:val="auto"/>
        </w:rPr>
      </w:pPr>
    </w:p>
    <w:p>
      <w:pPr>
        <w:ind w:right="280" w:firstLine="1057"/>
        <w:spacing w:after="0" w:line="343" w:lineRule="auto"/>
        <w:tabs>
          <w:tab w:leader="none" w:pos="1590" w:val="left"/>
        </w:tabs>
        <w:numPr>
          <w:ilvl w:val="1"/>
          <w:numId w:val="55"/>
        </w:numPr>
        <w:rPr>
          <w:rFonts w:ascii="Arial" w:cs="Arial" w:eastAsia="Arial" w:hAnsi="Arial"/>
          <w:sz w:val="12"/>
          <w:szCs w:val="12"/>
          <w:color w:val="auto"/>
        </w:rPr>
      </w:pPr>
      <w:r>
        <w:rPr>
          <w:rFonts w:ascii="Arial" w:cs="Arial" w:eastAsia="Arial" w:hAnsi="Arial"/>
          <w:sz w:val="12"/>
          <w:szCs w:val="12"/>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07" w:lineRule="exact"/>
        <w:rPr>
          <w:rFonts w:ascii="Arial" w:cs="Arial" w:eastAsia="Arial" w:hAnsi="Arial"/>
          <w:sz w:val="12"/>
          <w:szCs w:val="12"/>
          <w:color w:val="auto"/>
        </w:rPr>
      </w:pPr>
    </w:p>
    <w:p>
      <w:pPr>
        <w:ind w:right="60" w:firstLine="1057"/>
        <w:spacing w:after="0" w:line="330" w:lineRule="auto"/>
        <w:tabs>
          <w:tab w:leader="none" w:pos="1590" w:val="left"/>
        </w:tabs>
        <w:numPr>
          <w:ilvl w:val="1"/>
          <w:numId w:val="55"/>
        </w:numPr>
        <w:rPr>
          <w:rFonts w:ascii="Arial" w:cs="Arial" w:eastAsia="Arial" w:hAnsi="Arial"/>
          <w:sz w:val="12"/>
          <w:szCs w:val="12"/>
          <w:color w:val="auto"/>
        </w:rPr>
      </w:pPr>
      <w:r>
        <w:rPr>
          <w:rFonts w:ascii="Arial" w:cs="Arial" w:eastAsia="Arial" w:hAnsi="Arial"/>
          <w:sz w:val="12"/>
          <w:szCs w:val="12"/>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15" w:lineRule="exact"/>
        <w:rPr>
          <w:rFonts w:ascii="Arial" w:cs="Arial" w:eastAsia="Arial" w:hAnsi="Arial"/>
          <w:sz w:val="12"/>
          <w:szCs w:val="12"/>
          <w:color w:val="auto"/>
        </w:rPr>
      </w:pPr>
    </w:p>
    <w:p>
      <w:pPr>
        <w:ind w:right="500" w:firstLine="1057"/>
        <w:spacing w:after="0" w:line="383" w:lineRule="auto"/>
        <w:tabs>
          <w:tab w:leader="none" w:pos="1590" w:val="left"/>
        </w:tabs>
        <w:numPr>
          <w:ilvl w:val="1"/>
          <w:numId w:val="55"/>
        </w:numPr>
        <w:rPr>
          <w:rFonts w:ascii="Arial" w:cs="Arial" w:eastAsia="Arial" w:hAnsi="Arial"/>
          <w:sz w:val="12"/>
          <w:szCs w:val="12"/>
          <w:color w:val="auto"/>
        </w:rPr>
      </w:pPr>
      <w:r>
        <w:rPr>
          <w:rFonts w:ascii="Arial" w:cs="Arial" w:eastAsia="Arial" w:hAnsi="Arial"/>
          <w:sz w:val="12"/>
          <w:szCs w:val="12"/>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84" w:lineRule="exact"/>
        <w:rPr>
          <w:rFonts w:ascii="Arial" w:cs="Arial" w:eastAsia="Arial" w:hAnsi="Arial"/>
          <w:sz w:val="12"/>
          <w:szCs w:val="12"/>
          <w:color w:val="auto"/>
        </w:rPr>
      </w:pPr>
    </w:p>
    <w:p>
      <w:pPr>
        <w:ind w:left="1600" w:hanging="543"/>
        <w:spacing w:after="0"/>
        <w:tabs>
          <w:tab w:leader="none" w:pos="16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by any combination of the above permitted forms of payment.</w:t>
      </w:r>
    </w:p>
    <w:p>
      <w:pPr>
        <w:spacing w:after="0" w:line="177" w:lineRule="exact"/>
        <w:rPr>
          <w:rFonts w:ascii="Arial" w:cs="Arial" w:eastAsia="Arial" w:hAnsi="Arial"/>
          <w:sz w:val="15"/>
          <w:szCs w:val="15"/>
          <w:color w:val="auto"/>
        </w:rPr>
      </w:pPr>
    </w:p>
    <w:p>
      <w:pPr>
        <w:ind w:left="1060" w:hanging="528"/>
        <w:spacing w:after="0"/>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Fair Market Value. </w:t>
      </w:r>
      <w:r>
        <w:rPr>
          <w:rFonts w:ascii="Arial" w:cs="Arial" w:eastAsia="Arial" w:hAnsi="Arial"/>
          <w:sz w:val="15"/>
          <w:szCs w:val="15"/>
          <w:color w:val="auto"/>
        </w:rPr>
        <w:t>Fair Market Value of a share of Common Stock for purposes of the Plan will be determined as follows:</w:t>
      </w:r>
    </w:p>
    <w:p>
      <w:pPr>
        <w:spacing w:after="0" w:line="177" w:lineRule="exact"/>
        <w:rPr>
          <w:rFonts w:ascii="Arial" w:cs="Arial" w:eastAsia="Arial" w:hAnsi="Arial"/>
          <w:sz w:val="15"/>
          <w:szCs w:val="15"/>
          <w:color w:val="auto"/>
        </w:rPr>
      </w:pPr>
    </w:p>
    <w:p>
      <w:pPr>
        <w:ind w:left="1600" w:hanging="543"/>
        <w:spacing w:after="0"/>
        <w:tabs>
          <w:tab w:leader="none" w:pos="16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if the Common Stock trades on a national securities exchange, the closing sale price (for the primary trading session) on the date of grant;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540" w:firstLine="1057"/>
        <w:spacing w:after="0" w:line="259" w:lineRule="auto"/>
        <w:tabs>
          <w:tab w:leader="none" w:pos="159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if the Common Stock does not trade on any such exchange, the average of the closing bid and asked prices as reported by the National Association of Securities Dealers, Inc. Automated Quotation System (“Nasdaq”) for the date of grant; or</w:t>
      </w:r>
    </w:p>
    <w:p>
      <w:pPr>
        <w:spacing w:after="0" w:line="152" w:lineRule="exact"/>
        <w:rPr>
          <w:rFonts w:ascii="Arial" w:cs="Arial" w:eastAsia="Arial" w:hAnsi="Arial"/>
          <w:sz w:val="15"/>
          <w:szCs w:val="15"/>
          <w:color w:val="auto"/>
        </w:rPr>
      </w:pPr>
    </w:p>
    <w:p>
      <w:pPr>
        <w:ind w:left="1600" w:hanging="543"/>
        <w:spacing w:after="0"/>
        <w:tabs>
          <w:tab w:leader="none" w:pos="16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if no such closing sale price information is available, the average of bids and asked prices that Nasdaq reports for the date of grant; or</w:t>
      </w:r>
    </w:p>
    <w:p>
      <w:pPr>
        <w:spacing w:after="0" w:line="177" w:lineRule="exact"/>
        <w:rPr>
          <w:rFonts w:ascii="Arial" w:cs="Arial" w:eastAsia="Arial" w:hAnsi="Arial"/>
          <w:sz w:val="15"/>
          <w:szCs w:val="15"/>
          <w:color w:val="auto"/>
        </w:rPr>
      </w:pPr>
    </w:p>
    <w:p>
      <w:pPr>
        <w:ind w:left="1600" w:hanging="543"/>
        <w:spacing w:after="0"/>
        <w:tabs>
          <w:tab w:leader="none" w:pos="1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there are no such closing bid and asked prices, the average of the bid and asked prices as reported by any other commercial service for the date of grant.</w:t>
      </w:r>
    </w:p>
    <w:p>
      <w:pPr>
        <w:spacing w:after="0" w:line="189" w:lineRule="exact"/>
        <w:rPr>
          <w:sz w:val="20"/>
          <w:szCs w:val="20"/>
          <w:color w:val="auto"/>
        </w:rPr>
      </w:pPr>
    </w:p>
    <w:p>
      <w:pPr>
        <w:ind w:right="40" w:firstLine="525"/>
        <w:spacing w:after="0" w:line="248" w:lineRule="auto"/>
        <w:rPr>
          <w:sz w:val="20"/>
          <w:szCs w:val="20"/>
          <w:color w:val="auto"/>
        </w:rPr>
      </w:pPr>
      <w:r>
        <w:rPr>
          <w:rFonts w:ascii="Arial" w:cs="Arial" w:eastAsia="Arial" w:hAnsi="Arial"/>
          <w:sz w:val="15"/>
          <w:szCs w:val="15"/>
          <w:color w:val="auto"/>
        </w:rPr>
        <w:t>For any date that is not a trading day, the Fair Market Value of a share of Common Stock for such date will be determined by using the closing sale price or average of the bid and asked prices, as appropriate, for the immediately following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61" w:lineRule="exact"/>
        <w:rPr>
          <w:sz w:val="20"/>
          <w:szCs w:val="20"/>
          <w:color w:val="auto"/>
        </w:rPr>
      </w:pPr>
    </w:p>
    <w:p>
      <w:pPr>
        <w:ind w:right="160" w:firstLine="532"/>
        <w:spacing w:after="0" w:line="247" w:lineRule="auto"/>
        <w:tabs>
          <w:tab w:leader="none" w:pos="1055" w:val="left"/>
        </w:tabs>
        <w:numPr>
          <w:ilvl w:val="1"/>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Limitation on Repricing. </w:t>
      </w:r>
      <w:r>
        <w:rPr>
          <w:rFonts w:ascii="Arial" w:cs="Arial" w:eastAsia="Arial" w:hAnsi="Arial"/>
          <w:sz w:val="15"/>
          <w:szCs w:val="15"/>
          <w:color w:val="auto"/>
        </w:rPr>
        <w:t>Unless such action is approved by the Company’s stockholders: (1) no outstanding Option granted under the Plan may be amended to provide an</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price per share that is lower than the then-current exercise price per share of such outstanding Option (other than adjustments pursuant to Section 9), (2) the Board may not cancel any outstanding option (whether or not granted under the Plan) and grant in substitution therefore new Awards under the Plan covering the same or a different number of share of Common Stock and having an exercise price per share lower than the then-current exercise price per share of the cancelled option, and (3) no outstanding Option granted under the Plan may be purchased by the Company for cash.</w:t>
      </w:r>
    </w:p>
    <w:p>
      <w:pPr>
        <w:spacing w:after="0" w:line="161" w:lineRule="exact"/>
        <w:rPr>
          <w:rFonts w:ascii="Arial" w:cs="Arial" w:eastAsia="Arial" w:hAnsi="Arial"/>
          <w:sz w:val="15"/>
          <w:szCs w:val="15"/>
          <w:color w:val="auto"/>
        </w:rPr>
      </w:pPr>
    </w:p>
    <w:p>
      <w:pPr>
        <w:ind w:left="540" w:hanging="533"/>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jc w:val="both"/>
        <w:ind w:right="200" w:firstLine="532"/>
        <w:spacing w:after="0" w:line="277" w:lineRule="auto"/>
        <w:tabs>
          <w:tab w:leader="none" w:pos="1058" w:val="left"/>
        </w:tabs>
        <w:numPr>
          <w:ilvl w:val="1"/>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The Board may grant Awards consisting of a SAR entitling the holder, upon exercise, to receive an amount in Common Stock or cash or a combination thereof (such</w:t>
      </w:r>
      <w:r>
        <w:rPr>
          <w:rFonts w:ascii="Arial" w:cs="Arial" w:eastAsia="Arial" w:hAnsi="Arial"/>
          <w:sz w:val="14"/>
          <w:szCs w:val="14"/>
          <w:i w:val="1"/>
          <w:iCs w:val="1"/>
          <w:color w:val="auto"/>
        </w:rPr>
        <w:t xml:space="preserve"> </w:t>
      </w:r>
      <w:r>
        <w:rPr>
          <w:rFonts w:ascii="Arial" w:cs="Arial" w:eastAsia="Arial" w:hAnsi="Arial"/>
          <w:sz w:val="14"/>
          <w:szCs w:val="14"/>
          <w:color w:val="auto"/>
        </w:rPr>
        <w:t>form to be determined by the Board) determined in whole or in part by reference to appreciation, from and after the date of grant, in the Fair Market Value of a share of Common Stock over the exercise price established pursuant to Section 6(c). The date as of which such appreciation or other measure is determined shall be the exercise date.</w:t>
      </w:r>
    </w:p>
    <w:p>
      <w:pPr>
        <w:spacing w:after="0" w:line="141" w:lineRule="exact"/>
        <w:rPr>
          <w:rFonts w:ascii="Arial" w:cs="Arial" w:eastAsia="Arial" w:hAnsi="Arial"/>
          <w:sz w:val="14"/>
          <w:szCs w:val="14"/>
          <w:color w:val="auto"/>
        </w:rPr>
      </w:pPr>
    </w:p>
    <w:p>
      <w:pPr>
        <w:ind w:left="1060" w:hanging="528"/>
        <w:spacing w:after="0"/>
        <w:tabs>
          <w:tab w:leader="none" w:pos="1060" w:val="left"/>
        </w:tabs>
        <w:numPr>
          <w:ilvl w:val="1"/>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Grants. </w:t>
      </w:r>
      <w:r>
        <w:rPr>
          <w:rFonts w:ascii="Arial" w:cs="Arial" w:eastAsia="Arial" w:hAnsi="Arial"/>
          <w:sz w:val="15"/>
          <w:szCs w:val="15"/>
          <w:color w:val="auto"/>
        </w:rPr>
        <w:t>SARs may be granted in tandem with, or independently of, Options granted under the Plan.</w:t>
      </w:r>
    </w:p>
    <w:p>
      <w:pPr>
        <w:spacing w:after="0" w:line="177" w:lineRule="exact"/>
        <w:rPr>
          <w:rFonts w:ascii="Arial" w:cs="Arial" w:eastAsia="Arial" w:hAnsi="Arial"/>
          <w:sz w:val="15"/>
          <w:szCs w:val="15"/>
          <w:color w:val="auto"/>
        </w:rPr>
      </w:pPr>
    </w:p>
    <w:p>
      <w:pPr>
        <w:jc w:val="both"/>
        <w:ind w:right="20" w:firstLine="1057"/>
        <w:spacing w:after="0" w:line="330" w:lineRule="auto"/>
        <w:tabs>
          <w:tab w:leader="none" w:pos="1590" w:val="left"/>
        </w:tabs>
        <w:numPr>
          <w:ilvl w:val="2"/>
          <w:numId w:val="58"/>
        </w:numPr>
        <w:rPr>
          <w:rFonts w:ascii="Arial" w:cs="Arial" w:eastAsia="Arial" w:hAnsi="Arial"/>
          <w:sz w:val="12"/>
          <w:szCs w:val="12"/>
          <w:color w:val="auto"/>
        </w:rPr>
      </w:pPr>
      <w:r>
        <w:rPr>
          <w:rFonts w:ascii="Arial" w:cs="Arial" w:eastAsia="Arial" w:hAnsi="Arial"/>
          <w:sz w:val="12"/>
          <w:szCs w:val="12"/>
          <w:i w:val="1"/>
          <w:iCs w:val="1"/>
          <w:color w:val="auto"/>
        </w:rPr>
        <w:t xml:space="preserve">Tandem Awards. </w:t>
      </w:r>
      <w:r>
        <w:rPr>
          <w:rFonts w:ascii="Arial" w:cs="Arial" w:eastAsia="Arial" w:hAnsi="Arial"/>
          <w:sz w:val="12"/>
          <w:szCs w:val="12"/>
          <w:color w:val="auto"/>
        </w:rPr>
        <w:t>When SARs are expressly granted in tandem with Options, (i) the SAR will be exercisable only at such time or times, and to the extent, that the related</w:t>
      </w:r>
      <w:r>
        <w:rPr>
          <w:rFonts w:ascii="Arial" w:cs="Arial" w:eastAsia="Arial" w:hAnsi="Arial"/>
          <w:sz w:val="12"/>
          <w:szCs w:val="12"/>
          <w:i w:val="1"/>
          <w:iCs w:val="1"/>
          <w:color w:val="auto"/>
        </w:rPr>
        <w:t xml:space="preserve"> </w:t>
      </w:r>
      <w:r>
        <w:rPr>
          <w:rFonts w:ascii="Arial" w:cs="Arial" w:eastAsia="Arial" w:hAnsi="Arial"/>
          <w:sz w:val="12"/>
          <w:szCs w:val="12"/>
          <w:color w:val="auto"/>
        </w:rPr>
        <w:t>Option is exercisable (except to the extent designated by the Board in connection with a Reorganization Event)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 SAR granted with respect to less than the full number of shares covered by an Option will not be reduced until the number of shares as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460"/>
        <w:spacing w:after="0" w:line="259" w:lineRule="auto"/>
        <w:rPr>
          <w:sz w:val="20"/>
          <w:szCs w:val="20"/>
          <w:color w:val="auto"/>
        </w:rPr>
      </w:pPr>
      <w:r>
        <w:rPr>
          <w:rFonts w:ascii="Arial" w:cs="Arial" w:eastAsia="Arial" w:hAnsi="Arial"/>
          <w:sz w:val="15"/>
          <w:szCs w:val="15"/>
          <w:color w:val="auto"/>
        </w:rPr>
        <w:t>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152" w:lineRule="exact"/>
        <w:rPr>
          <w:sz w:val="20"/>
          <w:szCs w:val="20"/>
          <w:color w:val="auto"/>
        </w:rPr>
      </w:pPr>
    </w:p>
    <w:p>
      <w:pPr>
        <w:ind w:left="1600" w:hanging="543"/>
        <w:spacing w:after="0"/>
        <w:tabs>
          <w:tab w:leader="none" w:pos="1600" w:val="left"/>
        </w:tabs>
        <w:numPr>
          <w:ilvl w:val="1"/>
          <w:numId w:val="59"/>
        </w:numPr>
        <w:rPr>
          <w:rFonts w:ascii="Arial" w:cs="Arial" w:eastAsia="Arial" w:hAnsi="Arial"/>
          <w:sz w:val="12"/>
          <w:szCs w:val="12"/>
          <w:color w:val="auto"/>
        </w:rPr>
      </w:pPr>
      <w:r>
        <w:rPr>
          <w:rFonts w:ascii="Arial" w:cs="Arial" w:eastAsia="Arial" w:hAnsi="Arial"/>
          <w:sz w:val="12"/>
          <w:szCs w:val="12"/>
          <w:i w:val="1"/>
          <w:iCs w:val="1"/>
          <w:color w:val="auto"/>
        </w:rPr>
        <w:t xml:space="preserve">Independent SARs. </w:t>
      </w:r>
      <w:r>
        <w:rPr>
          <w:rFonts w:ascii="Arial" w:cs="Arial" w:eastAsia="Arial" w:hAnsi="Arial"/>
          <w:sz w:val="12"/>
          <w:szCs w:val="12"/>
          <w:color w:val="auto"/>
        </w:rPr>
        <w:t>A SAR not expressly granted in tandem with an Option will become exercisable at such time or times, and on such conditions, as the Board may</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specify in the SAR Award.</w:t>
      </w:r>
    </w:p>
    <w:p>
      <w:pPr>
        <w:spacing w:after="0" w:line="168" w:lineRule="exact"/>
        <w:rPr>
          <w:rFonts w:ascii="Arial" w:cs="Arial" w:eastAsia="Arial" w:hAnsi="Arial"/>
          <w:sz w:val="12"/>
          <w:szCs w:val="12"/>
          <w:color w:val="auto"/>
        </w:rPr>
      </w:pPr>
    </w:p>
    <w:p>
      <w:pPr>
        <w:jc w:val="both"/>
        <w:ind w:right="200" w:firstLine="532"/>
        <w:spacing w:after="0" w:line="251" w:lineRule="auto"/>
        <w:tabs>
          <w:tab w:leader="none" w:pos="1058"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Board shall establish the exercise price of each SAR and specify it in the applicable SAR agreement. The exercise price shall not be less than 100% of the</w:t>
      </w:r>
      <w:r>
        <w:rPr>
          <w:rFonts w:ascii="Arial" w:cs="Arial" w:eastAsia="Arial" w:hAnsi="Arial"/>
          <w:sz w:val="15"/>
          <w:szCs w:val="15"/>
          <w:i w:val="1"/>
          <w:iCs w:val="1"/>
          <w:color w:val="auto"/>
        </w:rPr>
        <w:t xml:space="preserve"> </w:t>
      </w:r>
      <w:r>
        <w:rPr>
          <w:rFonts w:ascii="Arial" w:cs="Arial" w:eastAsia="Arial" w:hAnsi="Arial"/>
          <w:sz w:val="15"/>
          <w:szCs w:val="15"/>
          <w:color w:val="auto"/>
        </w:rPr>
        <w:t>Fair Market Value on the date the SAR is granted; provided that if the Board approves the grant of a SAR with an exercise price to be determined on a future date, the exercise price shall be not less than 100% of the Fair Market Value on such future date.</w:t>
      </w:r>
    </w:p>
    <w:p>
      <w:pPr>
        <w:spacing w:after="0" w:line="158" w:lineRule="exact"/>
        <w:rPr>
          <w:rFonts w:ascii="Arial" w:cs="Arial" w:eastAsia="Arial" w:hAnsi="Arial"/>
          <w:sz w:val="15"/>
          <w:szCs w:val="15"/>
          <w:color w:val="auto"/>
        </w:rPr>
      </w:pPr>
    </w:p>
    <w:p>
      <w:pPr>
        <w:ind w:left="1060" w:hanging="528"/>
        <w:spacing w:after="0"/>
        <w:tabs>
          <w:tab w:leader="none" w:pos="1060"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term of a SAR shall not be more than 10 years from the date of grant.</w:t>
      </w:r>
    </w:p>
    <w:p>
      <w:pPr>
        <w:sectPr>
          <w:pgSz w:w="11900" w:h="16838" w:orient="portrait"/>
          <w:cols w:equalWidth="0" w:num="1">
            <w:col w:w="11460"/>
          </w:cols>
          <w:pgMar w:left="220" w:top="129" w:right="219" w:bottom="0" w:gutter="0" w:footer="0" w:header="0"/>
        </w:sectPr>
      </w:pPr>
    </w:p>
    <w:bookmarkStart w:id="107" w:name="page108"/>
    <w:bookmarkEnd w:id="107"/>
    <w:p>
      <w:pPr>
        <w:ind w:right="280" w:firstLine="532"/>
        <w:spacing w:after="0" w:line="259" w:lineRule="auto"/>
        <w:tabs>
          <w:tab w:leader="none" w:pos="1058"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Exercise. </w:t>
      </w:r>
      <w:r>
        <w:rPr>
          <w:rFonts w:ascii="Arial" w:cs="Arial" w:eastAsia="Arial" w:hAnsi="Arial"/>
          <w:sz w:val="15"/>
          <w:szCs w:val="15"/>
          <w:color w:val="auto"/>
        </w:rPr>
        <w:t>SARs may be exercised by delivery to the Company of a written notice of exercise signed by the proper person or by any other form of notice (including electronic</w:t>
      </w:r>
      <w:r>
        <w:rPr>
          <w:rFonts w:ascii="Arial" w:cs="Arial" w:eastAsia="Arial" w:hAnsi="Arial"/>
          <w:sz w:val="15"/>
          <w:szCs w:val="15"/>
          <w:i w:val="1"/>
          <w:iCs w:val="1"/>
          <w:color w:val="auto"/>
        </w:rPr>
        <w:t xml:space="preserve"> </w:t>
      </w:r>
      <w:r>
        <w:rPr>
          <w:rFonts w:ascii="Arial" w:cs="Arial" w:eastAsia="Arial" w:hAnsi="Arial"/>
          <w:sz w:val="15"/>
          <w:szCs w:val="15"/>
          <w:color w:val="auto"/>
        </w:rPr>
        <w:t>notice) approved by the Board, together with any other documents required by the Board.</w:t>
      </w:r>
    </w:p>
    <w:p>
      <w:pPr>
        <w:spacing w:after="0" w:line="152" w:lineRule="exact"/>
        <w:rPr>
          <w:rFonts w:ascii="Arial" w:cs="Arial" w:eastAsia="Arial" w:hAnsi="Arial"/>
          <w:sz w:val="15"/>
          <w:szCs w:val="15"/>
          <w:color w:val="auto"/>
        </w:rPr>
      </w:pPr>
    </w:p>
    <w:p>
      <w:pPr>
        <w:ind w:right="80" w:firstLine="532"/>
        <w:spacing w:after="0" w:line="330" w:lineRule="auto"/>
        <w:tabs>
          <w:tab w:leader="none" w:pos="1064" w:val="left"/>
        </w:tabs>
        <w:numPr>
          <w:ilvl w:val="1"/>
          <w:numId w:val="61"/>
        </w:numPr>
        <w:rPr>
          <w:rFonts w:ascii="Arial" w:cs="Arial" w:eastAsia="Arial" w:hAnsi="Arial"/>
          <w:sz w:val="12"/>
          <w:szCs w:val="12"/>
          <w:color w:val="auto"/>
        </w:rPr>
      </w:pPr>
      <w:r>
        <w:rPr>
          <w:rFonts w:ascii="Arial" w:cs="Arial" w:eastAsia="Arial" w:hAnsi="Arial"/>
          <w:sz w:val="12"/>
          <w:szCs w:val="12"/>
          <w:i w:val="1"/>
          <w:iCs w:val="1"/>
          <w:color w:val="auto"/>
        </w:rPr>
        <w:t xml:space="preserve">Limitation of Repricing. </w:t>
      </w:r>
      <w:r>
        <w:rPr>
          <w:rFonts w:ascii="Arial" w:cs="Arial" w:eastAsia="Arial" w:hAnsi="Arial"/>
          <w:sz w:val="12"/>
          <w:szCs w:val="12"/>
          <w:color w:val="auto"/>
        </w:rPr>
        <w:t>Unless such action is approved by the Company’s stockholders: (1) no outstanding SAR granted under the Plan may be amended to provide an exercise</w:t>
      </w:r>
      <w:r>
        <w:rPr>
          <w:rFonts w:ascii="Arial" w:cs="Arial" w:eastAsia="Arial" w:hAnsi="Arial"/>
          <w:sz w:val="12"/>
          <w:szCs w:val="12"/>
          <w:i w:val="1"/>
          <w:iCs w:val="1"/>
          <w:color w:val="auto"/>
        </w:rPr>
        <w:t xml:space="preserve"> </w:t>
      </w:r>
      <w:r>
        <w:rPr>
          <w:rFonts w:ascii="Arial" w:cs="Arial" w:eastAsia="Arial" w:hAnsi="Arial"/>
          <w:sz w:val="12"/>
          <w:szCs w:val="12"/>
          <w:color w:val="auto"/>
        </w:rPr>
        <w:t>price per share that is lower than the then-current exercise price per share of such outstanding SAR (other than adjustments pursuant to Section 9), (2) the Board may not cancel any outstanding SAR (whether or not granted under the Plan) and grant in substitution therefor new Awards under the Plan covering the same or a different number of shares of Common Stock and having an exercise price per share lower than the then-current exercise price per share of the cancelled SAR, and (3) no outstanding SAR granted under the Plan may be purchased by the Company for cash.</w:t>
      </w:r>
    </w:p>
    <w:p>
      <w:pPr>
        <w:spacing w:after="0" w:line="115" w:lineRule="exact"/>
        <w:rPr>
          <w:rFonts w:ascii="Arial" w:cs="Arial" w:eastAsia="Arial" w:hAnsi="Arial"/>
          <w:sz w:val="12"/>
          <w:szCs w:val="12"/>
          <w:color w:val="auto"/>
        </w:rPr>
      </w:pPr>
    </w:p>
    <w:p>
      <w:pPr>
        <w:ind w:left="540" w:hanging="533"/>
        <w:spacing w:after="0"/>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Restricted Stock; Restricted Stock Units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60" w:firstLine="532"/>
        <w:spacing w:after="0" w:line="247" w:lineRule="auto"/>
        <w:tabs>
          <w:tab w:leader="none" w:pos="1058" w:val="left"/>
        </w:tabs>
        <w:numPr>
          <w:ilvl w:val="1"/>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Board may grant Awards entitling recipients to acquire shares of Common Stock (“Restricted Stock”), subject to the right of the Company to repurchase all or part</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161" w:lineRule="exact"/>
        <w:rPr>
          <w:rFonts w:ascii="Arial" w:cs="Arial" w:eastAsia="Arial" w:hAnsi="Arial"/>
          <w:sz w:val="15"/>
          <w:szCs w:val="15"/>
          <w:color w:val="auto"/>
        </w:rPr>
      </w:pPr>
    </w:p>
    <w:p>
      <w:pPr>
        <w:ind w:right="80" w:firstLine="532"/>
        <w:spacing w:after="0" w:line="259" w:lineRule="auto"/>
        <w:tabs>
          <w:tab w:leader="none" w:pos="1055" w:val="left"/>
        </w:tabs>
        <w:numPr>
          <w:ilvl w:val="1"/>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for all Restricted Stock Awards. </w:t>
      </w:r>
      <w:r>
        <w:rPr>
          <w:rFonts w:ascii="Arial" w:cs="Arial" w:eastAsia="Arial" w:hAnsi="Arial"/>
          <w:sz w:val="15"/>
          <w:szCs w:val="15"/>
          <w:color w:val="auto"/>
        </w:rPr>
        <w:t>The Board shall determine the terms and conditions of a Restricted Stock Award, including the conditions for vesting and</w:t>
      </w:r>
      <w:r>
        <w:rPr>
          <w:rFonts w:ascii="Arial" w:cs="Arial" w:eastAsia="Arial" w:hAnsi="Arial"/>
          <w:sz w:val="15"/>
          <w:szCs w:val="15"/>
          <w:i w:val="1"/>
          <w:iCs w:val="1"/>
          <w:color w:val="auto"/>
        </w:rPr>
        <w:t xml:space="preserve"> </w:t>
      </w:r>
      <w:r>
        <w:rPr>
          <w:rFonts w:ascii="Arial" w:cs="Arial" w:eastAsia="Arial" w:hAnsi="Arial"/>
          <w:sz w:val="15"/>
          <w:szCs w:val="15"/>
          <w:color w:val="auto"/>
        </w:rPr>
        <w:t>repurchase (or forfeiture) and the issue price, if 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60" w:hanging="528"/>
        <w:spacing w:after="0"/>
        <w:tabs>
          <w:tab w:leader="none" w:pos="106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Additional Provisions Relating to Restricted Stock</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100" w:firstLine="1057"/>
        <w:spacing w:after="0" w:line="267" w:lineRule="auto"/>
        <w:tabs>
          <w:tab w:leader="none" w:pos="1590" w:val="left"/>
        </w:tabs>
        <w:numPr>
          <w:ilvl w:val="1"/>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Dividends. </w:t>
      </w:r>
      <w:r>
        <w:rPr>
          <w:rFonts w:ascii="Arial" w:cs="Arial" w:eastAsia="Arial" w:hAnsi="Arial"/>
          <w:sz w:val="14"/>
          <w:szCs w:val="14"/>
          <w:color w:val="auto"/>
        </w:rPr>
        <w:t>Participants holding shares of Restricted Stock will be entitled to all ordinary cash dividends paid with respect to such shares, unless otherwise provided by</w:t>
      </w:r>
      <w:r>
        <w:rPr>
          <w:rFonts w:ascii="Arial" w:cs="Arial" w:eastAsia="Arial" w:hAnsi="Arial"/>
          <w:sz w:val="14"/>
          <w:szCs w:val="14"/>
          <w:i w:val="1"/>
          <w:iCs w:val="1"/>
          <w:color w:val="auto"/>
        </w:rPr>
        <w:t xml:space="preserve"> </w:t>
      </w:r>
      <w:r>
        <w:rPr>
          <w:rFonts w:ascii="Arial" w:cs="Arial" w:eastAsia="Arial" w:hAnsi="Arial"/>
          <w:sz w:val="14"/>
          <w:szCs w:val="14"/>
          <w:color w:val="auto"/>
        </w:rPr>
        <w:t>the Board; provided, however, that dividends on Restricted Stock that are subject to performance conditions will either be accumulated or reinvested and paid upon vesting of the underlying Restricted Stock.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stockholders of that class of stock or, if later, the 15th day of the third month following the date the dividends are paid to stockholders of that class of stock.</w:t>
      </w:r>
    </w:p>
    <w:p>
      <w:pPr>
        <w:spacing w:after="0" w:line="149" w:lineRule="exact"/>
        <w:rPr>
          <w:rFonts w:ascii="Arial" w:cs="Arial" w:eastAsia="Arial" w:hAnsi="Arial"/>
          <w:sz w:val="14"/>
          <w:szCs w:val="14"/>
          <w:color w:val="auto"/>
        </w:rPr>
      </w:pPr>
    </w:p>
    <w:p>
      <w:pPr>
        <w:ind w:right="140" w:firstLine="1057"/>
        <w:spacing w:after="0" w:line="247" w:lineRule="auto"/>
        <w:tabs>
          <w:tab w:leader="none" w:pos="1590" w:val="left"/>
        </w:tabs>
        <w:numPr>
          <w:ilvl w:val="1"/>
          <w:numId w:val="63"/>
        </w:numPr>
        <w:rPr>
          <w:rFonts w:ascii="Arial" w:cs="Arial" w:eastAsia="Arial" w:hAnsi="Arial"/>
          <w:sz w:val="15"/>
          <w:szCs w:val="15"/>
          <w:color w:val="auto"/>
        </w:rPr>
      </w:pPr>
      <w:r>
        <w:rPr>
          <w:rFonts w:ascii="Arial" w:cs="Arial" w:eastAsia="Arial" w:hAnsi="Arial"/>
          <w:sz w:val="15"/>
          <w:szCs w:val="15"/>
          <w:i w:val="1"/>
          <w:iCs w:val="1"/>
          <w:color w:val="auto"/>
        </w:rPr>
        <w:t xml:space="preserve">Stock Certificates. </w:t>
      </w:r>
      <w:r>
        <w:rPr>
          <w:rFonts w:ascii="Arial" w:cs="Arial" w:eastAsia="Arial" w:hAnsi="Arial"/>
          <w:sz w:val="15"/>
          <w:szCs w:val="15"/>
          <w:color w:val="auto"/>
        </w:rPr>
        <w:t>The Company may require that any stock certificates issued in respect of shares of Restricted Stock shall be deposited in escrow by the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61" w:lineRule="exact"/>
        <w:rPr>
          <w:rFonts w:ascii="Arial" w:cs="Arial" w:eastAsia="Arial" w:hAnsi="Arial"/>
          <w:sz w:val="15"/>
          <w:szCs w:val="15"/>
          <w:color w:val="auto"/>
        </w:rPr>
      </w:pPr>
    </w:p>
    <w:p>
      <w:pPr>
        <w:ind w:left="1060" w:hanging="528"/>
        <w:spacing w:after="0"/>
        <w:tabs>
          <w:tab w:leader="none" w:pos="106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Additional Provisions Relating to Restricted Stock Units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jc w:val="both"/>
        <w:ind w:right="160" w:firstLine="1057"/>
        <w:spacing w:after="0" w:line="277" w:lineRule="auto"/>
        <w:tabs>
          <w:tab w:leader="none" w:pos="1590" w:val="left"/>
        </w:tabs>
        <w:numPr>
          <w:ilvl w:val="1"/>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Settlement. </w:t>
      </w:r>
      <w:r>
        <w:rPr>
          <w:rFonts w:ascii="Arial" w:cs="Arial" w:eastAsia="Arial" w:hAnsi="Arial"/>
          <w:sz w:val="14"/>
          <w:szCs w:val="14"/>
          <w:color w:val="auto"/>
        </w:rPr>
        <w:t>Upon the vesting of and/or lapsing of any other restrictions (i.e., settlement) with respect to each Restricted Stock Unit, the Participant shall be entitled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pacing w:after="0" w:line="141" w:lineRule="exact"/>
        <w:rPr>
          <w:rFonts w:ascii="Arial" w:cs="Arial" w:eastAsia="Arial" w:hAnsi="Arial"/>
          <w:sz w:val="14"/>
          <w:szCs w:val="14"/>
          <w:color w:val="auto"/>
        </w:rPr>
      </w:pPr>
    </w:p>
    <w:p>
      <w:pPr>
        <w:ind w:left="1600" w:hanging="543"/>
        <w:spacing w:after="0"/>
        <w:tabs>
          <w:tab w:leader="none" w:pos="1600" w:val="left"/>
        </w:tabs>
        <w:numPr>
          <w:ilvl w:val="1"/>
          <w:numId w:val="63"/>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A Participant shall have no voting rights with respect to any Restricted Stock Units.</w:t>
      </w:r>
    </w:p>
    <w:p>
      <w:pPr>
        <w:spacing w:after="0" w:line="177" w:lineRule="exact"/>
        <w:rPr>
          <w:rFonts w:ascii="Arial" w:cs="Arial" w:eastAsia="Arial" w:hAnsi="Arial"/>
          <w:sz w:val="15"/>
          <w:szCs w:val="15"/>
          <w:color w:val="auto"/>
        </w:rPr>
      </w:pPr>
    </w:p>
    <w:p>
      <w:pPr>
        <w:ind w:right="80" w:firstLine="1057"/>
        <w:spacing w:after="0" w:line="324" w:lineRule="auto"/>
        <w:tabs>
          <w:tab w:leader="none" w:pos="1590" w:val="left"/>
        </w:tabs>
        <w:numPr>
          <w:ilvl w:val="1"/>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Dividend Equivalents. </w:t>
      </w:r>
      <w:r>
        <w:rPr>
          <w:rFonts w:ascii="Arial" w:cs="Arial" w:eastAsia="Arial" w:hAnsi="Arial"/>
          <w:sz w:val="12"/>
          <w:szCs w:val="12"/>
          <w:color w:val="auto"/>
        </w:rPr>
        <w:t>To the extent provided by the Board, in its sole discretion, a grant of Restricted Stock Units may provide Participants with the right to receive an</w:t>
      </w:r>
      <w:r>
        <w:rPr>
          <w:rFonts w:ascii="Arial" w:cs="Arial" w:eastAsia="Arial" w:hAnsi="Arial"/>
          <w:sz w:val="12"/>
          <w:szCs w:val="12"/>
          <w:i w:val="1"/>
          <w:iCs w:val="1"/>
          <w:color w:val="auto"/>
        </w:rPr>
        <w:t xml:space="preserve"> </w:t>
      </w:r>
      <w:r>
        <w:rPr>
          <w:rFonts w:ascii="Arial" w:cs="Arial" w:eastAsia="Arial" w:hAnsi="Arial"/>
          <w:sz w:val="12"/>
          <w:szCs w:val="12"/>
          <w:color w:val="auto"/>
        </w:rPr>
        <w:t>amount equal to any dividends or other distributions declared and paid on an equal number of outstanding shares of Common Stock (“Dividend Equivalents”); provided, however, that Dividend Equivalents on Restricted Stock Units that are subject to performance conditions will either we accumulated or reinvested and paid upon vesting of the underlying Restricted Stock Unit.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conditions as the Board shall establish, in each case to be set forth in the applicable Award agreement.</w:t>
      </w:r>
    </w:p>
    <w:p>
      <w:pPr>
        <w:spacing w:after="0" w:line="177" w:lineRule="exact"/>
        <w:rPr>
          <w:sz w:val="20"/>
          <w:szCs w:val="20"/>
          <w:color w:val="auto"/>
        </w:rPr>
      </w:pPr>
    </w:p>
    <w:p>
      <w:pPr>
        <w:ind w:left="540" w:hanging="533"/>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Other Stock Unit Awards</w:t>
      </w:r>
      <w:r>
        <w:rPr>
          <w:rFonts w:ascii="Arial" w:cs="Arial" w:eastAsia="Arial" w:hAnsi="Arial"/>
          <w:sz w:val="15"/>
          <w:szCs w:val="15"/>
          <w:color w:val="auto"/>
        </w:rPr>
        <w:t>.</w:t>
      </w:r>
    </w:p>
    <w:p>
      <w:pPr>
        <w:spacing w:after="0" w:line="177" w:lineRule="exact"/>
        <w:rPr>
          <w:sz w:val="20"/>
          <w:szCs w:val="20"/>
          <w:color w:val="auto"/>
        </w:rPr>
      </w:pPr>
    </w:p>
    <w:p>
      <w:pPr>
        <w:ind w:firstLine="525"/>
        <w:spacing w:after="0" w:line="269" w:lineRule="auto"/>
        <w:rPr>
          <w:sz w:val="20"/>
          <w:szCs w:val="20"/>
          <w:color w:val="auto"/>
        </w:rPr>
      </w:pPr>
      <w:r>
        <w:rPr>
          <w:rFonts w:ascii="Arial" w:cs="Arial" w:eastAsia="Arial" w:hAnsi="Arial"/>
          <w:sz w:val="14"/>
          <w:szCs w:val="14"/>
          <w:color w:val="auto"/>
        </w:rPr>
        <w:t>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147" w:lineRule="exact"/>
        <w:rPr>
          <w:sz w:val="20"/>
          <w:szCs w:val="20"/>
          <w:color w:val="auto"/>
        </w:rPr>
      </w:pPr>
    </w:p>
    <w:p>
      <w:pPr>
        <w:ind w:left="540" w:hanging="533"/>
        <w:spacing w:after="0"/>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Adjustments for Changes in Common Stock and Certain Other Events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60" w:firstLine="532"/>
        <w:spacing w:after="0" w:line="264" w:lineRule="auto"/>
        <w:tabs>
          <w:tab w:leader="none" w:pos="1058" w:val="left"/>
        </w:tabs>
        <w:numPr>
          <w:ilvl w:val="1"/>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Changes in Capitalization. </w:t>
      </w:r>
      <w:r>
        <w:rPr>
          <w:rFonts w:ascii="Arial" w:cs="Arial" w:eastAsia="Arial" w:hAnsi="Arial"/>
          <w:sz w:val="14"/>
          <w:szCs w:val="14"/>
          <w:color w:val="auto"/>
        </w:rPr>
        <w:t>In the event of any stock split, reverse stock split, stock dividend, recapitalization, combination of shares, reclassification of shares, spin-off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similar change in capitalization or event, or any dividend or distribution to holders of Common Stock other than an ordinary cash dividend, (i) the number and class of securities available under this Plan, (ii) the sub-limits set forth in Section 4(b), (iii) the number and class of securities and exercise price per share of each outstanding Option, (iv) the share- and per-share provisions and the exercise price of each SAR, (v) the number of shares subject to and the repurchase price per share subject to each outstanding Restricted Stock Award and (vi) the share- and per-share-related provisions and the purchase price, if any, of each outstanding Other Stock Unit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2" w:lineRule="exact"/>
        <w:rPr>
          <w:rFonts w:ascii="Arial" w:cs="Arial" w:eastAsia="Arial" w:hAnsi="Arial"/>
          <w:sz w:val="14"/>
          <w:szCs w:val="14"/>
          <w:color w:val="auto"/>
        </w:rPr>
      </w:pPr>
    </w:p>
    <w:p>
      <w:pPr>
        <w:ind w:left="1060" w:hanging="528"/>
        <w:spacing w:after="0"/>
        <w:tabs>
          <w:tab w:leader="none" w:pos="1060" w:val="left"/>
        </w:tabs>
        <w:numPr>
          <w:ilvl w:val="1"/>
          <w:numId w:val="65"/>
        </w:numPr>
        <w:rPr>
          <w:rFonts w:ascii="Arial" w:cs="Arial" w:eastAsia="Arial" w:hAnsi="Arial"/>
          <w:sz w:val="15"/>
          <w:szCs w:val="15"/>
          <w:color w:val="auto"/>
        </w:rPr>
      </w:pPr>
      <w:r>
        <w:rPr>
          <w:rFonts w:ascii="Arial" w:cs="Arial" w:eastAsia="Arial" w:hAnsi="Arial"/>
          <w:sz w:val="15"/>
          <w:szCs w:val="15"/>
          <w:i w:val="1"/>
          <w:iCs w:val="1"/>
          <w:color w:val="auto"/>
        </w:rPr>
        <w:t>Reorganization Events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jc w:val="both"/>
        <w:ind w:right="220" w:firstLine="1057"/>
        <w:spacing w:after="0" w:line="251" w:lineRule="auto"/>
        <w:tabs>
          <w:tab w:leader="none" w:pos="1590" w:val="left"/>
        </w:tabs>
        <w:numPr>
          <w:ilvl w:val="2"/>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Definition. </w:t>
      </w:r>
      <w:r>
        <w:rPr>
          <w:rFonts w:ascii="Arial" w:cs="Arial" w:eastAsia="Arial" w:hAnsi="Arial"/>
          <w:sz w:val="15"/>
          <w:szCs w:val="15"/>
          <w:color w:val="auto"/>
        </w:rPr>
        <w:t>A “Reorganization Event” shall mean: (a) any merger or consolidation of the Company with or into another entity as a result of which all of the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220" w:firstLine="1057"/>
        <w:spacing w:after="0" w:line="330" w:lineRule="auto"/>
        <w:tabs>
          <w:tab w:leader="none" w:pos="1590" w:val="left"/>
        </w:tabs>
        <w:numPr>
          <w:ilvl w:val="0"/>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Consequences of a Reorganization Event on Awards Other than Restricted Stock Awards. </w:t>
      </w:r>
      <w:r>
        <w:rPr>
          <w:rFonts w:ascii="Arial" w:cs="Arial" w:eastAsia="Arial" w:hAnsi="Arial"/>
          <w:sz w:val="12"/>
          <w:szCs w:val="12"/>
          <w:color w:val="auto"/>
        </w:rPr>
        <w:t>In connection with a Reorganization Event, the Board may take any one or</w:t>
      </w:r>
      <w:r>
        <w:rPr>
          <w:rFonts w:ascii="Arial" w:cs="Arial" w:eastAsia="Arial" w:hAnsi="Arial"/>
          <w:sz w:val="12"/>
          <w:szCs w:val="12"/>
          <w:i w:val="1"/>
          <w:iCs w:val="1"/>
          <w:color w:val="auto"/>
        </w:rPr>
        <w:t xml:space="preserve"> </w:t>
      </w:r>
      <w:r>
        <w:rPr>
          <w:rFonts w:ascii="Arial" w:cs="Arial" w:eastAsia="Arial" w:hAnsi="Arial"/>
          <w:sz w:val="12"/>
          <w:szCs w:val="12"/>
          <w:color w:val="auto"/>
        </w:rPr>
        <w:t>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w:t>
      </w:r>
    </w:p>
    <w:p>
      <w:pPr>
        <w:sectPr>
          <w:pgSz w:w="11900" w:h="16838" w:orient="portrait"/>
          <w:cols w:equalWidth="0" w:num="1">
            <w:col w:w="11460"/>
          </w:cols>
          <w:pgMar w:left="220" w:top="129" w:right="219" w:bottom="0" w:gutter="0" w:footer="0" w:header="0"/>
        </w:sectPr>
      </w:pPr>
    </w:p>
    <w:bookmarkStart w:id="108" w:name="page109"/>
    <w:bookmarkEnd w:id="108"/>
    <w:p>
      <w:pPr>
        <w:ind w:right="40"/>
        <w:spacing w:after="0" w:line="317" w:lineRule="auto"/>
        <w:rPr>
          <w:sz w:val="20"/>
          <w:szCs w:val="20"/>
          <w:color w:val="auto"/>
        </w:rPr>
      </w:pPr>
      <w:r>
        <w:rPr>
          <w:rFonts w:ascii="Arial" w:cs="Arial" w:eastAsia="Arial" w:hAnsi="Arial"/>
          <w:sz w:val="12"/>
          <w:szCs w:val="12"/>
          <w:color w:val="auto"/>
        </w:rPr>
        <w:t>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9(b), the Board shall not be obligated by the Plan to treat all Awards, all Awards held by a Participant, or all Awards of the same type, identically.</w:t>
      </w:r>
    </w:p>
    <w:p>
      <w:pPr>
        <w:spacing w:after="0" w:line="123" w:lineRule="exact"/>
        <w:rPr>
          <w:sz w:val="20"/>
          <w:szCs w:val="20"/>
          <w:color w:val="auto"/>
        </w:rPr>
      </w:pPr>
    </w:p>
    <w:p>
      <w:pPr>
        <w:ind w:right="60" w:firstLine="1049"/>
        <w:spacing w:after="0" w:line="317" w:lineRule="auto"/>
        <w:rPr>
          <w:sz w:val="20"/>
          <w:szCs w:val="20"/>
          <w:color w:val="auto"/>
        </w:rPr>
      </w:pPr>
      <w:r>
        <w:rPr>
          <w:rFonts w:ascii="Arial" w:cs="Arial" w:eastAsia="Arial" w:hAnsi="Arial"/>
          <w:sz w:val="12"/>
          <w:szCs w:val="12"/>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23" w:lineRule="exact"/>
        <w:rPr>
          <w:sz w:val="20"/>
          <w:szCs w:val="20"/>
          <w:color w:val="auto"/>
        </w:rPr>
      </w:pPr>
    </w:p>
    <w:p>
      <w:pPr>
        <w:ind w:right="80" w:firstLine="1057"/>
        <w:spacing w:after="0" w:line="248" w:lineRule="auto"/>
        <w:tabs>
          <w:tab w:leader="none" w:pos="159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Consequences of a Reorganization Event on Restricted Stock Awards. </w:t>
      </w:r>
      <w:r>
        <w:rPr>
          <w:rFonts w:ascii="Arial" w:cs="Arial" w:eastAsia="Arial" w:hAnsi="Arial"/>
          <w:sz w:val="15"/>
          <w:szCs w:val="15"/>
          <w:color w:val="auto"/>
        </w:rPr>
        <w:t>Upon the occurrence of a Reorganization Event other than a liquidation or dissolution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480"/>
        <w:spacing w:after="0" w:line="251" w:lineRule="auto"/>
        <w:rPr>
          <w:sz w:val="20"/>
          <w:szCs w:val="20"/>
          <w:color w:val="auto"/>
        </w:rPr>
      </w:pPr>
      <w:r>
        <w:rPr>
          <w:rFonts w:ascii="Arial" w:cs="Arial" w:eastAsia="Arial" w:hAnsi="Arial"/>
          <w:sz w:val="15"/>
          <w:szCs w:val="15"/>
          <w:color w:val="auto"/>
        </w:rPr>
        <w:t>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58" w:lineRule="exact"/>
        <w:rPr>
          <w:sz w:val="20"/>
          <w:szCs w:val="20"/>
          <w:color w:val="auto"/>
        </w:rPr>
      </w:pPr>
    </w:p>
    <w:p>
      <w:pPr>
        <w:ind w:right="120" w:firstLine="532"/>
        <w:spacing w:after="0" w:line="324" w:lineRule="auto"/>
        <w:tabs>
          <w:tab w:leader="none" w:pos="1058" w:val="left"/>
        </w:tabs>
        <w:numPr>
          <w:ilvl w:val="1"/>
          <w:numId w:val="68"/>
        </w:numPr>
        <w:rPr>
          <w:rFonts w:ascii="Arial" w:cs="Arial" w:eastAsia="Arial" w:hAnsi="Arial"/>
          <w:sz w:val="12"/>
          <w:szCs w:val="12"/>
          <w:color w:val="auto"/>
        </w:rPr>
      </w:pPr>
      <w:r>
        <w:rPr>
          <w:rFonts w:ascii="Arial" w:cs="Arial" w:eastAsia="Arial" w:hAnsi="Arial"/>
          <w:sz w:val="12"/>
          <w:szCs w:val="12"/>
          <w:i w:val="1"/>
          <w:iCs w:val="1"/>
          <w:color w:val="auto"/>
        </w:rPr>
        <w:t xml:space="preserve">Acquisition. </w:t>
      </w:r>
      <w:r>
        <w:rPr>
          <w:rFonts w:ascii="Arial" w:cs="Arial" w:eastAsia="Arial" w:hAnsi="Arial"/>
          <w:sz w:val="12"/>
          <w:szCs w:val="12"/>
          <w:color w:val="auto"/>
        </w:rPr>
        <w:t>An “Acquisition” shall mean any (i) merger or consolidation in which the Company is a constituent party or a subsidiary of the Company is a constituent party and</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issues shares of its capital stock pursuant to such merger or consolidation, which results in the voting securities of the Company outstanding immediately prior thereto representing immediately thereafter (either by remaining outstanding or by being converted into voting securities of the surviving or acquiring entity (the “Acquiror”)) less than a majority of the combined voting power of the voting securities of the Company or the Acquiror outstanding immediately after such merger or consolidation or (ii) sale, transfer or other disposition of all or substantially all of the assets of the Company. The effect of an Acquisition on any Award granted under the Plan shall be specified in the agreement evidencing such Award.</w:t>
      </w:r>
    </w:p>
    <w:p>
      <w:pPr>
        <w:spacing w:after="0" w:line="117" w:lineRule="exact"/>
        <w:rPr>
          <w:rFonts w:ascii="Arial" w:cs="Arial" w:eastAsia="Arial" w:hAnsi="Arial"/>
          <w:sz w:val="12"/>
          <w:szCs w:val="12"/>
          <w:color w:val="auto"/>
        </w:rPr>
      </w:pPr>
    </w:p>
    <w:p>
      <w:pPr>
        <w:ind w:left="560" w:hanging="553"/>
        <w:spacing w:after="0"/>
        <w:tabs>
          <w:tab w:leader="none" w:pos="560"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General Provisions Applicable to Awards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firstLine="532"/>
        <w:spacing w:after="0" w:line="315" w:lineRule="auto"/>
        <w:tabs>
          <w:tab w:leader="none" w:pos="1058" w:val="left"/>
        </w:tabs>
        <w:numPr>
          <w:ilvl w:val="1"/>
          <w:numId w:val="69"/>
        </w:numPr>
        <w:rPr>
          <w:rFonts w:ascii="Arial" w:cs="Arial" w:eastAsia="Arial" w:hAnsi="Arial"/>
          <w:sz w:val="12"/>
          <w:szCs w:val="12"/>
          <w:color w:val="auto"/>
        </w:rPr>
      </w:pPr>
      <w:r>
        <w:rPr>
          <w:rFonts w:ascii="Arial" w:cs="Arial" w:eastAsia="Arial" w:hAnsi="Arial"/>
          <w:sz w:val="12"/>
          <w:szCs w:val="12"/>
          <w:i w:val="1"/>
          <w:iCs w:val="1"/>
          <w:color w:val="auto"/>
        </w:rPr>
        <w:t xml:space="preserve">Transferability of Awards. </w:t>
      </w:r>
      <w:r>
        <w:rPr>
          <w:rFonts w:ascii="Arial" w:cs="Arial" w:eastAsia="Arial" w:hAnsi="Arial"/>
          <w:sz w:val="12"/>
          <w:szCs w:val="12"/>
          <w:color w:val="auto"/>
        </w:rPr>
        <w:t>Awards (other than vested Restricted Stock Awards) shall not be sold, assigned, transferred, pledged or otherwise encumbered by the person to whom</w:t>
      </w:r>
      <w:r>
        <w:rPr>
          <w:rFonts w:ascii="Arial" w:cs="Arial" w:eastAsia="Arial" w:hAnsi="Arial"/>
          <w:sz w:val="12"/>
          <w:szCs w:val="12"/>
          <w:i w:val="1"/>
          <w:iCs w:val="1"/>
          <w:color w:val="auto"/>
        </w:rPr>
        <w:t xml:space="preserve"> </w:t>
      </w:r>
      <w:r>
        <w:rPr>
          <w:rFonts w:ascii="Arial" w:cs="Arial" w:eastAsia="Arial" w:hAnsi="Arial"/>
          <w:sz w:val="12"/>
          <w:szCs w:val="12"/>
          <w:color w:val="auto"/>
        </w:rPr>
        <w:t>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124" w:lineRule="exact"/>
        <w:rPr>
          <w:rFonts w:ascii="Arial" w:cs="Arial" w:eastAsia="Arial" w:hAnsi="Arial"/>
          <w:sz w:val="12"/>
          <w:szCs w:val="12"/>
          <w:color w:val="auto"/>
        </w:rPr>
      </w:pPr>
    </w:p>
    <w:p>
      <w:pPr>
        <w:ind w:right="220" w:firstLine="532"/>
        <w:spacing w:after="0" w:line="259" w:lineRule="auto"/>
        <w:tabs>
          <w:tab w:leader="none" w:pos="1055" w:val="left"/>
        </w:tabs>
        <w:numPr>
          <w:ilvl w:val="1"/>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Documentation. </w:t>
      </w:r>
      <w:r>
        <w:rPr>
          <w:rFonts w:ascii="Arial" w:cs="Arial" w:eastAsia="Arial" w:hAnsi="Arial"/>
          <w:sz w:val="15"/>
          <w:szCs w:val="15"/>
          <w:color w:val="auto"/>
        </w:rPr>
        <w:t>Each Award shall be evidenced in such form (written, electronic or otherwise) as the Board shall determine. Each Award may contain terms and conditions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 to those set forth in the Plan.</w:t>
      </w:r>
    </w:p>
    <w:p>
      <w:pPr>
        <w:spacing w:after="0" w:line="152" w:lineRule="exact"/>
        <w:rPr>
          <w:rFonts w:ascii="Arial" w:cs="Arial" w:eastAsia="Arial" w:hAnsi="Arial"/>
          <w:sz w:val="15"/>
          <w:szCs w:val="15"/>
          <w:color w:val="auto"/>
        </w:rPr>
      </w:pPr>
    </w:p>
    <w:p>
      <w:pPr>
        <w:ind w:right="120" w:firstLine="532"/>
        <w:spacing w:after="0" w:line="259" w:lineRule="auto"/>
        <w:tabs>
          <w:tab w:leader="none" w:pos="1058" w:val="left"/>
        </w:tabs>
        <w:numPr>
          <w:ilvl w:val="1"/>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Board Discretion. </w:t>
      </w:r>
      <w:r>
        <w:rPr>
          <w:rFonts w:ascii="Arial" w:cs="Arial" w:eastAsia="Arial" w:hAnsi="Arial"/>
          <w:sz w:val="15"/>
          <w:szCs w:val="15"/>
          <w:color w:val="auto"/>
        </w:rPr>
        <w:t>Except as otherwise provided by the Plan, each Award may be made alone or in addition or in relation to any other Award. The terms of each Award need not</w:t>
      </w:r>
      <w:r>
        <w:rPr>
          <w:rFonts w:ascii="Arial" w:cs="Arial" w:eastAsia="Arial" w:hAnsi="Arial"/>
          <w:sz w:val="15"/>
          <w:szCs w:val="15"/>
          <w:i w:val="1"/>
          <w:iCs w:val="1"/>
          <w:color w:val="auto"/>
        </w:rPr>
        <w:t xml:space="preserve"> </w:t>
      </w:r>
      <w:r>
        <w:rPr>
          <w:rFonts w:ascii="Arial" w:cs="Arial" w:eastAsia="Arial" w:hAnsi="Arial"/>
          <w:sz w:val="15"/>
          <w:szCs w:val="15"/>
          <w:color w:val="auto"/>
        </w:rPr>
        <w:t>be identical, and the Board need not treat Participants uniformly.</w:t>
      </w:r>
    </w:p>
    <w:p>
      <w:pPr>
        <w:spacing w:after="0" w:line="152" w:lineRule="exact"/>
        <w:rPr>
          <w:rFonts w:ascii="Arial" w:cs="Arial" w:eastAsia="Arial" w:hAnsi="Arial"/>
          <w:sz w:val="15"/>
          <w:szCs w:val="15"/>
          <w:color w:val="auto"/>
        </w:rPr>
      </w:pPr>
    </w:p>
    <w:p>
      <w:pPr>
        <w:ind w:left="5660" w:right="140" w:hanging="5128"/>
        <w:spacing w:after="0" w:line="502" w:lineRule="auto"/>
        <w:tabs>
          <w:tab w:leader="none" w:pos="1061" w:val="left"/>
        </w:tabs>
        <w:numPr>
          <w:ilvl w:val="1"/>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Termination of Status. </w:t>
      </w:r>
      <w:r>
        <w:rPr>
          <w:rFonts w:ascii="Arial" w:cs="Arial" w:eastAsia="Arial" w:hAnsi="Arial"/>
          <w:sz w:val="15"/>
          <w:szCs w:val="15"/>
          <w:color w:val="auto"/>
        </w:rPr>
        <w:t>The Board shall determine the effect on an Award of the disability, death, termination of employment, authorized leave of absence or other change in the</w:t>
      </w:r>
      <w:r>
        <w:rPr>
          <w:rFonts w:ascii="Arial" w:cs="Arial" w:eastAsia="Arial" w:hAnsi="Arial"/>
          <w:sz w:val="15"/>
          <w:szCs w:val="15"/>
          <w:i w:val="1"/>
          <w:iCs w:val="1"/>
          <w:color w:val="auto"/>
        </w:rPr>
        <w:t xml:space="preserve">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292340" cy="266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166" w:lineRule="exact"/>
        <w:rPr>
          <w:sz w:val="20"/>
          <w:szCs w:val="20"/>
          <w:color w:val="auto"/>
        </w:rPr>
      </w:pPr>
    </w:p>
    <w:p>
      <w:pPr>
        <w:ind w:right="380"/>
        <w:spacing w:after="0" w:line="259" w:lineRule="auto"/>
        <w:rPr>
          <w:sz w:val="20"/>
          <w:szCs w:val="20"/>
          <w:color w:val="auto"/>
        </w:rPr>
      </w:pPr>
      <w:r>
        <w:rPr>
          <w:rFonts w:ascii="Arial" w:cs="Arial" w:eastAsia="Arial" w:hAnsi="Arial"/>
          <w:sz w:val="15"/>
          <w:szCs w:val="15"/>
          <w:color w:val="auto"/>
        </w:rPr>
        <w:t>employment or other status of a Participant and the extent to which, and the period during which, the Participant, or the Participant’s legal representative, conservator, guardian or Designated Beneficiary, may exercise rights under the Award.</w:t>
      </w:r>
    </w:p>
    <w:p>
      <w:pPr>
        <w:spacing w:after="0" w:line="152" w:lineRule="exact"/>
        <w:rPr>
          <w:sz w:val="20"/>
          <w:szCs w:val="20"/>
          <w:color w:val="auto"/>
        </w:rPr>
      </w:pPr>
    </w:p>
    <w:p>
      <w:pPr>
        <w:ind w:right="20" w:firstLine="532"/>
        <w:spacing w:after="0" w:line="314" w:lineRule="auto"/>
        <w:tabs>
          <w:tab w:leader="none" w:pos="1058" w:val="left"/>
        </w:tabs>
        <w:numPr>
          <w:ilvl w:val="0"/>
          <w:numId w:val="70"/>
        </w:numPr>
        <w:rPr>
          <w:rFonts w:ascii="Arial" w:cs="Arial" w:eastAsia="Arial" w:hAnsi="Arial"/>
          <w:sz w:val="12"/>
          <w:szCs w:val="12"/>
          <w:color w:val="auto"/>
        </w:rPr>
      </w:pPr>
      <w:r>
        <w:rPr>
          <w:rFonts w:ascii="Arial" w:cs="Arial" w:eastAsia="Arial" w:hAnsi="Arial"/>
          <w:sz w:val="12"/>
          <w:szCs w:val="12"/>
          <w:i w:val="1"/>
          <w:iCs w:val="1"/>
          <w:color w:val="auto"/>
        </w:rPr>
        <w:t xml:space="preserve">Withholding. </w:t>
      </w:r>
      <w:r>
        <w:rPr>
          <w:rFonts w:ascii="Arial" w:cs="Arial" w:eastAsia="Arial" w:hAnsi="Arial"/>
          <w:sz w:val="12"/>
          <w:szCs w:val="12"/>
          <w:color w:val="auto"/>
        </w:rPr>
        <w:t>The Participant must satisfy all applicable federal, state, and local or other income and employment tax withholding obligations before the Company will deliver</w:t>
      </w:r>
      <w:r>
        <w:rPr>
          <w:rFonts w:ascii="Arial" w:cs="Arial" w:eastAsia="Arial" w:hAnsi="Arial"/>
          <w:sz w:val="12"/>
          <w:szCs w:val="12"/>
          <w:i w:val="1"/>
          <w:iCs w:val="1"/>
          <w:color w:val="auto"/>
        </w:rPr>
        <w:t xml:space="preserve"> </w:t>
      </w:r>
      <w:r>
        <w:rPr>
          <w:rFonts w:ascii="Arial" w:cs="Arial" w:eastAsia="Arial" w:hAnsi="Arial"/>
          <w:sz w:val="12"/>
          <w:szCs w:val="12"/>
          <w:color w:val="auto"/>
        </w:rPr>
        <w:t>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23" w:lineRule="exact"/>
        <w:rPr>
          <w:rFonts w:ascii="Arial" w:cs="Arial" w:eastAsia="Arial" w:hAnsi="Arial"/>
          <w:sz w:val="12"/>
          <w:szCs w:val="12"/>
          <w:color w:val="auto"/>
        </w:rPr>
      </w:pPr>
    </w:p>
    <w:p>
      <w:pPr>
        <w:ind w:right="40" w:firstLine="532"/>
        <w:spacing w:after="0" w:line="248" w:lineRule="auto"/>
        <w:tabs>
          <w:tab w:leader="none" w:pos="1064"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Amendment of Award. </w:t>
      </w:r>
      <w:r>
        <w:rPr>
          <w:rFonts w:ascii="Arial" w:cs="Arial" w:eastAsia="Arial" w:hAnsi="Arial"/>
          <w:sz w:val="15"/>
          <w:szCs w:val="15"/>
          <w:color w:val="auto"/>
        </w:rPr>
        <w:t>The Board may amend, modify or terminate any outstanding Award, including but not limited to, substituting therefor another Award of the same or a</w:t>
      </w:r>
      <w:r>
        <w:rPr>
          <w:rFonts w:ascii="Arial" w:cs="Arial" w:eastAsia="Arial" w:hAnsi="Arial"/>
          <w:sz w:val="15"/>
          <w:szCs w:val="15"/>
          <w:i w:val="1"/>
          <w:iCs w:val="1"/>
          <w:color w:val="auto"/>
        </w:rPr>
        <w:t xml:space="preserve"> </w:t>
      </w:r>
      <w:r>
        <w:rPr>
          <w:rFonts w:ascii="Arial" w:cs="Arial" w:eastAsia="Arial" w:hAnsi="Arial"/>
          <w:sz w:val="15"/>
          <w:szCs w:val="15"/>
          <w:color w:val="auto"/>
        </w:rPr>
        <w:t>different type, changing the date of exercise or realization, and converting an Incentive Stock Option to a Nonstatutory Stock Option, provided either (i) that the Participant’s consent to such action shall be required unless the Board determines that the action, taking into account any related action, would not materially and adversely affect the Participant or (ii) that the change is permitted under Section 9 hereof.</w:t>
      </w:r>
    </w:p>
    <w:p>
      <w:pPr>
        <w:spacing w:after="0" w:line="161" w:lineRule="exact"/>
        <w:rPr>
          <w:rFonts w:ascii="Arial" w:cs="Arial" w:eastAsia="Arial" w:hAnsi="Arial"/>
          <w:sz w:val="15"/>
          <w:szCs w:val="15"/>
          <w:color w:val="auto"/>
        </w:rPr>
      </w:pPr>
    </w:p>
    <w:p>
      <w:pPr>
        <w:ind w:right="160" w:firstLine="532"/>
        <w:spacing w:after="0" w:line="247" w:lineRule="auto"/>
        <w:tabs>
          <w:tab w:leader="none" w:pos="1055"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Conditions on Delivery of Stock. </w:t>
      </w:r>
      <w:r>
        <w:rPr>
          <w:rFonts w:ascii="Arial" w:cs="Arial" w:eastAsia="Arial" w:hAnsi="Arial"/>
          <w:sz w:val="15"/>
          <w:szCs w:val="15"/>
          <w:color w:val="auto"/>
        </w:rPr>
        <w:t>The Company will not be obligated to deliver any shares of Common Stock pursuant to the Plan or to remove restrictions from shares</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61" w:lineRule="exact"/>
        <w:rPr>
          <w:rFonts w:ascii="Arial" w:cs="Arial" w:eastAsia="Arial" w:hAnsi="Arial"/>
          <w:sz w:val="15"/>
          <w:szCs w:val="15"/>
          <w:color w:val="auto"/>
        </w:rPr>
      </w:pPr>
    </w:p>
    <w:p>
      <w:pPr>
        <w:ind w:right="520" w:firstLine="532"/>
        <w:spacing w:after="0" w:line="259" w:lineRule="auto"/>
        <w:tabs>
          <w:tab w:leader="none" w:pos="1055"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Acceleration. </w:t>
      </w:r>
      <w:r>
        <w:rPr>
          <w:rFonts w:ascii="Arial" w:cs="Arial" w:eastAsia="Arial" w:hAnsi="Arial"/>
          <w:sz w:val="15"/>
          <w:szCs w:val="15"/>
          <w:color w:val="auto"/>
        </w:rPr>
        <w:t>The Board may at any time provide that any Award shall become immediately exercisable in full or in part, free of some or all restrictions or conditions,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realizable in full or in part, as the case may be.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92340" cy="26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80" w:hanging="548"/>
        <w:spacing w:after="0"/>
        <w:tabs>
          <w:tab w:leader="none" w:pos="1080"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Performance Awards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right="680" w:firstLine="1057"/>
        <w:spacing w:after="0" w:line="259" w:lineRule="auto"/>
        <w:tabs>
          <w:tab w:leader="none" w:pos="1590" w:val="left"/>
        </w:tabs>
        <w:numPr>
          <w:ilvl w:val="1"/>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Grants. </w:t>
      </w:r>
      <w:r>
        <w:rPr>
          <w:rFonts w:ascii="Arial" w:cs="Arial" w:eastAsia="Arial" w:hAnsi="Arial"/>
          <w:sz w:val="15"/>
          <w:szCs w:val="15"/>
          <w:color w:val="auto"/>
        </w:rPr>
        <w:t>Restricted Stock Awards and Other Stock Unit Awards under the Plan may be made subject to the achievement of performance goals pursuant to this</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10(i) (“Performance Awards”), subject to the limit in Section 4(b)(1) on shares covered by such grants.</w:t>
      </w:r>
    </w:p>
    <w:p>
      <w:pPr>
        <w:sectPr>
          <w:pgSz w:w="11900" w:h="16838" w:orient="portrait"/>
          <w:cols w:equalWidth="0" w:num="1">
            <w:col w:w="11460"/>
          </w:cols>
          <w:pgMar w:left="220" w:top="129" w:right="219" w:bottom="0" w:gutter="0" w:footer="0" w:header="0"/>
        </w:sectPr>
      </w:pPr>
    </w:p>
    <w:bookmarkStart w:id="109" w:name="page110"/>
    <w:bookmarkEnd w:id="109"/>
    <w:p>
      <w:pPr>
        <w:ind w:left="-7" w:right="80" w:firstLine="1057"/>
        <w:spacing w:after="0" w:line="330" w:lineRule="auto"/>
        <w:tabs>
          <w:tab w:leader="none" w:pos="1583" w:val="left"/>
        </w:tabs>
        <w:numPr>
          <w:ilvl w:val="1"/>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Committee. </w:t>
      </w:r>
      <w:r>
        <w:rPr>
          <w:rFonts w:ascii="Arial" w:cs="Arial" w:eastAsia="Arial" w:hAnsi="Arial"/>
          <w:sz w:val="12"/>
          <w:szCs w:val="12"/>
          <w:color w:val="auto"/>
        </w:rPr>
        <w:t>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115" w:lineRule="exact"/>
        <w:rPr>
          <w:rFonts w:ascii="Arial" w:cs="Arial" w:eastAsia="Arial" w:hAnsi="Arial"/>
          <w:sz w:val="12"/>
          <w:szCs w:val="12"/>
          <w:color w:val="auto"/>
        </w:rPr>
      </w:pPr>
    </w:p>
    <w:p>
      <w:pPr>
        <w:ind w:left="-7" w:firstLine="1057"/>
        <w:spacing w:after="0" w:line="308" w:lineRule="auto"/>
        <w:tabs>
          <w:tab w:leader="none" w:pos="1583" w:val="left"/>
        </w:tabs>
        <w:numPr>
          <w:ilvl w:val="1"/>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Performance Measures. </w:t>
      </w:r>
      <w:r>
        <w:rPr>
          <w:rFonts w:ascii="Arial" w:cs="Arial" w:eastAsia="Arial" w:hAnsi="Arial"/>
          <w:sz w:val="12"/>
          <w:szCs w:val="12"/>
          <w:color w:val="auto"/>
        </w:rPr>
        <w:t>For any Award that is intended to qualify as Performance-Based Compensation, the Committee shall specify that the degree of granting, vesting</w:t>
      </w:r>
      <w:r>
        <w:rPr>
          <w:rFonts w:ascii="Arial" w:cs="Arial" w:eastAsia="Arial" w:hAnsi="Arial"/>
          <w:sz w:val="12"/>
          <w:szCs w:val="12"/>
          <w:i w:val="1"/>
          <w:iCs w:val="1"/>
          <w:color w:val="auto"/>
        </w:rPr>
        <w:t xml:space="preserve"> </w:t>
      </w:r>
      <w:r>
        <w:rPr>
          <w:rFonts w:ascii="Arial" w:cs="Arial" w:eastAsia="Arial" w:hAnsi="Arial"/>
          <w:sz w:val="12"/>
          <w:szCs w:val="12"/>
          <w:color w:val="auto"/>
        </w:rPr>
        <w:t>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 (f) earnings growth, (g) cash flow or cash position, (h) gross margins, (i) stock price, (j) market share,</w:t>
      </w:r>
    </w:p>
    <w:p>
      <w:pPr>
        <w:ind w:left="-7" w:right="80" w:firstLine="7"/>
        <w:spacing w:after="0" w:line="304" w:lineRule="auto"/>
        <w:tabs>
          <w:tab w:leader="none" w:pos="199"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return on sales, assets, equity or investment, (l) improvement of financial ratings, (m) achievement of balance sheet or income statement objectives or (n) total stockholder return, and may be absolute in their terms or measured against or in relationship to other companies comparably, similarly or otherwise situated. The Committee may specify that such performance measures shall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measures: (i) may vary by Participant and may be different for different Awards;</w:t>
      </w:r>
    </w:p>
    <w:p>
      <w:pPr>
        <w:jc w:val="both"/>
        <w:ind w:left="-7" w:right="340" w:firstLine="7"/>
        <w:spacing w:after="0" w:line="271" w:lineRule="auto"/>
        <w:tabs>
          <w:tab w:leader="none" w:pos="207"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45" w:lineRule="exact"/>
        <w:rPr>
          <w:rFonts w:ascii="Arial" w:cs="Arial" w:eastAsia="Arial" w:hAnsi="Arial"/>
          <w:sz w:val="14"/>
          <w:szCs w:val="14"/>
          <w:color w:val="auto"/>
        </w:rPr>
      </w:pPr>
    </w:p>
    <w:p>
      <w:pPr>
        <w:ind w:left="-7" w:right="180" w:firstLine="1057"/>
        <w:spacing w:after="0" w:line="251" w:lineRule="auto"/>
        <w:tabs>
          <w:tab w:leader="none" w:pos="1583" w:val="left"/>
        </w:tabs>
        <w:numPr>
          <w:ilvl w:val="1"/>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Adjustments. </w:t>
      </w:r>
      <w:r>
        <w:rPr>
          <w:rFonts w:ascii="Arial" w:cs="Arial" w:eastAsia="Arial" w:hAnsi="Arial"/>
          <w:sz w:val="15"/>
          <w:szCs w:val="15"/>
          <w:color w:val="auto"/>
        </w:rPr>
        <w:t>Notwithstanding any provision of the Plan, with respect to any Performance Award that is intended to qualify as Performance-Based Compensation,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may adjust downwards, but not upwards, the cash or number of Shares payable pursuant to such Award, and the Committee may not waive the achievement of the applicable performance measures except in the case of the death or disability of the Participant or a change in control of the Company.</w:t>
      </w:r>
    </w:p>
    <w:p>
      <w:pPr>
        <w:spacing w:after="0" w:line="158"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266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7" w:right="400" w:firstLine="1057"/>
        <w:spacing w:after="0" w:line="259" w:lineRule="auto"/>
        <w:tabs>
          <w:tab w:leader="none" w:pos="1583" w:val="left"/>
        </w:tabs>
        <w:numPr>
          <w:ilvl w:val="2"/>
          <w:numId w:val="75"/>
        </w:numPr>
        <w:rPr>
          <w:rFonts w:ascii="Arial" w:cs="Arial" w:eastAsia="Arial" w:hAnsi="Arial"/>
          <w:sz w:val="15"/>
          <w:szCs w:val="15"/>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The Committee shall have the power to impose such other restrictions on Performance Awards as it may deem necessary or appropriate to ensure that such</w:t>
      </w:r>
      <w:r>
        <w:rPr>
          <w:rFonts w:ascii="Arial" w:cs="Arial" w:eastAsia="Arial" w:hAnsi="Arial"/>
          <w:sz w:val="15"/>
          <w:szCs w:val="15"/>
          <w:i w:val="1"/>
          <w:iCs w:val="1"/>
          <w:color w:val="auto"/>
        </w:rPr>
        <w:t xml:space="preserve"> </w:t>
      </w:r>
      <w:r>
        <w:rPr>
          <w:rFonts w:ascii="Arial" w:cs="Arial" w:eastAsia="Arial" w:hAnsi="Arial"/>
          <w:sz w:val="15"/>
          <w:szCs w:val="15"/>
          <w:color w:val="auto"/>
        </w:rPr>
        <w:t>Awards satisfy all requirements for Performance-Based Compensation.</w:t>
      </w:r>
    </w:p>
    <w:p>
      <w:pPr>
        <w:spacing w:after="0" w:line="152" w:lineRule="exact"/>
        <w:rPr>
          <w:rFonts w:ascii="Arial" w:cs="Arial" w:eastAsia="Arial" w:hAnsi="Arial"/>
          <w:sz w:val="15"/>
          <w:szCs w:val="15"/>
          <w:color w:val="auto"/>
        </w:rPr>
      </w:pPr>
    </w:p>
    <w:p>
      <w:pPr>
        <w:ind w:left="533" w:hanging="533"/>
        <w:spacing w:after="0"/>
        <w:tabs>
          <w:tab w:leader="none" w:pos="533" w:val="left"/>
        </w:tabs>
        <w:numPr>
          <w:ilvl w:val="0"/>
          <w:numId w:val="76"/>
        </w:numPr>
        <w:rPr>
          <w:rFonts w:ascii="Arial" w:cs="Arial" w:eastAsia="Arial" w:hAnsi="Arial"/>
          <w:sz w:val="15"/>
          <w:szCs w:val="15"/>
          <w:color w:val="auto"/>
        </w:rPr>
      </w:pPr>
      <w:r>
        <w:rPr>
          <w:rFonts w:ascii="Arial" w:cs="Arial" w:eastAsia="Arial" w:hAnsi="Arial"/>
          <w:sz w:val="15"/>
          <w:szCs w:val="15"/>
          <w:i w:val="1"/>
          <w:iCs w:val="1"/>
          <w:color w:val="auto"/>
        </w:rPr>
        <w:t>Miscellaneous</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left="-7" w:right="100" w:firstLine="532"/>
        <w:spacing w:after="0" w:line="251" w:lineRule="auto"/>
        <w:tabs>
          <w:tab w:leader="none" w:pos="1050"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No Right To Employment or Other Status. </w:t>
      </w:r>
      <w:r>
        <w:rPr>
          <w:rFonts w:ascii="Arial" w:cs="Arial" w:eastAsia="Arial" w:hAnsi="Arial"/>
          <w:sz w:val="15"/>
          <w:szCs w:val="15"/>
          <w:color w:val="auto"/>
        </w:rPr>
        <w:t>No person shall have any claim or right to be granted an Award, and the grant of an Award shall not be construed as giving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58" w:lineRule="exact"/>
        <w:rPr>
          <w:rFonts w:ascii="Arial" w:cs="Arial" w:eastAsia="Arial" w:hAnsi="Arial"/>
          <w:sz w:val="15"/>
          <w:szCs w:val="15"/>
          <w:color w:val="auto"/>
        </w:rPr>
      </w:pPr>
    </w:p>
    <w:p>
      <w:pPr>
        <w:ind w:left="-7" w:right="120" w:firstLine="532"/>
        <w:spacing w:after="0" w:line="259" w:lineRule="auto"/>
        <w:tabs>
          <w:tab w:leader="none" w:pos="1048"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No Rights As Stockholder. </w:t>
      </w:r>
      <w:r>
        <w:rPr>
          <w:rFonts w:ascii="Arial" w:cs="Arial" w:eastAsia="Arial" w:hAnsi="Arial"/>
          <w:sz w:val="15"/>
          <w:szCs w:val="15"/>
          <w:color w:val="auto"/>
        </w:rPr>
        <w:t>Subject to the provisions of the applicable Award, no Participant or Designated Beneficiary shall have any rights as a stockholder with respect to any</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Common Stock to be distributed with respect to an Award until becoming the record holder of such shares.</w:t>
      </w:r>
    </w:p>
    <w:p>
      <w:pPr>
        <w:spacing w:after="0" w:line="152" w:lineRule="exact"/>
        <w:rPr>
          <w:rFonts w:ascii="Arial" w:cs="Arial" w:eastAsia="Arial" w:hAnsi="Arial"/>
          <w:sz w:val="15"/>
          <w:szCs w:val="15"/>
          <w:color w:val="auto"/>
        </w:rPr>
      </w:pPr>
    </w:p>
    <w:p>
      <w:pPr>
        <w:ind w:left="-7" w:right="220" w:firstLine="532"/>
        <w:spacing w:after="0" w:line="259" w:lineRule="auto"/>
        <w:tabs>
          <w:tab w:leader="none" w:pos="1050" w:val="left"/>
        </w:tabs>
        <w:numPr>
          <w:ilvl w:val="1"/>
          <w:numId w:val="76"/>
        </w:numPr>
        <w:rPr>
          <w:rFonts w:ascii="Arial" w:cs="Arial" w:eastAsia="Arial" w:hAnsi="Arial"/>
          <w:sz w:val="15"/>
          <w:szCs w:val="15"/>
          <w:color w:val="auto"/>
        </w:rPr>
      </w:pPr>
      <w:r>
        <w:rPr>
          <w:rFonts w:ascii="Arial" w:cs="Arial" w:eastAsia="Arial" w:hAnsi="Arial"/>
          <w:sz w:val="15"/>
          <w:szCs w:val="15"/>
          <w:i w:val="1"/>
          <w:iCs w:val="1"/>
          <w:color w:val="auto"/>
        </w:rPr>
        <w:t xml:space="preserve">Effective Date and Term of Plan. </w:t>
      </w:r>
      <w:r>
        <w:rPr>
          <w:rFonts w:ascii="Arial" w:cs="Arial" w:eastAsia="Arial" w:hAnsi="Arial"/>
          <w:sz w:val="15"/>
          <w:szCs w:val="15"/>
          <w:color w:val="auto"/>
        </w:rPr>
        <w:t>The Plan shall become effective on the date the Plan is approved by the Company’s stockholders (the “Effective Date”). No Awards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under the Plan after the completion of 10 years from the Effective Date, but Awards previously granted may extend beyond that date.</w:t>
      </w:r>
    </w:p>
    <w:p>
      <w:pPr>
        <w:spacing w:after="0" w:line="152" w:lineRule="exact"/>
        <w:rPr>
          <w:rFonts w:ascii="Arial" w:cs="Arial" w:eastAsia="Arial" w:hAnsi="Arial"/>
          <w:sz w:val="15"/>
          <w:szCs w:val="15"/>
          <w:color w:val="auto"/>
        </w:rPr>
      </w:pPr>
    </w:p>
    <w:p>
      <w:pPr>
        <w:ind w:left="-7" w:firstLine="532"/>
        <w:spacing w:after="0" w:line="263" w:lineRule="auto"/>
        <w:tabs>
          <w:tab w:leader="none" w:pos="1048" w:val="left"/>
        </w:tabs>
        <w:numPr>
          <w:ilvl w:val="1"/>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Amendment of Plan. </w:t>
      </w:r>
      <w:r>
        <w:rPr>
          <w:rFonts w:ascii="Arial" w:cs="Arial" w:eastAsia="Arial" w:hAnsi="Arial"/>
          <w:sz w:val="14"/>
          <w:szCs w:val="14"/>
          <w:color w:val="auto"/>
        </w:rPr>
        <w:t>The Board may amend, suspend or terminate the Plan or any portion thereof at any time provided that (i) to the extent required by Section 162(m), no</w:t>
      </w:r>
      <w:r>
        <w:rPr>
          <w:rFonts w:ascii="Arial" w:cs="Arial" w:eastAsia="Arial" w:hAnsi="Arial"/>
          <w:sz w:val="14"/>
          <w:szCs w:val="14"/>
          <w:i w:val="1"/>
          <w:iCs w:val="1"/>
          <w:color w:val="auto"/>
        </w:rPr>
        <w:t xml:space="preserve"> </w:t>
      </w:r>
      <w:r>
        <w:rPr>
          <w:rFonts w:ascii="Arial" w:cs="Arial" w:eastAsia="Arial" w:hAnsi="Arial"/>
          <w:sz w:val="14"/>
          <w:szCs w:val="14"/>
          <w:color w:val="auto"/>
        </w:rPr>
        <w:t>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The NASDAQ Stock Market (“NASDAQ”) may be made effective unless and until such amendment shall have been approved by the Company’s stockholders; and (iii) if the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(other than pursuant to Section 9), (B) expanding the types of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does not materially and adversely affect the rights of Participants under the Plan. No Award shall be made that is conditioned upon stockholder approval of any amendment to the Plan.</w:t>
      </w:r>
    </w:p>
    <w:p>
      <w:pPr>
        <w:spacing w:after="0" w:line="15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266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left="-7" w:right="400" w:firstLine="532"/>
        <w:spacing w:after="0" w:line="251" w:lineRule="auto"/>
        <w:tabs>
          <w:tab w:leader="none" w:pos="1050"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Provisions for Foreign Participants. </w:t>
      </w:r>
      <w:r>
        <w:rPr>
          <w:rFonts w:ascii="Arial" w:cs="Arial" w:eastAsia="Arial" w:hAnsi="Arial"/>
          <w:sz w:val="15"/>
          <w:szCs w:val="15"/>
          <w:color w:val="auto"/>
        </w:rPr>
        <w:t>The Board may modify Awards or Options granted to Participants who are foreign nationals or employed outside the United States or</w:t>
      </w:r>
      <w:r>
        <w:rPr>
          <w:rFonts w:ascii="Arial" w:cs="Arial" w:eastAsia="Arial" w:hAnsi="Arial"/>
          <w:sz w:val="15"/>
          <w:szCs w:val="15"/>
          <w:i w:val="1"/>
          <w:iCs w:val="1"/>
          <w:color w:val="auto"/>
        </w:rPr>
        <w:t xml:space="preserve"> </w:t>
      </w:r>
      <w:r>
        <w:rPr>
          <w:rFonts w:ascii="Arial" w:cs="Arial" w:eastAsia="Arial" w:hAnsi="Arial"/>
          <w:sz w:val="15"/>
          <w:szCs w:val="15"/>
          <w:color w:val="auto"/>
        </w:rPr>
        <w:t>establish subplans or procedures under the Plan to recognize differences in laws, rules, regulations or customs of such foreign jurisdictions with respect to tax, securities, currency, employee benefit or other matters.</w:t>
      </w:r>
    </w:p>
    <w:p>
      <w:pPr>
        <w:spacing w:after="0" w:line="158" w:lineRule="exact"/>
        <w:rPr>
          <w:rFonts w:ascii="Arial" w:cs="Arial" w:eastAsia="Arial" w:hAnsi="Arial"/>
          <w:sz w:val="15"/>
          <w:szCs w:val="15"/>
          <w:color w:val="auto"/>
        </w:rPr>
      </w:pPr>
    </w:p>
    <w:p>
      <w:pPr>
        <w:ind w:left="-7" w:right="20" w:firstLine="532"/>
        <w:spacing w:after="0" w:line="277" w:lineRule="auto"/>
        <w:tabs>
          <w:tab w:leader="none" w:pos="1056"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 xml:space="preserve">Compliance With Code Section 409A. </w:t>
      </w:r>
      <w:r>
        <w:rPr>
          <w:rFonts w:ascii="Arial" w:cs="Arial" w:eastAsia="Arial" w:hAnsi="Arial"/>
          <w:sz w:val="14"/>
          <w:szCs w:val="14"/>
          <w:color w:val="auto"/>
        </w:rPr>
        <w:t>No Award shall provide for deferral of compensation that does not comply with Section 409A of the Code, unless the Board, at the time of</w:t>
      </w:r>
      <w:r>
        <w:rPr>
          <w:rFonts w:ascii="Arial" w:cs="Arial" w:eastAsia="Arial" w:hAnsi="Arial"/>
          <w:sz w:val="14"/>
          <w:szCs w:val="14"/>
          <w:i w:val="1"/>
          <w:iCs w:val="1"/>
          <w:color w:val="auto"/>
        </w:rPr>
        <w:t xml:space="preserve"> </w:t>
      </w:r>
      <w:r>
        <w:rPr>
          <w:rFonts w:ascii="Arial" w:cs="Arial" w:eastAsia="Arial" w:hAnsi="Arial"/>
          <w:sz w:val="14"/>
          <w:szCs w:val="14"/>
          <w:color w:val="auto"/>
        </w:rPr>
        <w:t>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141" w:lineRule="exact"/>
        <w:rPr>
          <w:rFonts w:ascii="Arial" w:cs="Arial" w:eastAsia="Arial" w:hAnsi="Arial"/>
          <w:sz w:val="14"/>
          <w:szCs w:val="14"/>
          <w:color w:val="auto"/>
        </w:rPr>
      </w:pPr>
    </w:p>
    <w:p>
      <w:pPr>
        <w:ind w:left="-7" w:right="40" w:firstLine="532"/>
        <w:spacing w:after="0" w:line="259" w:lineRule="auto"/>
        <w:tabs>
          <w:tab w:leader="none" w:pos="1048"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 xml:space="preserve">Governing Law. </w:t>
      </w:r>
      <w:r>
        <w:rPr>
          <w:rFonts w:ascii="Arial" w:cs="Arial" w:eastAsia="Arial" w:hAnsi="Arial"/>
          <w:sz w:val="15"/>
          <w:szCs w:val="15"/>
          <w:color w:val="auto"/>
        </w:rPr>
        <w:t>The provisions of the Plan and all Awards made hereunder shall be governed by and interpreted in accordance with the laws of the State of Delaware, excluding</w:t>
      </w:r>
      <w:r>
        <w:rPr>
          <w:rFonts w:ascii="Arial" w:cs="Arial" w:eastAsia="Arial" w:hAnsi="Arial"/>
          <w:sz w:val="15"/>
          <w:szCs w:val="15"/>
          <w:i w:val="1"/>
          <w:iCs w:val="1"/>
          <w:color w:val="auto"/>
        </w:rPr>
        <w:t xml:space="preserve"> </w:t>
      </w:r>
      <w:r>
        <w:rPr>
          <w:rFonts w:ascii="Arial" w:cs="Arial" w:eastAsia="Arial" w:hAnsi="Arial"/>
          <w:sz w:val="15"/>
          <w:szCs w:val="15"/>
          <w:color w:val="auto"/>
        </w:rPr>
        <w:t>choice-of-law principles of the law of such state that would require the application of the laws of a jurisdiction other than such state.</w:t>
      </w:r>
    </w:p>
    <w:p>
      <w:pPr>
        <w:spacing w:after="0" w:line="152"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7292340" cy="266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ectPr>
          <w:pgSz w:w="11900" w:h="16838" w:orient="portrait"/>
          <w:cols w:equalWidth="0" w:num="1">
            <w:col w:w="11433"/>
          </w:cols>
          <w:pgMar w:left="227" w:top="12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5"/>
          <w:szCs w:val="15"/>
          <w:b w:val="1"/>
          <w:bCs w:val="1"/>
          <w:color w:val="auto"/>
        </w:rPr>
        <w:t>Exhibit 10.29</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Sonus Networks, Inc.</w:t>
      </w:r>
    </w:p>
    <w:p>
      <w:pPr>
        <w:spacing w:after="0" w:line="181" w:lineRule="exact"/>
        <w:rPr>
          <w:sz w:val="20"/>
          <w:szCs w:val="20"/>
          <w:color w:val="auto"/>
        </w:rPr>
      </w:pPr>
    </w:p>
    <w:p>
      <w:pPr>
        <w:ind w:left="8720"/>
        <w:spacing w:after="0"/>
        <w:rPr>
          <w:sz w:val="20"/>
          <w:szCs w:val="20"/>
          <w:color w:val="auto"/>
        </w:rPr>
      </w:pPr>
      <w:r>
        <w:rPr>
          <w:rFonts w:ascii="Arial" w:cs="Arial" w:eastAsia="Arial" w:hAnsi="Arial"/>
          <w:sz w:val="12"/>
          <w:szCs w:val="12"/>
          <w:color w:val="auto"/>
        </w:rPr>
        <w:t>7 Technology Park Drive, Westford MA 01886</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December 28, 2007</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Mr. Wayne Pastore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Dear Wayne:</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I am pleased to provide you with the terms and conditions of our offer of employment to you by Sonus Networks, Inc. (the “Company”). This offer is contingent upon the satisfactory completion of a background check and references.</w:t>
      </w:r>
    </w:p>
    <w:p>
      <w:pPr>
        <w:spacing w:after="0" w:line="152" w:lineRule="exact"/>
        <w:rPr>
          <w:sz w:val="20"/>
          <w:szCs w:val="20"/>
          <w:color w:val="auto"/>
        </w:rPr>
      </w:pPr>
    </w:p>
    <w:p>
      <w:pPr>
        <w:ind w:firstLine="22"/>
        <w:spacing w:after="0" w:line="259" w:lineRule="auto"/>
        <w:tabs>
          <w:tab w:leader="none" w:pos="597"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Position</w:t>
      </w:r>
      <w:r>
        <w:rPr>
          <w:rFonts w:ascii="Arial" w:cs="Arial" w:eastAsia="Arial" w:hAnsi="Arial"/>
          <w:sz w:val="15"/>
          <w:szCs w:val="15"/>
          <w:color w:val="auto"/>
        </w:rPr>
        <w:t>. Your initial position will be Director, Business Process Improvement, reporting to Rick Gaynor. In addition to performing duties and responsibilities associated with the position of Director, Business Process Improvement from time to time the Company may assign you other duties and responsibilities.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As a full-time employee of the Company, you will be expected to devote your full business time and energies to the business and affairs of the Company.</w:t>
      </w:r>
    </w:p>
    <w:p>
      <w:pPr>
        <w:spacing w:after="0" w:line="177" w:lineRule="exact"/>
        <w:rPr>
          <w:sz w:val="20"/>
          <w:szCs w:val="20"/>
          <w:color w:val="auto"/>
        </w:rPr>
      </w:pPr>
    </w:p>
    <w:p>
      <w:pPr>
        <w:ind w:right="60" w:firstLine="22"/>
        <w:spacing w:after="0" w:line="251" w:lineRule="auto"/>
        <w:tabs>
          <w:tab w:leader="none" w:pos="597"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Starting Date/Nature of Relationship</w:t>
      </w:r>
      <w:r>
        <w:rPr>
          <w:rFonts w:ascii="Arial" w:cs="Arial" w:eastAsia="Arial" w:hAnsi="Arial"/>
          <w:sz w:val="15"/>
          <w:szCs w:val="15"/>
          <w:color w:val="auto"/>
        </w:rPr>
        <w:t>. It is expected that your employment will start on or within 1 week from February 4, 2008. No provision of this letter shall be construed to create an express or implied employment contract for a specific period of time. Employment at Sonus Networks, Inc. is considered “at will” and either you or the Company may terminate the employment relationship at any time and for any reason.</w:t>
      </w:r>
    </w:p>
    <w:p>
      <w:pPr>
        <w:spacing w:after="0" w:line="158" w:lineRule="exact"/>
        <w:rPr>
          <w:rFonts w:ascii="Arial" w:cs="Arial" w:eastAsia="Arial" w:hAnsi="Arial"/>
          <w:sz w:val="15"/>
          <w:szCs w:val="15"/>
          <w:color w:val="auto"/>
        </w:rPr>
      </w:pPr>
    </w:p>
    <w:p>
      <w:pPr>
        <w:ind w:left="600" w:hanging="578"/>
        <w:spacing w:after="0"/>
        <w:tabs>
          <w:tab w:leader="none" w:pos="600"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left="1060" w:right="100" w:hanging="528"/>
        <w:spacing w:after="0" w:line="294" w:lineRule="auto"/>
        <w:tabs>
          <w:tab w:leader="none" w:pos="1069" w:val="left"/>
        </w:tabs>
        <w:numPr>
          <w:ilvl w:val="1"/>
          <w:numId w:val="79"/>
        </w:numPr>
        <w:rPr>
          <w:rFonts w:ascii="Arial" w:cs="Arial" w:eastAsia="Arial" w:hAnsi="Arial"/>
          <w:sz w:val="14"/>
          <w:szCs w:val="14"/>
          <w:color w:val="auto"/>
        </w:rPr>
      </w:pPr>
      <w:r>
        <w:rPr>
          <w:rFonts w:ascii="Arial" w:cs="Arial" w:eastAsia="Arial" w:hAnsi="Arial"/>
          <w:sz w:val="14"/>
          <w:szCs w:val="14"/>
          <w:color w:val="auto"/>
        </w:rPr>
        <w:t>Your initial salary will be at the rate of $8,750.00 paid twice monthly, annualized at $210,000.00. You will be eligible to participate in a Bonus Program for 2008 with a target of 20% of annual base salary. Objectives will be agreed upon between you and your manager within the first ninety days of your employment.</w:t>
      </w:r>
    </w:p>
    <w:p>
      <w:pPr>
        <w:spacing w:after="0" w:line="130" w:lineRule="exact"/>
        <w:rPr>
          <w:rFonts w:ascii="Arial" w:cs="Arial" w:eastAsia="Arial" w:hAnsi="Arial"/>
          <w:sz w:val="14"/>
          <w:szCs w:val="14"/>
          <w:color w:val="auto"/>
        </w:rPr>
      </w:pPr>
    </w:p>
    <w:p>
      <w:pPr>
        <w:ind w:left="1060" w:right="240" w:hanging="528"/>
        <w:spacing w:after="0" w:line="295" w:lineRule="auto"/>
        <w:tabs>
          <w:tab w:leader="none" w:pos="1066" w:val="left"/>
        </w:tabs>
        <w:numPr>
          <w:ilvl w:val="1"/>
          <w:numId w:val="79"/>
        </w:numPr>
        <w:rPr>
          <w:rFonts w:ascii="Arial" w:cs="Arial" w:eastAsia="Arial" w:hAnsi="Arial"/>
          <w:sz w:val="15"/>
          <w:szCs w:val="15"/>
          <w:color w:val="auto"/>
        </w:rPr>
      </w:pPr>
      <w:r>
        <w:rPr>
          <w:rFonts w:ascii="Arial" w:cs="Arial" w:eastAsia="Arial" w:hAnsi="Arial"/>
          <w:sz w:val="15"/>
          <w:szCs w:val="15"/>
          <w:color w:val="auto"/>
        </w:rPr>
        <w:t>You will be granted an option to purchase 100,000 shares of common stock under the Company’s Incentive Stock Plan, subject to the terms of the Plan and requisite corporate approval. The stock options will be priced on the first 15</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of the month following your start date.</w:t>
      </w:r>
    </w:p>
    <w:p>
      <w:pPr>
        <w:spacing w:after="0" w:line="58" w:lineRule="exact"/>
        <w:rPr>
          <w:rFonts w:ascii="Arial" w:cs="Arial" w:eastAsia="Arial" w:hAnsi="Arial"/>
          <w:sz w:val="15"/>
          <w:szCs w:val="15"/>
          <w:color w:val="auto"/>
        </w:rPr>
      </w:pPr>
    </w:p>
    <w:p>
      <w:pPr>
        <w:ind w:right="80" w:firstLine="22"/>
        <w:spacing w:after="0" w:line="259" w:lineRule="auto"/>
        <w:tabs>
          <w:tab w:leader="none" w:pos="597"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Employment Eligibility</w:t>
      </w:r>
      <w:r>
        <w:rPr>
          <w:rFonts w:ascii="Arial" w:cs="Arial" w:eastAsia="Arial" w:hAnsi="Arial"/>
          <w:sz w:val="15"/>
          <w:szCs w:val="15"/>
          <w:color w:val="auto"/>
        </w:rPr>
        <w:t>. In compliance with the Immigration Reform and Control Act of 1986, you are required to establish your identity and employment eligibility. Therefore, on your first day of employment you will be required to fill out an Employment Verification Form and present documents in accordance with this form.</w:t>
      </w:r>
    </w:p>
    <w:p>
      <w:pPr>
        <w:spacing w:after="0" w:line="152" w:lineRule="exact"/>
        <w:rPr>
          <w:rFonts w:ascii="Arial" w:cs="Arial" w:eastAsia="Arial" w:hAnsi="Arial"/>
          <w:sz w:val="15"/>
          <w:szCs w:val="15"/>
          <w:color w:val="auto"/>
        </w:rPr>
      </w:pPr>
    </w:p>
    <w:p>
      <w:pPr>
        <w:ind w:right="60" w:firstLine="22"/>
        <w:spacing w:after="0" w:line="343" w:lineRule="auto"/>
        <w:tabs>
          <w:tab w:leader="none" w:pos="597" w:val="left"/>
        </w:tabs>
        <w:numPr>
          <w:ilvl w:val="0"/>
          <w:numId w:val="79"/>
        </w:numPr>
        <w:rPr>
          <w:rFonts w:ascii="Arial" w:cs="Arial" w:eastAsia="Arial" w:hAnsi="Arial"/>
          <w:sz w:val="12"/>
          <w:szCs w:val="12"/>
          <w:color w:val="auto"/>
        </w:rPr>
      </w:pPr>
      <w:r>
        <w:rPr>
          <w:rFonts w:ascii="Arial" w:cs="Arial" w:eastAsia="Arial" w:hAnsi="Arial"/>
          <w:sz w:val="12"/>
          <w:szCs w:val="12"/>
          <w:u w:val="single" w:color="auto"/>
          <w:color w:val="auto"/>
        </w:rPr>
        <w:t>Benefits</w:t>
      </w:r>
      <w:r>
        <w:rPr>
          <w:rFonts w:ascii="Arial" w:cs="Arial" w:eastAsia="Arial" w:hAnsi="Arial"/>
          <w:sz w:val="12"/>
          <w:szCs w:val="12"/>
          <w:color w:val="auto"/>
        </w:rPr>
        <w:t>. You will be entitled as an employee of the Company to receive such benefits as are generally provided its employees in accordance with Company policy as in effect from time to time. Company benefits include group health, life and dental insurance, and liberal holidays, vacation and 401K programs. All employees begin accruing three (3) weeks of vacation upon date of hire. The Company is committed to providing a healthy work environment for every employee. Therefore, we provide a smoke free environment and require all employees to comply.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Company retains the right to change, add or cease any particular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7292340" cy="266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100" w:firstLine="7"/>
        <w:spacing w:after="0" w:line="251" w:lineRule="auto"/>
        <w:tabs>
          <w:tab w:leader="none" w:pos="583"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The Company considers the protection of its confidential information and proprietary materials to be very important. Therefore, as a condition of your employment, you and the Company will become parties to a Noncompetition and Confidentiality Agreement. Two copies of this agreement are sent with this offer letter. Both copies must be signed and returned to the Company prior to the first day of employment.</w:t>
      </w:r>
    </w:p>
    <w:p>
      <w:pPr>
        <w:spacing w:after="0" w:line="158" w:lineRule="exact"/>
        <w:rPr>
          <w:rFonts w:ascii="Arial" w:cs="Arial" w:eastAsia="Arial" w:hAnsi="Arial"/>
          <w:sz w:val="15"/>
          <w:szCs w:val="15"/>
          <w:color w:val="auto"/>
        </w:rPr>
      </w:pPr>
    </w:p>
    <w:p>
      <w:pPr>
        <w:ind w:left="600" w:hanging="593"/>
        <w:spacing w:after="0"/>
        <w:tabs>
          <w:tab w:leader="none" w:pos="60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77" w:lineRule="exact"/>
        <w:rPr>
          <w:rFonts w:ascii="Arial" w:cs="Arial" w:eastAsia="Arial" w:hAnsi="Arial"/>
          <w:sz w:val="15"/>
          <w:szCs w:val="15"/>
          <w:color w:val="auto"/>
        </w:rPr>
      </w:pPr>
    </w:p>
    <w:p>
      <w:pPr>
        <w:ind w:left="1060" w:hanging="528"/>
        <w:spacing w:after="0"/>
        <w:tabs>
          <w:tab w:leader="none" w:pos="1060" w:val="left"/>
        </w:tabs>
        <w:numPr>
          <w:ilvl w:val="1"/>
          <w:numId w:val="80"/>
        </w:numPr>
        <w:rPr>
          <w:rFonts w:ascii="Arial" w:cs="Arial" w:eastAsia="Arial" w:hAnsi="Arial"/>
          <w:sz w:val="12"/>
          <w:szCs w:val="12"/>
          <w:color w:val="auto"/>
        </w:rPr>
      </w:pPr>
      <w:r>
        <w:rPr>
          <w:rFonts w:ascii="Arial" w:cs="Arial" w:eastAsia="Arial" w:hAnsi="Arial"/>
          <w:sz w:val="12"/>
          <w:szCs w:val="12"/>
          <w:color w:val="auto"/>
        </w:rPr>
        <w:t>This letter will constitute our entire agreement as to your employment by the Company and will supersede any prior agreements or understandings, whether in writing or oral.</w:t>
      </w:r>
    </w:p>
    <w:p>
      <w:pPr>
        <w:spacing w:after="0" w:line="211" w:lineRule="exact"/>
        <w:rPr>
          <w:rFonts w:ascii="Arial" w:cs="Arial" w:eastAsia="Arial" w:hAnsi="Arial"/>
          <w:sz w:val="12"/>
          <w:szCs w:val="12"/>
          <w:color w:val="auto"/>
        </w:rPr>
      </w:pPr>
    </w:p>
    <w:p>
      <w:pPr>
        <w:ind w:left="1060" w:hanging="528"/>
        <w:spacing w:after="0"/>
        <w:tabs>
          <w:tab w:leader="none" w:pos="1060" w:val="left"/>
        </w:tabs>
        <w:numPr>
          <w:ilvl w:val="1"/>
          <w:numId w:val="80"/>
        </w:numPr>
        <w:rPr>
          <w:rFonts w:ascii="Arial" w:cs="Arial" w:eastAsia="Arial" w:hAnsi="Arial"/>
          <w:sz w:val="15"/>
          <w:szCs w:val="15"/>
          <w:color w:val="auto"/>
        </w:rPr>
      </w:pPr>
      <w:r>
        <w:rPr>
          <w:rFonts w:ascii="Arial" w:cs="Arial" w:eastAsia="Arial" w:hAnsi="Arial"/>
          <w:sz w:val="15"/>
          <w:szCs w:val="15"/>
          <w:color w:val="auto"/>
        </w:rPr>
        <w:t>This letter shall be governed by the law of the Commonwealth of Massachusetts.</w:t>
      </w:r>
    </w:p>
    <w:p>
      <w:pPr>
        <w:spacing w:after="0" w:line="177" w:lineRule="exact"/>
        <w:rPr>
          <w:rFonts w:ascii="Arial" w:cs="Arial" w:eastAsia="Arial" w:hAnsi="Arial"/>
          <w:sz w:val="15"/>
          <w:szCs w:val="15"/>
          <w:color w:val="auto"/>
        </w:rPr>
      </w:pPr>
    </w:p>
    <w:p>
      <w:pPr>
        <w:ind w:left="1060" w:hanging="528"/>
        <w:spacing w:after="0"/>
        <w:tabs>
          <w:tab w:leader="none" w:pos="1060" w:val="left"/>
        </w:tabs>
        <w:numPr>
          <w:ilvl w:val="1"/>
          <w:numId w:val="80"/>
        </w:numPr>
        <w:rPr>
          <w:rFonts w:ascii="Arial" w:cs="Arial" w:eastAsia="Arial" w:hAnsi="Arial"/>
          <w:sz w:val="15"/>
          <w:szCs w:val="15"/>
          <w:color w:val="auto"/>
        </w:rPr>
      </w:pPr>
      <w:r>
        <w:rPr>
          <w:rFonts w:ascii="Arial" w:cs="Arial" w:eastAsia="Arial" w:hAnsi="Arial"/>
          <w:sz w:val="15"/>
          <w:szCs w:val="15"/>
          <w:color w:val="auto"/>
        </w:rPr>
        <w:t>Sonus Networks is an equal opportunity employer.</w:t>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You may accept this offer of employment and the terms and conditions thereof by confirming your acceptance by December 28, 2007. Please send your signed letter to the company, or via e-mail to Nancy Forte at nforte@sonusnet.com which execution will evidence your agreement with the terms and conditions set forth herein and therein. You may retain the enclosed copy of this letter for your records. We are enthusiastic about you joining us, and believe that our technical and business goals will provide every opportunity for you to achieve your personal and professional objectives.</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/s/ Kathleen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363664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3664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Kathleen Harris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166370</wp:posOffset>
            </wp:positionV>
            <wp:extent cx="7292340" cy="266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26670"/>
                    </a:xfrm>
                    <a:prstGeom prst="rect">
                      <a:avLst/>
                    </a:prstGeom>
                    <a:noFill/>
                  </pic:spPr>
                </pic:pic>
              </a:graphicData>
            </a:graphic>
          </wp:anchor>
        </w:drawing>
      </w:r>
    </w:p>
    <w:p>
      <w:pPr>
        <w:sectPr>
          <w:pgSz w:w="11900" w:h="16838" w:orient="portrait"/>
          <w:cols w:equalWidth="0" w:num="1">
            <w:col w:w="11460"/>
          </w:cols>
          <w:pgMar w:left="220" w:top="322" w:right="219" w:bottom="1440" w:gutter="0" w:footer="0" w:header="0"/>
        </w:sectPr>
      </w:pPr>
    </w:p>
    <w:bookmarkStart w:id="111" w:name="page112"/>
    <w:bookmarkEnd w:id="111"/>
    <w:p>
      <w:pPr>
        <w:spacing w:after="0"/>
        <w:rPr>
          <w:rFonts w:ascii="Arial" w:cs="Arial" w:eastAsia="Arial" w:hAnsi="Arial"/>
          <w:sz w:val="17"/>
          <w:szCs w:val="17"/>
          <w:color w:val="0000EE"/>
        </w:rPr>
      </w:pPr>
      <w:hyperlink w:anchor="page113">
        <w:r>
          <w:rPr>
            <w:rFonts w:ascii="Arial" w:cs="Arial" w:eastAsia="Arial" w:hAnsi="Arial"/>
            <w:sz w:val="17"/>
            <w:szCs w:val="17"/>
            <w:u w:val="single" w:color="auto"/>
            <w:color w:val="0000EE"/>
          </w:rPr>
          <w:t>QuickLinks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Click here to rapidly navigate through this document</w:t>
      </w:r>
    </w:p>
    <w:p>
      <w:pPr>
        <w:spacing w:after="0" w:line="356" w:lineRule="exact"/>
        <w:rPr>
          <w:sz w:val="20"/>
          <w:szCs w:val="20"/>
          <w:color w:val="auto"/>
        </w:rPr>
      </w:pPr>
    </w:p>
    <w:p>
      <w:pPr>
        <w:ind w:left="10540"/>
        <w:spacing w:after="0"/>
        <w:rPr>
          <w:sz w:val="20"/>
          <w:szCs w:val="20"/>
          <w:color w:val="auto"/>
        </w:rPr>
      </w:pPr>
      <w:r>
        <w:rPr>
          <w:rFonts w:ascii="Arial" w:cs="Arial" w:eastAsia="Arial" w:hAnsi="Arial"/>
          <w:sz w:val="14"/>
          <w:szCs w:val="14"/>
          <w:b w:val="1"/>
          <w:bCs w:val="1"/>
          <w:color w:val="auto"/>
        </w:rPr>
        <w:t>EXHIBIT 21.1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7880" w:type="dxa"/>
            <w:vAlign w:val="bottom"/>
            <w:gridSpan w:val="3"/>
          </w:tcPr>
          <w:p>
            <w:pPr>
              <w:jc w:val="center"/>
              <w:ind w:right="3560"/>
              <w:spacing w:after="0"/>
              <w:rPr>
                <w:sz w:val="20"/>
                <w:szCs w:val="20"/>
                <w:color w:val="auto"/>
              </w:rPr>
            </w:pPr>
            <w:r>
              <w:rPr>
                <w:rFonts w:ascii="Arial" w:cs="Arial" w:eastAsia="Arial" w:hAnsi="Arial"/>
                <w:sz w:val="14"/>
                <w:szCs w:val="14"/>
                <w:b w:val="1"/>
                <w:bCs w:val="1"/>
                <w:color w:val="auto"/>
              </w:rPr>
              <w:t>SONUS NETWORKS, INC.</w:t>
            </w:r>
          </w:p>
        </w:tc>
      </w:tr>
      <w:tr>
        <w:trPr>
          <w:trHeight w:val="185"/>
        </w:trPr>
        <w:tc>
          <w:tcPr>
            <w:tcW w:w="3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7880" w:type="dxa"/>
            <w:vAlign w:val="bottom"/>
            <w:gridSpan w:val="3"/>
          </w:tcPr>
          <w:p>
            <w:pPr>
              <w:jc w:val="center"/>
              <w:ind w:right="3580"/>
              <w:spacing w:after="0"/>
              <w:rPr>
                <w:sz w:val="20"/>
                <w:szCs w:val="20"/>
                <w:color w:val="auto"/>
              </w:rPr>
            </w:pPr>
            <w:r>
              <w:rPr>
                <w:rFonts w:ascii="Arial" w:cs="Arial" w:eastAsia="Arial" w:hAnsi="Arial"/>
                <w:sz w:val="14"/>
                <w:szCs w:val="14"/>
                <w:b w:val="1"/>
                <w:bCs w:val="1"/>
                <w:color w:val="auto"/>
              </w:rPr>
              <w:t>SUBSIDIARIES OF THE REGISTRANT</w:t>
            </w:r>
          </w:p>
        </w:tc>
      </w:tr>
      <w:tr>
        <w:trPr>
          <w:trHeight w:val="297"/>
        </w:trPr>
        <w:tc>
          <w:tcPr>
            <w:tcW w:w="358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7880" w:type="dxa"/>
            <w:vAlign w:val="bottom"/>
            <w:gridSpan w:val="3"/>
          </w:tcPr>
          <w:p>
            <w:pPr>
              <w:ind w:left="2380"/>
              <w:spacing w:after="0"/>
              <w:rPr>
                <w:sz w:val="20"/>
                <w:szCs w:val="20"/>
                <w:color w:val="auto"/>
              </w:rPr>
            </w:pPr>
            <w:r>
              <w:rPr>
                <w:rFonts w:ascii="Arial" w:cs="Arial" w:eastAsia="Arial" w:hAnsi="Arial"/>
                <w:sz w:val="11"/>
                <w:szCs w:val="11"/>
                <w:b w:val="1"/>
                <w:bCs w:val="1"/>
                <w:color w:val="auto"/>
              </w:rPr>
              <w:t>Jurisdiction of Incorporation</w:t>
            </w:r>
          </w:p>
        </w:tc>
      </w:tr>
      <w:tr>
        <w:trPr>
          <w:trHeight w:val="172"/>
        </w:trPr>
        <w:tc>
          <w:tcPr>
            <w:tcW w:w="32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5"/>
              </w:rPr>
              <w:t>Sonus</w:t>
            </w:r>
          </w:p>
        </w:tc>
        <w:tc>
          <w:tcPr>
            <w:tcW w:w="3260" w:type="dxa"/>
            <w:vAlign w:val="bottom"/>
          </w:tcPr>
          <w:p>
            <w:pPr>
              <w:ind w:left="80"/>
              <w:spacing w:after="0"/>
              <w:rPr>
                <w:sz w:val="20"/>
                <w:szCs w:val="20"/>
                <w:color w:val="auto"/>
              </w:rPr>
            </w:pPr>
            <w:r>
              <w:rPr>
                <w:rFonts w:ascii="Arial" w:cs="Arial" w:eastAsia="Arial" w:hAnsi="Arial"/>
                <w:sz w:val="14"/>
                <w:szCs w:val="14"/>
                <w:color w:val="auto"/>
              </w:rPr>
              <w:t>International, Inc.</w:t>
            </w:r>
          </w:p>
        </w:tc>
        <w:tc>
          <w:tcPr>
            <w:tcW w:w="2380" w:type="dxa"/>
            <w:vAlign w:val="bottom"/>
          </w:tcPr>
          <w:p>
            <w:pPr>
              <w:spacing w:after="0"/>
              <w:rPr>
                <w:sz w:val="14"/>
                <w:szCs w:val="14"/>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c>
          <w:tcPr>
            <w:tcW w:w="4020" w:type="dxa"/>
            <w:vAlign w:val="bottom"/>
          </w:tcPr>
          <w:p>
            <w:pPr>
              <w:spacing w:after="0"/>
              <w:rPr>
                <w:sz w:val="14"/>
                <w:szCs w:val="14"/>
                <w:color w:val="auto"/>
              </w:rPr>
            </w:pPr>
          </w:p>
        </w:tc>
      </w:tr>
      <w:tr>
        <w:trPr>
          <w:trHeight w:val="364"/>
        </w:trPr>
        <w:tc>
          <w:tcPr>
            <w:tcW w:w="3580" w:type="dxa"/>
            <w:vAlign w:val="bottom"/>
            <w:gridSpan w:val="2"/>
          </w:tcPr>
          <w:p>
            <w:pPr>
              <w:spacing w:after="0"/>
              <w:rPr>
                <w:sz w:val="20"/>
                <w:szCs w:val="20"/>
                <w:color w:val="auto"/>
              </w:rPr>
            </w:pPr>
            <w:r>
              <w:rPr>
                <w:rFonts w:ascii="Arial" w:cs="Arial" w:eastAsia="Arial" w:hAnsi="Arial"/>
                <w:sz w:val="14"/>
                <w:szCs w:val="14"/>
                <w:color w:val="auto"/>
              </w:rPr>
              <w:t>Sonus Securities Corp.</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Massachusetts</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Limited</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United Kingdom</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Pte. Ltd.</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Singapore</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Nihon Sonus Networks K.K.</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Japan</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Westford Networks Mexico, S. de R.L. de C.V.</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Mexico</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GmbH</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Germany</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EURL</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France</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España, S.R.L.</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Spain</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India Private Limited</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India</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Trading Private Limited</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India</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(HK) Limited</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Hong Kong</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s.r.o.</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Czech Republic</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Malaysia Sdn. Bhd.</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Malaysia</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Corp.</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Canada</w:t>
            </w: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color w:val="auto"/>
              </w:rPr>
              <w:t>Sonus Networks AB</w:t>
            </w:r>
          </w:p>
        </w:tc>
        <w:tc>
          <w:tcPr>
            <w:tcW w:w="7880" w:type="dxa"/>
            <w:vAlign w:val="bottom"/>
            <w:gridSpan w:val="3"/>
          </w:tcPr>
          <w:p>
            <w:pPr>
              <w:ind w:left="2380"/>
              <w:spacing w:after="0"/>
              <w:rPr>
                <w:sz w:val="20"/>
                <w:szCs w:val="20"/>
                <w:color w:val="auto"/>
              </w:rPr>
            </w:pPr>
            <w:r>
              <w:rPr>
                <w:rFonts w:ascii="Arial" w:cs="Arial" w:eastAsia="Arial" w:hAnsi="Arial"/>
                <w:sz w:val="14"/>
                <w:szCs w:val="14"/>
                <w:color w:val="auto"/>
              </w:rPr>
              <w:t>Sweden</w:t>
            </w:r>
          </w:p>
        </w:tc>
      </w:tr>
      <w:tr>
        <w:trPr>
          <w:trHeight w:val="96"/>
        </w:trPr>
        <w:tc>
          <w:tcPr>
            <w:tcW w:w="32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7267575</wp:posOffset>
            </wp:positionH>
            <wp:positionV relativeFrom="paragraph">
              <wp:posOffset>-12700</wp:posOffset>
            </wp:positionV>
            <wp:extent cx="127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QuickLinks</w:t>
      </w:r>
    </w:p>
    <w:p>
      <w:pPr>
        <w:spacing w:after="0" w:line="185" w:lineRule="exact"/>
        <w:rPr>
          <w:sz w:val="20"/>
          <w:szCs w:val="20"/>
          <w:color w:val="auto"/>
        </w:rPr>
      </w:pPr>
    </w:p>
    <w:p>
      <w:pPr>
        <w:jc w:val="right"/>
        <w:ind w:right="8939"/>
        <w:spacing w:after="0"/>
        <w:rPr>
          <w:rFonts w:ascii="Arial" w:cs="Arial" w:eastAsia="Arial" w:hAnsi="Arial"/>
          <w:sz w:val="14"/>
          <w:szCs w:val="14"/>
          <w:u w:val="single" w:color="auto"/>
          <w:color w:val="0000EE"/>
        </w:rPr>
      </w:pPr>
      <w:hyperlink w:anchor="page112">
        <w:r>
          <w:rPr>
            <w:rFonts w:ascii="Arial" w:cs="Arial" w:eastAsia="Arial" w:hAnsi="Arial"/>
            <w:sz w:val="14"/>
            <w:szCs w:val="14"/>
            <w:u w:val="single" w:color="auto"/>
            <w:color w:val="0000EE"/>
          </w:rPr>
          <w:t>EXHIBIT 21.1</w:t>
        </w:r>
      </w:hyperlink>
    </w:p>
    <w:p>
      <w:pPr>
        <w:sectPr>
          <w:pgSz w:w="11900" w:h="16838" w:orient="portrait"/>
          <w:cols w:equalWidth="0" w:num="1">
            <w:col w:w="10239"/>
          </w:cols>
          <w:pgMar w:left="220" w:top="691" w:right="1440" w:bottom="1440" w:gutter="0" w:footer="0" w:header="0"/>
        </w:sectPr>
      </w:pPr>
    </w:p>
    <w:bookmarkStart w:id="113" w:name="page114"/>
    <w:bookmarkEnd w:id="113"/>
    <w:p>
      <w:pPr>
        <w:spacing w:after="0"/>
        <w:rPr>
          <w:rFonts w:ascii="Arial" w:cs="Arial" w:eastAsia="Arial" w:hAnsi="Arial"/>
          <w:sz w:val="17"/>
          <w:szCs w:val="17"/>
          <w:color w:val="0000EE"/>
        </w:rPr>
      </w:pPr>
      <w:hyperlink w:anchor="page115">
        <w:r>
          <w:rPr>
            <w:rFonts w:ascii="Arial" w:cs="Arial" w:eastAsia="Arial" w:hAnsi="Arial"/>
            <w:sz w:val="17"/>
            <w:szCs w:val="17"/>
            <w:u w:val="single" w:color="auto"/>
            <w:color w:val="0000EE"/>
          </w:rPr>
          <w:t>QuickLinks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Click here to rapidly navigate through this document</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23.1</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3" w:lineRule="exact"/>
        <w:rPr>
          <w:sz w:val="20"/>
          <w:szCs w:val="20"/>
          <w:color w:val="auto"/>
        </w:rPr>
      </w:pPr>
    </w:p>
    <w:p>
      <w:pPr>
        <w:jc w:val="both"/>
        <w:ind w:right="240" w:firstLine="282"/>
        <w:spacing w:after="0" w:line="341" w:lineRule="auto"/>
        <w:rPr>
          <w:sz w:val="20"/>
          <w:szCs w:val="20"/>
          <w:color w:val="auto"/>
        </w:rPr>
      </w:pPr>
      <w:r>
        <w:rPr>
          <w:rFonts w:ascii="Arial" w:cs="Arial" w:eastAsia="Arial" w:hAnsi="Arial"/>
          <w:sz w:val="12"/>
          <w:szCs w:val="12"/>
          <w:color w:val="auto"/>
        </w:rPr>
        <w:t>We consent to the incorporation by reference in Registration Statement Nos. 333-61940 and 333-66982 on Form S-3 and Registration Statement Nos. 333-43334, 333-53970, 333-54932, 333-105215, 333-124777, 333-150022, 333-163684 and 333-170285 on Form S-8 of our reports dated March 10, 2011, relating to the consolidated financial statements of Sonus Networks, Inc., and the effectiveness of Sonus Networks, Inc.'s internal control over financial reporting, appearing in this Annual Report on Form 10-K of Sonus Networks, Inc. for the year ended December 31, 2010.</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March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278370"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319" w:right="2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QuickLinks</w:t>
      </w:r>
    </w:p>
    <w:p>
      <w:pPr>
        <w:spacing w:after="0" w:line="185" w:lineRule="exact"/>
        <w:rPr>
          <w:sz w:val="20"/>
          <w:szCs w:val="20"/>
          <w:color w:val="auto"/>
        </w:rPr>
      </w:pPr>
    </w:p>
    <w:p>
      <w:pPr>
        <w:jc w:val="right"/>
        <w:ind w:right="8939"/>
        <w:spacing w:after="0"/>
        <w:rPr>
          <w:rFonts w:ascii="Arial" w:cs="Arial" w:eastAsia="Arial" w:hAnsi="Arial"/>
          <w:sz w:val="14"/>
          <w:szCs w:val="14"/>
          <w:u w:val="single" w:color="auto"/>
          <w:color w:val="0000EE"/>
        </w:rPr>
      </w:pPr>
      <w:hyperlink w:anchor="page114">
        <w:r>
          <w:rPr>
            <w:rFonts w:ascii="Arial" w:cs="Arial" w:eastAsia="Arial" w:hAnsi="Arial"/>
            <w:sz w:val="14"/>
            <w:szCs w:val="14"/>
            <w:u w:val="single" w:color="auto"/>
            <w:color w:val="0000EE"/>
          </w:rPr>
          <w:t>EXHIBIT 23.1</w:t>
        </w:r>
      </w:hyperlink>
    </w:p>
    <w:p>
      <w:pPr>
        <w:sectPr>
          <w:pgSz w:w="11900" w:h="16838" w:orient="portrait"/>
          <w:cols w:equalWidth="0" w:num="1">
            <w:col w:w="10239"/>
          </w:cols>
          <w:pgMar w:left="220" w:top="691" w:right="1440" w:bottom="1440" w:gutter="0" w:footer="0" w:header="0"/>
        </w:sectPr>
      </w:pPr>
    </w:p>
    <w:bookmarkStart w:id="115" w:name="page116"/>
    <w:bookmarkEnd w:id="115"/>
    <w:p>
      <w:pPr>
        <w:spacing w:after="0"/>
        <w:rPr>
          <w:rFonts w:ascii="Arial" w:cs="Arial" w:eastAsia="Arial" w:hAnsi="Arial"/>
          <w:sz w:val="17"/>
          <w:szCs w:val="17"/>
          <w:color w:val="0000EE"/>
        </w:rPr>
      </w:pPr>
      <w:hyperlink w:anchor="page117">
        <w:r>
          <w:rPr>
            <w:rFonts w:ascii="Arial" w:cs="Arial" w:eastAsia="Arial" w:hAnsi="Arial"/>
            <w:sz w:val="17"/>
            <w:szCs w:val="17"/>
            <w:u w:val="single" w:color="auto"/>
            <w:color w:val="0000EE"/>
          </w:rPr>
          <w:t>QuickLinks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Click here to rapidly navigate through this document</w:t>
      </w:r>
    </w:p>
    <w:p>
      <w:pPr>
        <w:spacing w:after="0" w:line="356" w:lineRule="exact"/>
        <w:rPr>
          <w:sz w:val="20"/>
          <w:szCs w:val="20"/>
          <w:color w:val="auto"/>
        </w:rPr>
      </w:pPr>
    </w:p>
    <w:p>
      <w:pPr>
        <w:ind w:left="10540"/>
        <w:spacing w:after="0"/>
        <w:rPr>
          <w:sz w:val="20"/>
          <w:szCs w:val="20"/>
          <w:color w:val="auto"/>
        </w:rPr>
      </w:pPr>
      <w:r>
        <w:rPr>
          <w:rFonts w:ascii="Arial" w:cs="Arial" w:eastAsia="Arial" w:hAnsi="Arial"/>
          <w:sz w:val="14"/>
          <w:szCs w:val="14"/>
          <w:b w:val="1"/>
          <w:bCs w:val="1"/>
          <w:color w:val="auto"/>
        </w:rPr>
        <w:t>EXHIBIT 31.1</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PURSUANT TO</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Raymond P. Dolan, certify that:</w:t>
      </w:r>
    </w:p>
    <w:p>
      <w:pPr>
        <w:spacing w:after="0" w:line="189" w:lineRule="exact"/>
        <w:rPr>
          <w:sz w:val="20"/>
          <w:szCs w:val="20"/>
          <w:color w:val="auto"/>
        </w:rPr>
      </w:pPr>
    </w:p>
    <w:p>
      <w:pPr>
        <w:ind w:left="1020" w:hanging="291"/>
        <w:spacing w:after="0"/>
        <w:tabs>
          <w:tab w:leader="none" w:pos="10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Sonus Networks, Inc.;</w:t>
      </w:r>
    </w:p>
    <w:p>
      <w:pPr>
        <w:spacing w:after="0" w:line="188" w:lineRule="exact"/>
        <w:rPr>
          <w:rFonts w:ascii="Arial" w:cs="Arial" w:eastAsia="Arial" w:hAnsi="Arial"/>
          <w:sz w:val="14"/>
          <w:szCs w:val="14"/>
          <w:color w:val="auto"/>
        </w:rPr>
      </w:pPr>
    </w:p>
    <w:p>
      <w:pPr>
        <w:ind w:left="440" w:right="320" w:firstLine="289"/>
        <w:spacing w:after="0" w:line="289" w:lineRule="auto"/>
        <w:tabs>
          <w:tab w:leader="none" w:pos="1008"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4"/>
          <w:szCs w:val="14"/>
          <w:color w:val="auto"/>
        </w:rPr>
      </w:pPr>
    </w:p>
    <w:p>
      <w:pPr>
        <w:ind w:left="440" w:right="420" w:firstLine="289"/>
        <w:spacing w:after="0" w:line="289" w:lineRule="auto"/>
        <w:tabs>
          <w:tab w:leader="none" w:pos="1008"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4"/>
          <w:szCs w:val="14"/>
          <w:color w:val="auto"/>
        </w:rPr>
      </w:pPr>
    </w:p>
    <w:p>
      <w:pPr>
        <w:ind w:left="440" w:firstLine="289"/>
        <w:spacing w:after="0" w:line="289" w:lineRule="auto"/>
        <w:tabs>
          <w:tab w:leader="none" w:pos="100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4"/>
          <w:szCs w:val="14"/>
          <w:color w:val="auto"/>
        </w:rPr>
      </w:pPr>
    </w:p>
    <w:p>
      <w:pPr>
        <w:jc w:val="both"/>
        <w:ind w:left="880" w:right="20" w:firstLine="286"/>
        <w:spacing w:after="0" w:line="378" w:lineRule="auto"/>
        <w:tabs>
          <w:tab w:leader="none" w:pos="1428"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2"/>
          <w:szCs w:val="12"/>
          <w:color w:val="auto"/>
        </w:rPr>
      </w:pPr>
    </w:p>
    <w:p>
      <w:pPr>
        <w:ind w:left="880" w:right="180" w:firstLine="286"/>
        <w:spacing w:after="0" w:line="378" w:lineRule="auto"/>
        <w:tabs>
          <w:tab w:leader="none" w:pos="1436" w:val="left"/>
        </w:tabs>
        <w:numPr>
          <w:ilvl w:val="1"/>
          <w:numId w:val="8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2"/>
          <w:szCs w:val="12"/>
          <w:color w:val="auto"/>
        </w:rPr>
      </w:pPr>
    </w:p>
    <w:p>
      <w:pPr>
        <w:ind w:left="880" w:right="100" w:firstLine="286"/>
        <w:spacing w:after="0" w:line="289" w:lineRule="auto"/>
        <w:tabs>
          <w:tab w:leader="none" w:pos="1428" w:val="left"/>
        </w:tabs>
        <w:numPr>
          <w:ilvl w:val="1"/>
          <w:numId w:val="8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4"/>
          <w:szCs w:val="14"/>
          <w:color w:val="auto"/>
        </w:rPr>
      </w:pPr>
    </w:p>
    <w:p>
      <w:pPr>
        <w:ind w:left="880" w:right="140" w:firstLine="286"/>
        <w:spacing w:after="0" w:line="330" w:lineRule="auto"/>
        <w:tabs>
          <w:tab w:leader="none" w:pos="1436" w:val="left"/>
        </w:tabs>
        <w:numPr>
          <w:ilvl w:val="1"/>
          <w:numId w:val="8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3"/>
          <w:szCs w:val="13"/>
          <w:color w:val="auto"/>
        </w:rPr>
      </w:pPr>
    </w:p>
    <w:p>
      <w:pPr>
        <w:ind w:left="440" w:right="160" w:firstLine="289"/>
        <w:spacing w:after="0" w:line="289" w:lineRule="auto"/>
        <w:tabs>
          <w:tab w:leader="none" w:pos="100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6" w:lineRule="exact"/>
        <w:rPr>
          <w:rFonts w:ascii="Arial" w:cs="Arial" w:eastAsia="Arial" w:hAnsi="Arial"/>
          <w:sz w:val="14"/>
          <w:szCs w:val="14"/>
          <w:color w:val="auto"/>
        </w:rPr>
      </w:pPr>
    </w:p>
    <w:p>
      <w:pPr>
        <w:ind w:left="880" w:right="200" w:firstLine="286"/>
        <w:spacing w:after="0" w:line="289" w:lineRule="auto"/>
        <w:tabs>
          <w:tab w:leader="none" w:pos="1420" w:val="left"/>
        </w:tabs>
        <w:numPr>
          <w:ilvl w:val="1"/>
          <w:numId w:val="8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4"/>
          <w:szCs w:val="14"/>
          <w:color w:val="auto"/>
        </w:rPr>
      </w:pPr>
    </w:p>
    <w:p>
      <w:pPr>
        <w:ind w:left="1440" w:hanging="274"/>
        <w:spacing w:after="0"/>
        <w:tabs>
          <w:tab w:leader="none" w:pos="14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March 10, 2011</w:t>
      </w:r>
    </w:p>
    <w:p>
      <w:pPr>
        <w:spacing w:after="0" w:line="189"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62230</wp:posOffset>
            </wp:positionV>
            <wp:extent cx="28035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03525" cy="6985"/>
                    </a:xfrm>
                    <a:prstGeom prst="rect">
                      <a:avLst/>
                    </a:prstGeom>
                    <a:noFill/>
                  </pic:spPr>
                </pic:pic>
              </a:graphicData>
            </a:graphic>
          </wp:anchor>
        </w:drawing>
      </w:r>
    </w:p>
    <w:p>
      <w:pPr>
        <w:spacing w:after="0" w:line="147"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Raymond P. Dolan</w:t>
      </w:r>
    </w:p>
    <w:p>
      <w:pPr>
        <w:spacing w:after="0" w:line="20" w:lineRule="exact"/>
        <w:rPr>
          <w:sz w:val="20"/>
          <w:szCs w:val="20"/>
          <w:color w:val="auto"/>
        </w:rPr>
      </w:pPr>
    </w:p>
    <w:p>
      <w:pPr>
        <w:ind w:left="592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4" w:lineRule="exact"/>
        <w:rPr>
          <w:sz w:val="20"/>
          <w:szCs w:val="20"/>
          <w:color w:val="auto"/>
        </w:rPr>
      </w:pPr>
    </w:p>
    <w:p>
      <w:pPr>
        <w:ind w:left="5920"/>
        <w:spacing w:after="0"/>
        <w:rPr>
          <w:sz w:val="20"/>
          <w:szCs w:val="20"/>
          <w:color w:val="auto"/>
        </w:rPr>
      </w:pPr>
      <w:r>
        <w:rPr>
          <w:rFonts w:ascii="Arial" w:cs="Arial" w:eastAsia="Arial" w:hAnsi="Arial"/>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278370"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319" w:right="25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QuickLinks</w:t>
      </w:r>
    </w:p>
    <w:p>
      <w:pPr>
        <w:spacing w:after="0" w:line="185" w:lineRule="exact"/>
        <w:rPr>
          <w:sz w:val="20"/>
          <w:szCs w:val="20"/>
          <w:color w:val="auto"/>
        </w:rPr>
      </w:pPr>
    </w:p>
    <w:p>
      <w:pPr>
        <w:jc w:val="right"/>
        <w:ind w:right="8939"/>
        <w:spacing w:after="0"/>
        <w:rPr>
          <w:rFonts w:ascii="Arial" w:cs="Arial" w:eastAsia="Arial" w:hAnsi="Arial"/>
          <w:sz w:val="14"/>
          <w:szCs w:val="14"/>
          <w:u w:val="single" w:color="auto"/>
          <w:color w:val="0000EE"/>
        </w:rPr>
      </w:pPr>
      <w:hyperlink w:anchor="page116">
        <w:r>
          <w:rPr>
            <w:rFonts w:ascii="Arial" w:cs="Arial" w:eastAsia="Arial" w:hAnsi="Arial"/>
            <w:sz w:val="14"/>
            <w:szCs w:val="14"/>
            <w:u w:val="single" w:color="auto"/>
            <w:color w:val="0000EE"/>
          </w:rPr>
          <w:t>EXHIBIT 31.1</w:t>
        </w:r>
      </w:hyperlink>
    </w:p>
    <w:p>
      <w:pPr>
        <w:sectPr>
          <w:pgSz w:w="11900" w:h="16838" w:orient="portrait"/>
          <w:cols w:equalWidth="0" w:num="1">
            <w:col w:w="10239"/>
          </w:cols>
          <w:pgMar w:left="220" w:top="691" w:right="1440" w:bottom="1440" w:gutter="0" w:footer="0" w:header="0"/>
        </w:sectPr>
      </w:pPr>
    </w:p>
    <w:bookmarkStart w:id="117" w:name="page118"/>
    <w:bookmarkEnd w:id="117"/>
    <w:p>
      <w:pPr>
        <w:spacing w:after="0"/>
        <w:rPr>
          <w:rFonts w:ascii="Arial" w:cs="Arial" w:eastAsia="Arial" w:hAnsi="Arial"/>
          <w:sz w:val="17"/>
          <w:szCs w:val="17"/>
          <w:color w:val="0000EE"/>
        </w:rPr>
      </w:pPr>
      <w:hyperlink w:anchor="page119">
        <w:r>
          <w:rPr>
            <w:rFonts w:ascii="Arial" w:cs="Arial" w:eastAsia="Arial" w:hAnsi="Arial"/>
            <w:sz w:val="17"/>
            <w:szCs w:val="17"/>
            <w:u w:val="single" w:color="auto"/>
            <w:color w:val="0000EE"/>
          </w:rPr>
          <w:t>QuickLinks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Click here to rapidly navigate through this document</w:t>
      </w:r>
    </w:p>
    <w:p>
      <w:pPr>
        <w:spacing w:after="0" w:line="356" w:lineRule="exact"/>
        <w:rPr>
          <w:sz w:val="20"/>
          <w:szCs w:val="20"/>
          <w:color w:val="auto"/>
        </w:rPr>
      </w:pPr>
    </w:p>
    <w:p>
      <w:pPr>
        <w:ind w:left="10540"/>
        <w:spacing w:after="0"/>
        <w:rPr>
          <w:sz w:val="20"/>
          <w:szCs w:val="20"/>
          <w:color w:val="auto"/>
        </w:rPr>
      </w:pPr>
      <w:r>
        <w:rPr>
          <w:rFonts w:ascii="Arial" w:cs="Arial" w:eastAsia="Arial" w:hAnsi="Arial"/>
          <w:sz w:val="14"/>
          <w:szCs w:val="14"/>
          <w:b w:val="1"/>
          <w:bCs w:val="1"/>
          <w:color w:val="auto"/>
        </w:rPr>
        <w:t>EXHIBIT 31.2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PURSUANT TO</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Wayne Pastore, certify that:</w:t>
      </w:r>
    </w:p>
    <w:p>
      <w:pPr>
        <w:spacing w:after="0" w:line="189" w:lineRule="exact"/>
        <w:rPr>
          <w:sz w:val="20"/>
          <w:szCs w:val="20"/>
          <w:color w:val="auto"/>
        </w:rPr>
      </w:pPr>
    </w:p>
    <w:p>
      <w:pPr>
        <w:ind w:left="1020" w:hanging="291"/>
        <w:spacing w:after="0"/>
        <w:tabs>
          <w:tab w:leader="none" w:pos="10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Sonus Networks, Inc.;</w:t>
      </w:r>
    </w:p>
    <w:p>
      <w:pPr>
        <w:spacing w:after="0" w:line="188" w:lineRule="exact"/>
        <w:rPr>
          <w:rFonts w:ascii="Arial" w:cs="Arial" w:eastAsia="Arial" w:hAnsi="Arial"/>
          <w:sz w:val="14"/>
          <w:szCs w:val="14"/>
          <w:color w:val="auto"/>
        </w:rPr>
      </w:pPr>
    </w:p>
    <w:p>
      <w:pPr>
        <w:ind w:left="440" w:right="320" w:firstLine="289"/>
        <w:spacing w:after="0" w:line="289" w:lineRule="auto"/>
        <w:tabs>
          <w:tab w:leader="none" w:pos="100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4"/>
          <w:szCs w:val="14"/>
          <w:color w:val="auto"/>
        </w:rPr>
      </w:pPr>
    </w:p>
    <w:p>
      <w:pPr>
        <w:ind w:left="440" w:right="420" w:firstLine="289"/>
        <w:spacing w:after="0" w:line="289" w:lineRule="auto"/>
        <w:tabs>
          <w:tab w:leader="none" w:pos="1008"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4"/>
          <w:szCs w:val="14"/>
          <w:color w:val="auto"/>
        </w:rPr>
      </w:pPr>
    </w:p>
    <w:p>
      <w:pPr>
        <w:ind w:left="440" w:firstLine="289"/>
        <w:spacing w:after="0" w:line="289" w:lineRule="auto"/>
        <w:tabs>
          <w:tab w:leader="none" w:pos="1006"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4"/>
          <w:szCs w:val="14"/>
          <w:color w:val="auto"/>
        </w:rPr>
      </w:pPr>
    </w:p>
    <w:p>
      <w:pPr>
        <w:jc w:val="both"/>
        <w:ind w:left="880" w:right="20" w:firstLine="286"/>
        <w:spacing w:after="0" w:line="378" w:lineRule="auto"/>
        <w:tabs>
          <w:tab w:leader="none" w:pos="1428" w:val="left"/>
        </w:tabs>
        <w:numPr>
          <w:ilvl w:val="1"/>
          <w:numId w:val="8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2"/>
          <w:szCs w:val="12"/>
          <w:color w:val="auto"/>
        </w:rPr>
      </w:pPr>
    </w:p>
    <w:p>
      <w:pPr>
        <w:ind w:left="880" w:right="180" w:firstLine="286"/>
        <w:spacing w:after="0" w:line="378" w:lineRule="auto"/>
        <w:tabs>
          <w:tab w:leader="none" w:pos="1436" w:val="left"/>
        </w:tabs>
        <w:numPr>
          <w:ilvl w:val="1"/>
          <w:numId w:val="8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2"/>
          <w:szCs w:val="12"/>
          <w:color w:val="auto"/>
        </w:rPr>
      </w:pPr>
    </w:p>
    <w:p>
      <w:pPr>
        <w:ind w:left="880" w:right="100" w:firstLine="286"/>
        <w:spacing w:after="0" w:line="289" w:lineRule="auto"/>
        <w:tabs>
          <w:tab w:leader="none" w:pos="1428" w:val="left"/>
        </w:tabs>
        <w:numPr>
          <w:ilvl w:val="1"/>
          <w:numId w:val="8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4"/>
          <w:szCs w:val="14"/>
          <w:color w:val="auto"/>
        </w:rPr>
      </w:pPr>
    </w:p>
    <w:p>
      <w:pPr>
        <w:ind w:left="880" w:right="140" w:firstLine="286"/>
        <w:spacing w:after="0" w:line="330" w:lineRule="auto"/>
        <w:tabs>
          <w:tab w:leader="none" w:pos="1436" w:val="left"/>
        </w:tabs>
        <w:numPr>
          <w:ilvl w:val="1"/>
          <w:numId w:val="8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3"/>
          <w:szCs w:val="13"/>
          <w:color w:val="auto"/>
        </w:rPr>
      </w:pPr>
    </w:p>
    <w:p>
      <w:pPr>
        <w:ind w:left="440" w:right="160" w:firstLine="289"/>
        <w:spacing w:after="0" w:line="289" w:lineRule="auto"/>
        <w:tabs>
          <w:tab w:leader="none" w:pos="1006"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6" w:lineRule="exact"/>
        <w:rPr>
          <w:rFonts w:ascii="Arial" w:cs="Arial" w:eastAsia="Arial" w:hAnsi="Arial"/>
          <w:sz w:val="14"/>
          <w:szCs w:val="14"/>
          <w:color w:val="auto"/>
        </w:rPr>
      </w:pPr>
    </w:p>
    <w:p>
      <w:pPr>
        <w:ind w:left="880" w:right="200" w:firstLine="286"/>
        <w:spacing w:after="0" w:line="289" w:lineRule="auto"/>
        <w:tabs>
          <w:tab w:leader="none" w:pos="14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4"/>
          <w:szCs w:val="14"/>
          <w:color w:val="auto"/>
        </w:rPr>
      </w:pPr>
    </w:p>
    <w:p>
      <w:pPr>
        <w:ind w:left="1440" w:hanging="274"/>
        <w:spacing w:after="0"/>
        <w:tabs>
          <w:tab w:leader="none" w:pos="144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March 10, 2011</w:t>
      </w:r>
    </w:p>
    <w:p>
      <w:pPr>
        <w:spacing w:after="0" w:line="189"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62230</wp:posOffset>
            </wp:positionV>
            <wp:extent cx="28035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03525" cy="6985"/>
                    </a:xfrm>
                    <a:prstGeom prst="rect">
                      <a:avLst/>
                    </a:prstGeom>
                    <a:noFill/>
                  </pic:spPr>
                </pic:pic>
              </a:graphicData>
            </a:graphic>
          </wp:anchor>
        </w:drawing>
      </w:r>
    </w:p>
    <w:p>
      <w:pPr>
        <w:spacing w:after="0" w:line="147"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Wayne Pastore</w:t>
      </w:r>
    </w:p>
    <w:p>
      <w:pPr>
        <w:spacing w:after="0" w:line="20" w:lineRule="exact"/>
        <w:rPr>
          <w:sz w:val="20"/>
          <w:szCs w:val="20"/>
          <w:color w:val="auto"/>
        </w:rPr>
      </w:pPr>
    </w:p>
    <w:p>
      <w:pPr>
        <w:ind w:left="5920"/>
        <w:spacing w:after="0"/>
        <w:rPr>
          <w:sz w:val="20"/>
          <w:szCs w:val="20"/>
          <w:color w:val="auto"/>
        </w:rPr>
      </w:pPr>
      <w:r>
        <w:rPr>
          <w:rFonts w:ascii="Arial" w:cs="Arial" w:eastAsia="Arial" w:hAnsi="Arial"/>
          <w:sz w:val="14"/>
          <w:szCs w:val="14"/>
          <w:i w:val="1"/>
          <w:iCs w:val="1"/>
          <w:color w:val="auto"/>
        </w:rPr>
        <w:t>Senior Vice President and Chief Financial Officer (Principal Financial</w:t>
      </w:r>
    </w:p>
    <w:p>
      <w:pPr>
        <w:spacing w:after="0" w:line="14" w:lineRule="exact"/>
        <w:rPr>
          <w:sz w:val="20"/>
          <w:szCs w:val="20"/>
          <w:color w:val="auto"/>
        </w:rPr>
      </w:pPr>
    </w:p>
    <w:p>
      <w:pPr>
        <w:ind w:left="5920"/>
        <w:spacing w:after="0"/>
        <w:rPr>
          <w:sz w:val="20"/>
          <w:szCs w:val="20"/>
          <w:color w:val="auto"/>
        </w:rPr>
      </w:pPr>
      <w:r>
        <w:rPr>
          <w:rFonts w:ascii="Arial" w:cs="Arial" w:eastAsia="Arial" w:hAnsi="Arial"/>
          <w:sz w:val="14"/>
          <w:szCs w:val="14"/>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278370"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319" w:right="25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QuickLinks</w:t>
      </w:r>
    </w:p>
    <w:p>
      <w:pPr>
        <w:spacing w:after="0" w:line="185" w:lineRule="exact"/>
        <w:rPr>
          <w:sz w:val="20"/>
          <w:szCs w:val="20"/>
          <w:color w:val="auto"/>
        </w:rPr>
      </w:pPr>
    </w:p>
    <w:p>
      <w:pPr>
        <w:jc w:val="right"/>
        <w:ind w:right="8939"/>
        <w:spacing w:after="0"/>
        <w:rPr>
          <w:rFonts w:ascii="Arial" w:cs="Arial" w:eastAsia="Arial" w:hAnsi="Arial"/>
          <w:sz w:val="14"/>
          <w:szCs w:val="14"/>
          <w:u w:val="single" w:color="auto"/>
          <w:color w:val="0000EE"/>
        </w:rPr>
      </w:pPr>
      <w:hyperlink w:anchor="page118">
        <w:r>
          <w:rPr>
            <w:rFonts w:ascii="Arial" w:cs="Arial" w:eastAsia="Arial" w:hAnsi="Arial"/>
            <w:sz w:val="14"/>
            <w:szCs w:val="14"/>
            <w:u w:val="single" w:color="auto"/>
            <w:color w:val="0000EE"/>
          </w:rPr>
          <w:t>EXHIBIT 31.2</w:t>
        </w:r>
      </w:hyperlink>
    </w:p>
    <w:p>
      <w:pPr>
        <w:sectPr>
          <w:pgSz w:w="11900" w:h="16838" w:orient="portrait"/>
          <w:cols w:equalWidth="0" w:num="1">
            <w:col w:w="10239"/>
          </w:cols>
          <w:pgMar w:left="220" w:top="691" w:right="1440" w:bottom="1440" w:gutter="0" w:footer="0" w:header="0"/>
        </w:sectPr>
      </w:pPr>
    </w:p>
    <w:bookmarkStart w:id="119" w:name="page120"/>
    <w:bookmarkEnd w:id="119"/>
    <w:p>
      <w:pPr>
        <w:spacing w:after="0"/>
        <w:rPr>
          <w:rFonts w:ascii="Arial" w:cs="Arial" w:eastAsia="Arial" w:hAnsi="Arial"/>
          <w:sz w:val="17"/>
          <w:szCs w:val="17"/>
          <w:color w:val="0000EE"/>
        </w:rPr>
      </w:pPr>
      <w:hyperlink w:anchor="page121">
        <w:r>
          <w:rPr>
            <w:rFonts w:ascii="Arial" w:cs="Arial" w:eastAsia="Arial" w:hAnsi="Arial"/>
            <w:sz w:val="17"/>
            <w:szCs w:val="17"/>
            <w:u w:val="single" w:color="auto"/>
            <w:color w:val="0000EE"/>
          </w:rPr>
          <w:t>QuickLinks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Click here to rapidly navigate through this document</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32.1</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ADOPTED PURSUANT TO</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83" w:lineRule="exact"/>
        <w:rPr>
          <w:sz w:val="20"/>
          <w:szCs w:val="20"/>
          <w:color w:val="auto"/>
        </w:rPr>
      </w:pPr>
    </w:p>
    <w:p>
      <w:pPr>
        <w:jc w:val="both"/>
        <w:ind w:right="60" w:firstLine="284"/>
        <w:spacing w:after="0" w:line="275" w:lineRule="auto"/>
        <w:rPr>
          <w:sz w:val="20"/>
          <w:szCs w:val="20"/>
          <w:color w:val="auto"/>
        </w:rPr>
      </w:pPr>
      <w:r>
        <w:rPr>
          <w:rFonts w:ascii="Arial" w:cs="Arial" w:eastAsia="Arial" w:hAnsi="Arial"/>
          <w:sz w:val="14"/>
          <w:szCs w:val="14"/>
          <w:color w:val="auto"/>
        </w:rPr>
        <w:t>In connection with the Annual Report on Form 10-K of Sonus Networks, Inc. (the "Company") for the period ended December 31, 2010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46" w:lineRule="exact"/>
        <w:rPr>
          <w:sz w:val="20"/>
          <w:szCs w:val="20"/>
          <w:color w:val="auto"/>
        </w:rPr>
      </w:pPr>
    </w:p>
    <w:p>
      <w:pPr>
        <w:ind w:left="1000" w:hanging="271"/>
        <w:spacing w:after="0"/>
        <w:tabs>
          <w:tab w:leader="none" w:pos="10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88" w:lineRule="exact"/>
        <w:rPr>
          <w:rFonts w:ascii="Arial" w:cs="Arial" w:eastAsia="Arial" w:hAnsi="Arial"/>
          <w:sz w:val="14"/>
          <w:szCs w:val="14"/>
          <w:color w:val="auto"/>
        </w:rPr>
      </w:pPr>
    </w:p>
    <w:p>
      <w:pPr>
        <w:ind w:right="2220" w:firstLine="729"/>
        <w:spacing w:after="0" w:line="521" w:lineRule="auto"/>
        <w:tabs>
          <w:tab w:leader="none" w:pos="994"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Date: March 10, 2011</w:t>
      </w:r>
    </w:p>
    <w:p>
      <w:pPr>
        <w:jc w:val="center"/>
        <w:ind w:left="4760"/>
        <w:spacing w:after="0"/>
        <w:rPr>
          <w:sz w:val="20"/>
          <w:szCs w:val="20"/>
          <w:color w:val="auto"/>
        </w:rPr>
      </w:pPr>
      <w:r>
        <w:rPr>
          <w:rFonts w:ascii="Arial" w:cs="Arial" w:eastAsia="Arial" w:hAnsi="Arial"/>
          <w:sz w:val="14"/>
          <w:szCs w:val="14"/>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62230</wp:posOffset>
            </wp:positionV>
            <wp:extent cx="28035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03525" cy="6985"/>
                    </a:xfrm>
                    <a:prstGeom prst="rect">
                      <a:avLst/>
                    </a:prstGeom>
                    <a:noFill/>
                  </pic:spPr>
                </pic:pic>
              </a:graphicData>
            </a:graphic>
          </wp:anchor>
        </w:drawing>
      </w:r>
    </w:p>
    <w:p>
      <w:pPr>
        <w:spacing w:after="0" w:line="147" w:lineRule="exact"/>
        <w:rPr>
          <w:sz w:val="20"/>
          <w:szCs w:val="20"/>
          <w:color w:val="auto"/>
        </w:rPr>
      </w:pPr>
    </w:p>
    <w:p>
      <w:pPr>
        <w:jc w:val="center"/>
        <w:ind w:left="4760"/>
        <w:spacing w:after="0"/>
        <w:rPr>
          <w:sz w:val="20"/>
          <w:szCs w:val="20"/>
          <w:color w:val="auto"/>
        </w:rPr>
      </w:pPr>
      <w:r>
        <w:rPr>
          <w:rFonts w:ascii="Arial" w:cs="Arial" w:eastAsia="Arial" w:hAnsi="Arial"/>
          <w:sz w:val="14"/>
          <w:szCs w:val="14"/>
          <w:color w:val="auto"/>
        </w:rPr>
        <w:t>Raymond P. Dolan</w:t>
      </w:r>
    </w:p>
    <w:p>
      <w:pPr>
        <w:spacing w:after="0" w:line="20" w:lineRule="exact"/>
        <w:rPr>
          <w:sz w:val="20"/>
          <w:szCs w:val="20"/>
          <w:color w:val="auto"/>
        </w:rPr>
      </w:pPr>
    </w:p>
    <w:p>
      <w:pPr>
        <w:jc w:val="center"/>
        <w:ind w:left="476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4" w:lineRule="exact"/>
        <w:rPr>
          <w:sz w:val="20"/>
          <w:szCs w:val="20"/>
          <w:color w:val="auto"/>
        </w:rPr>
      </w:pPr>
    </w:p>
    <w:p>
      <w:pPr>
        <w:jc w:val="center"/>
        <w:ind w:left="4760"/>
        <w:spacing w:after="0"/>
        <w:rPr>
          <w:sz w:val="20"/>
          <w:szCs w:val="20"/>
          <w:color w:val="auto"/>
        </w:rPr>
      </w:pPr>
      <w:r>
        <w:rPr>
          <w:rFonts w:ascii="Arial" w:cs="Arial" w:eastAsia="Arial" w:hAnsi="Arial"/>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278370"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319" w:right="25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QuickLinks</w:t>
      </w:r>
    </w:p>
    <w:p>
      <w:pPr>
        <w:spacing w:after="0" w:line="185" w:lineRule="exact"/>
        <w:rPr>
          <w:sz w:val="20"/>
          <w:szCs w:val="20"/>
          <w:color w:val="auto"/>
        </w:rPr>
      </w:pPr>
    </w:p>
    <w:p>
      <w:pPr>
        <w:jc w:val="right"/>
        <w:ind w:right="8939"/>
        <w:spacing w:after="0"/>
        <w:rPr>
          <w:rFonts w:ascii="Arial" w:cs="Arial" w:eastAsia="Arial" w:hAnsi="Arial"/>
          <w:sz w:val="14"/>
          <w:szCs w:val="14"/>
          <w:u w:val="single" w:color="auto"/>
          <w:color w:val="0000EE"/>
        </w:rPr>
      </w:pPr>
      <w:hyperlink w:anchor="page120">
        <w:r>
          <w:rPr>
            <w:rFonts w:ascii="Arial" w:cs="Arial" w:eastAsia="Arial" w:hAnsi="Arial"/>
            <w:sz w:val="14"/>
            <w:szCs w:val="14"/>
            <w:u w:val="single" w:color="auto"/>
            <w:color w:val="0000EE"/>
          </w:rPr>
          <w:t>EXHIBIT 32.1</w:t>
        </w:r>
      </w:hyperlink>
    </w:p>
    <w:p>
      <w:pPr>
        <w:sectPr>
          <w:pgSz w:w="11900" w:h="16838" w:orient="portrait"/>
          <w:cols w:equalWidth="0" w:num="1">
            <w:col w:w="10239"/>
          </w:cols>
          <w:pgMar w:left="220" w:top="691" w:right="1440" w:bottom="1440" w:gutter="0" w:footer="0" w:header="0"/>
        </w:sectPr>
      </w:pPr>
    </w:p>
    <w:bookmarkStart w:id="121" w:name="page122"/>
    <w:bookmarkEnd w:id="121"/>
    <w:p>
      <w:pPr>
        <w:spacing w:after="0"/>
        <w:rPr>
          <w:rFonts w:ascii="Arial" w:cs="Arial" w:eastAsia="Arial" w:hAnsi="Arial"/>
          <w:sz w:val="17"/>
          <w:szCs w:val="17"/>
          <w:color w:val="0000EE"/>
        </w:rPr>
      </w:pPr>
      <w:hyperlink w:anchor="page123">
        <w:r>
          <w:rPr>
            <w:rFonts w:ascii="Arial" w:cs="Arial" w:eastAsia="Arial" w:hAnsi="Arial"/>
            <w:sz w:val="17"/>
            <w:szCs w:val="17"/>
            <w:u w:val="single" w:color="auto"/>
            <w:color w:val="0000EE"/>
          </w:rPr>
          <w:t>QuickLinks</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Click here to rapidly navigate through this document</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32.2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ADOPTED PURSUANT TO</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83" w:lineRule="exact"/>
        <w:rPr>
          <w:sz w:val="20"/>
          <w:szCs w:val="20"/>
          <w:color w:val="auto"/>
        </w:rPr>
      </w:pPr>
    </w:p>
    <w:p>
      <w:pPr>
        <w:ind w:right="60" w:firstLine="284"/>
        <w:spacing w:after="0" w:line="275" w:lineRule="auto"/>
        <w:rPr>
          <w:sz w:val="20"/>
          <w:szCs w:val="20"/>
          <w:color w:val="auto"/>
        </w:rPr>
      </w:pPr>
      <w:r>
        <w:rPr>
          <w:rFonts w:ascii="Arial" w:cs="Arial" w:eastAsia="Arial" w:hAnsi="Arial"/>
          <w:sz w:val="14"/>
          <w:szCs w:val="14"/>
          <w:color w:val="auto"/>
        </w:rPr>
        <w:t>In connection with the Annual Report on Form 10-K of Sonus Networks, Inc. (the "Company") for the period ended December 31, 2010 as filed with the Securities and Exchange Commission on the date hereof (the "Report"), the undersigned, Wayne Pastore, Senior Vice President and Chief Financial Officer of the Company, hereby certifies, pursuant to 18 U.S.C. Section 1350, as adopted pursuant to Section 906 of the Sarbanes-Oxley Act of 2002, that to his knowledge:</w:t>
      </w:r>
    </w:p>
    <w:p>
      <w:pPr>
        <w:spacing w:after="0" w:line="146" w:lineRule="exact"/>
        <w:rPr>
          <w:sz w:val="20"/>
          <w:szCs w:val="20"/>
          <w:color w:val="auto"/>
        </w:rPr>
      </w:pPr>
    </w:p>
    <w:p>
      <w:pPr>
        <w:ind w:left="1000" w:hanging="271"/>
        <w:spacing w:after="0"/>
        <w:tabs>
          <w:tab w:leader="none" w:pos="10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88" w:lineRule="exact"/>
        <w:rPr>
          <w:rFonts w:ascii="Arial" w:cs="Arial" w:eastAsia="Arial" w:hAnsi="Arial"/>
          <w:sz w:val="14"/>
          <w:szCs w:val="14"/>
          <w:color w:val="auto"/>
        </w:rPr>
      </w:pPr>
    </w:p>
    <w:p>
      <w:pPr>
        <w:ind w:right="2220" w:firstLine="729"/>
        <w:spacing w:after="0" w:line="521" w:lineRule="auto"/>
        <w:tabs>
          <w:tab w:leader="none" w:pos="994"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Date: March 10, 2011</w:t>
      </w:r>
    </w:p>
    <w:p>
      <w:pPr>
        <w:jc w:val="center"/>
        <w:ind w:left="4760"/>
        <w:spacing w:after="0"/>
        <w:rPr>
          <w:sz w:val="20"/>
          <w:szCs w:val="20"/>
          <w:color w:val="auto"/>
        </w:rPr>
      </w:pPr>
      <w:r>
        <w:rPr>
          <w:rFonts w:ascii="Arial" w:cs="Arial" w:eastAsia="Arial" w:hAnsi="Arial"/>
          <w:sz w:val="14"/>
          <w:szCs w:val="14"/>
          <w:color w:val="auto"/>
        </w:rPr>
        <w:t>/s/ 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62230</wp:posOffset>
            </wp:positionV>
            <wp:extent cx="28035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03525" cy="6985"/>
                    </a:xfrm>
                    <a:prstGeom prst="rect">
                      <a:avLst/>
                    </a:prstGeom>
                    <a:noFill/>
                  </pic:spPr>
                </pic:pic>
              </a:graphicData>
            </a:graphic>
          </wp:anchor>
        </w:drawing>
      </w:r>
    </w:p>
    <w:p>
      <w:pPr>
        <w:spacing w:after="0" w:line="147" w:lineRule="exact"/>
        <w:rPr>
          <w:sz w:val="20"/>
          <w:szCs w:val="20"/>
          <w:color w:val="auto"/>
        </w:rPr>
      </w:pPr>
    </w:p>
    <w:p>
      <w:pPr>
        <w:jc w:val="center"/>
        <w:ind w:left="4760"/>
        <w:spacing w:after="0"/>
        <w:rPr>
          <w:sz w:val="20"/>
          <w:szCs w:val="20"/>
          <w:color w:val="auto"/>
        </w:rPr>
      </w:pPr>
      <w:r>
        <w:rPr>
          <w:rFonts w:ascii="Arial" w:cs="Arial" w:eastAsia="Arial" w:hAnsi="Arial"/>
          <w:sz w:val="14"/>
          <w:szCs w:val="14"/>
          <w:color w:val="auto"/>
        </w:rPr>
        <w:t>Wayne Pastore</w:t>
      </w:r>
    </w:p>
    <w:p>
      <w:pPr>
        <w:spacing w:after="0" w:line="20" w:lineRule="exact"/>
        <w:rPr>
          <w:sz w:val="20"/>
          <w:szCs w:val="20"/>
          <w:color w:val="auto"/>
        </w:rPr>
      </w:pPr>
    </w:p>
    <w:p>
      <w:pPr>
        <w:jc w:val="center"/>
        <w:ind w:left="4760"/>
        <w:spacing w:after="0"/>
        <w:rPr>
          <w:sz w:val="20"/>
          <w:szCs w:val="20"/>
          <w:color w:val="auto"/>
        </w:rPr>
      </w:pPr>
      <w:r>
        <w:rPr>
          <w:rFonts w:ascii="Arial" w:cs="Arial" w:eastAsia="Arial" w:hAnsi="Arial"/>
          <w:sz w:val="14"/>
          <w:szCs w:val="14"/>
          <w:i w:val="1"/>
          <w:iCs w:val="1"/>
          <w:color w:val="auto"/>
        </w:rPr>
        <w:t>Senior Vice President and Chief Financial Officer (Principal Financial</w:t>
      </w:r>
    </w:p>
    <w:p>
      <w:pPr>
        <w:spacing w:after="0" w:line="14" w:lineRule="exact"/>
        <w:rPr>
          <w:sz w:val="20"/>
          <w:szCs w:val="20"/>
          <w:color w:val="auto"/>
        </w:rPr>
      </w:pPr>
    </w:p>
    <w:p>
      <w:pPr>
        <w:jc w:val="center"/>
        <w:ind w:left="4760"/>
        <w:spacing w:after="0"/>
        <w:rPr>
          <w:sz w:val="20"/>
          <w:szCs w:val="20"/>
          <w:color w:val="auto"/>
        </w:rPr>
      </w:pPr>
      <w:r>
        <w:rPr>
          <w:rFonts w:ascii="Arial" w:cs="Arial" w:eastAsia="Arial" w:hAnsi="Arial"/>
          <w:sz w:val="14"/>
          <w:szCs w:val="14"/>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278370"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8370" cy="19685"/>
                    </a:xfrm>
                    <a:prstGeom prst="rect">
                      <a:avLst/>
                    </a:prstGeom>
                    <a:noFill/>
                  </pic:spPr>
                </pic:pic>
              </a:graphicData>
            </a:graphic>
          </wp:anchor>
        </w:drawing>
      </w:r>
    </w:p>
    <w:p>
      <w:pPr>
        <w:sectPr>
          <w:pgSz w:w="11900" w:h="16838" w:orient="portrait"/>
          <w:cols w:equalWidth="0" w:num="1">
            <w:col w:w="11420"/>
          </w:cols>
          <w:pgMar w:left="220" w:top="319" w:right="25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QuickLinks</w:t>
      </w:r>
    </w:p>
    <w:p>
      <w:pPr>
        <w:spacing w:after="0" w:line="185" w:lineRule="exact"/>
        <w:rPr>
          <w:sz w:val="20"/>
          <w:szCs w:val="20"/>
          <w:color w:val="auto"/>
        </w:rPr>
      </w:pPr>
    </w:p>
    <w:p>
      <w:pPr>
        <w:jc w:val="right"/>
        <w:ind w:right="8939"/>
        <w:spacing w:after="0"/>
        <w:rPr>
          <w:rFonts w:ascii="Arial" w:cs="Arial" w:eastAsia="Arial" w:hAnsi="Arial"/>
          <w:sz w:val="14"/>
          <w:szCs w:val="14"/>
          <w:u w:val="single" w:color="auto"/>
          <w:color w:val="0000EE"/>
        </w:rPr>
      </w:pPr>
      <w:hyperlink w:anchor="page122">
        <w:r>
          <w:rPr>
            <w:rFonts w:ascii="Arial" w:cs="Arial" w:eastAsia="Arial" w:hAnsi="Arial"/>
            <w:sz w:val="14"/>
            <w:szCs w:val="14"/>
            <w:u w:val="single" w:color="auto"/>
            <w:color w:val="0000EE"/>
          </w:rPr>
          <w:t>EXHIBIT 32.2</w:t>
        </w:r>
      </w:hyperlink>
    </w:p>
    <w:sectPr>
      <w:pgSz w:w="11900" w:h="16838" w:orient="portrait"/>
      <w:cols w:equalWidth="0" w:num="1">
        <w:col w:w="10239"/>
      </w:cols>
      <w:pgMar w:left="22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o"/>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decimal"/>
      <w:start w:val="2"/>
    </w:lvl>
  </w:abstractNum>
  <w:abstractNum w:abstractNumId="31">
    <w:nsid w:val="235BA861"/>
    <w:multiLevelType w:val="hybridMultilevel"/>
    <w:lvl w:ilvl="0">
      <w:lvlJc w:val="left"/>
      <w:lvlText w:val="(%1)"/>
      <w:numFmt w:val="decimal"/>
      <w:start w:val="2"/>
    </w:lvl>
  </w:abstractNum>
  <w:abstractNum w:abstractNumId="32">
    <w:nsid w:val="47398C89"/>
    <w:multiLevelType w:val="hybridMultilevel"/>
    <w:lvl w:ilvl="0">
      <w:lvlJc w:val="left"/>
      <w:lvlText w:val="(%1)"/>
      <w:numFmt w:val="decimal"/>
      <w:start w:val="14"/>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4"/>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4"/>
    </w:lvl>
  </w:abstractNum>
  <w:abstractNum w:abstractNumId="37">
    <w:nsid w:val="10233C99"/>
    <w:multiLevelType w:val="hybridMultilevel"/>
    <w:lvl w:ilvl="0">
      <w:lvlJc w:val="left"/>
      <w:lvlText w:val="(%1)"/>
      <w:numFmt w:val="decimal"/>
      <w:start w:val="17"/>
    </w:lvl>
  </w:abstractNum>
  <w:abstractNum w:abstractNumId="38">
    <w:nsid w:val="3F6AB60F"/>
    <w:multiLevelType w:val="hybridMultilevel"/>
    <w:lvl w:ilvl="0">
      <w:lvlJc w:val="left"/>
      <w:lvlText w:val="(%1)"/>
      <w:numFmt w:val="decimal"/>
      <w:start w:val="17"/>
    </w:lvl>
  </w:abstractNum>
  <w:abstractNum w:abstractNumId="39">
    <w:nsid w:val="61574095"/>
    <w:multiLevelType w:val="hybridMultilevel"/>
    <w:lvl w:ilvl="0">
      <w:lvlJc w:val="left"/>
      <w:lvlText w:val="(%1)"/>
      <w:numFmt w:val="decimal"/>
      <w:start w:val="17"/>
    </w:lvl>
  </w:abstractNum>
  <w:abstractNum w:abstractNumId="40">
    <w:nsid w:val="7E0C57B1"/>
    <w:multiLevelType w:val="hybridMultilevel"/>
    <w:lvl w:ilvl="0">
      <w:lvlJc w:val="left"/>
      <w:lvlText w:val="(%1)"/>
      <w:numFmt w:val="decimal"/>
      <w:start w:val="17"/>
    </w:lvl>
  </w:abstractNum>
  <w:abstractNum w:abstractNumId="41">
    <w:nsid w:val="77AE35EB"/>
    <w:multiLevelType w:val="hybridMultilevel"/>
    <w:lvl w:ilvl="0">
      <w:lvlJc w:val="left"/>
      <w:lvlText w:val="(%1)"/>
      <w:numFmt w:val="decimal"/>
      <w:start w:val="20"/>
    </w:lvl>
  </w:abstractNum>
  <w:abstractNum w:abstractNumId="42">
    <w:nsid w:val="579BE4F1"/>
    <w:multiLevelType w:val="hybridMultilevel"/>
    <w:lvl w:ilvl="0">
      <w:lvlJc w:val="left"/>
      <w:lvlText w:val="(%1)"/>
      <w:numFmt w:val="decimal"/>
      <w:start w:val="22"/>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2"/>
    </w:lvl>
  </w:abstractNum>
  <w:abstractNum w:abstractNumId="48">
    <w:nsid w:val="4AD084E9"/>
    <w:multiLevelType w:val="hybridMultilevel"/>
    <w:lvl w:ilvl="0">
      <w:lvlJc w:val="left"/>
      <w:lvlText w:val="%1."/>
      <w:numFmt w:val="decimal"/>
      <w:start w:val="3"/>
    </w:lvl>
    <w:lvl w:ilvl="1">
      <w:lvlJc w:val="left"/>
      <w:lvlText w:val="(%2)"/>
      <w:numFmt w:val="lowerLetter"/>
      <w:start w:val="1"/>
    </w:lvl>
  </w:abstractNum>
  <w:abstractNum w:abstractNumId="49">
    <w:nsid w:val="1F48EAA1"/>
    <w:multiLevelType w:val="hybridMultilevel"/>
    <w:lvl w:ilvl="0">
      <w:lvlJc w:val="left"/>
      <w:lvlText w:val="%1"/>
      <w:numFmt w:val="decimal"/>
      <w:start w:val="1"/>
    </w:lvl>
    <w:lvl w:ilvl="1">
      <w:lvlJc w:val="left"/>
      <w:lvlText w:val="(%2)"/>
      <w:numFmt w:val="lowerLetter"/>
      <w:start w:val="3"/>
    </w:lvl>
  </w:abstractNum>
  <w:abstractNum w:abstractNumId="50">
    <w:nsid w:val="1381823A"/>
    <w:multiLevelType w:val="hybridMultilevel"/>
    <w:lvl w:ilvl="0">
      <w:lvlJc w:val="left"/>
      <w:lvlText w:val="%1."/>
      <w:numFmt w:val="decimal"/>
      <w:start w:val="4"/>
    </w:lvl>
    <w:lvl w:ilvl="1">
      <w:lvlJc w:val="left"/>
      <w:lvlText w:val="(%2)"/>
      <w:numFmt w:val="lowerLetter"/>
      <w:start w:val="1"/>
    </w:lvl>
  </w:abstractNum>
  <w:abstractNum w:abstractNumId="51">
    <w:nsid w:val="5DB70AE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100F8FC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3">
    <w:nsid w:val="6590700B"/>
    <w:multiLevelType w:val="hybridMultilevel"/>
    <w:lvl w:ilvl="0">
      <w:lvlJc w:val="left"/>
      <w:lvlText w:val="(%1)"/>
      <w:numFmt w:val="lowerLetter"/>
      <w:start w:val="3"/>
    </w:lvl>
  </w:abstractNum>
  <w:abstractNum w:abstractNumId="54">
    <w:nsid w:val="15014ACB"/>
    <w:multiLevelType w:val="hybridMultilevel"/>
    <w:lvl w:ilvl="0">
      <w:lvlJc w:val="left"/>
      <w:lvlText w:val="(%1)"/>
      <w:numFmt w:val="lowerLetter"/>
      <w:start w:val="4"/>
    </w:lvl>
    <w:lvl w:ilvl="1">
      <w:lvlJc w:val="left"/>
      <w:lvlText w:val="(%2)"/>
      <w:numFmt w:val="decimal"/>
      <w:start w:val="1"/>
    </w:lvl>
  </w:abstractNum>
  <w:abstractNum w:abstractNumId="55">
    <w:nsid w:val="5F5E7FD0"/>
    <w:multiLevelType w:val="hybridMultilevel"/>
    <w:lvl w:ilvl="0">
      <w:lvlJc w:val="left"/>
      <w:lvlText w:val="(%1)"/>
      <w:numFmt w:val="decimal"/>
      <w:start w:val="2"/>
    </w:lvl>
  </w:abstractNum>
  <w:abstractNum w:abstractNumId="56">
    <w:nsid w:val="98A3148"/>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57">
    <w:nsid w:val="799D0247"/>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8">
    <w:nsid w:val="6B94764"/>
    <w:multiLevelType w:val="hybridMultilevel"/>
    <w:lvl w:ilvl="0">
      <w:lvlJc w:val="left"/>
      <w:lvlText w:val="%1"/>
      <w:numFmt w:val="lowerLetter"/>
      <w:start w:val="1"/>
    </w:lvl>
    <w:lvl w:ilvl="1">
      <w:lvlJc w:val="left"/>
      <w:lvlText w:val="(%2)"/>
      <w:numFmt w:val="decimal"/>
      <w:start w:val="2"/>
    </w:lvl>
  </w:abstractNum>
  <w:abstractNum w:abstractNumId="59">
    <w:nsid w:val="42C296BD"/>
    <w:multiLevelType w:val="hybridMultilevel"/>
    <w:lvl w:ilvl="0">
      <w:lvlJc w:val="left"/>
      <w:lvlText w:val="(%1)"/>
      <w:numFmt w:val="lowerLetter"/>
      <w:start w:val="3"/>
    </w:lvl>
    <w:lvl w:ilvl="1">
      <w:lvlJc w:val="left"/>
      <w:lvlText w:val="%2"/>
      <w:numFmt w:val="decimal"/>
      <w:start w:val="1"/>
    </w:lvl>
  </w:abstractNum>
  <w:abstractNum w:abstractNumId="60">
    <w:nsid w:val="168E121F"/>
    <w:multiLevelType w:val="hybridMultilevel"/>
    <w:lvl w:ilvl="0">
      <w:lvlJc w:val="left"/>
      <w:lvlText w:val="%1"/>
      <w:numFmt w:val="decimal"/>
      <w:start w:val="1"/>
    </w:lvl>
    <w:lvl w:ilvl="1">
      <w:lvlJc w:val="left"/>
      <w:lvlText w:val="(%2)"/>
      <w:numFmt w:val="lowerLetter"/>
      <w:start w:val="5"/>
    </w:lvl>
  </w:abstractNum>
  <w:abstractNum w:abstractNumId="61">
    <w:nsid w:val="1EBA5D23"/>
    <w:multiLevelType w:val="hybridMultilevel"/>
    <w:lvl w:ilvl="0">
      <w:lvlJc w:val="left"/>
      <w:lvlText w:val="%1."/>
      <w:numFmt w:val="decimal"/>
      <w:start w:val="7"/>
    </w:lvl>
    <w:lvl w:ilvl="1">
      <w:lvlJc w:val="left"/>
      <w:lvlText w:val="(%2)"/>
      <w:numFmt w:val="lowerLetter"/>
      <w:start w:val="1"/>
    </w:lvl>
  </w:abstractNum>
  <w:abstractNum w:abstractNumId="62">
    <w:nsid w:val="661E3F1E"/>
    <w:multiLevelType w:val="hybridMultilevel"/>
    <w:lvl w:ilvl="0">
      <w:lvlJc w:val="left"/>
      <w:lvlText w:val="(%1)"/>
      <w:numFmt w:val="lowerLetter"/>
      <w:start w:val="3"/>
    </w:lvl>
    <w:lvl w:ilvl="1">
      <w:lvlJc w:val="left"/>
      <w:lvlText w:val="(%2)"/>
      <w:numFmt w:val="decimal"/>
      <w:start w:val="1"/>
    </w:lvl>
  </w:abstractNum>
  <w:abstractNum w:abstractNumId="63">
    <w:nsid w:val="5DC79EA8"/>
    <w:multiLevelType w:val="hybridMultilevel"/>
    <w:lvl w:ilvl="0">
      <w:lvlJc w:val="left"/>
      <w:lvlText w:val="%1."/>
      <w:numFmt w:val="decimal"/>
      <w:start w:val="8"/>
    </w:lvl>
  </w:abstractNum>
  <w:abstractNum w:abstractNumId="64">
    <w:nsid w:val="540A471C"/>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65">
    <w:nsid w:val="7BD3EE7B"/>
    <w:multiLevelType w:val="hybridMultilevel"/>
    <w:lvl w:ilvl="0">
      <w:lvlJc w:val="left"/>
      <w:lvlText w:val="(%1)"/>
      <w:numFmt w:val="decimal"/>
      <w:start w:val="2"/>
    </w:lvl>
  </w:abstractNum>
  <w:abstractNum w:abstractNumId="66">
    <w:nsid w:val="51D9C564"/>
    <w:multiLevelType w:val="hybridMultilevel"/>
    <w:lvl w:ilvl="0">
      <w:lvlJc w:val="left"/>
      <w:lvlText w:val="(%1)"/>
      <w:numFmt w:val="decimal"/>
      <w:start w:val="3"/>
    </w:lvl>
  </w:abstractNum>
  <w:abstractNum w:abstractNumId="67">
    <w:nsid w:val="613EFDC5"/>
    <w:multiLevelType w:val="hybridMultilevel"/>
    <w:lvl w:ilvl="0">
      <w:lvlJc w:val="left"/>
      <w:lvlText w:val="%1"/>
      <w:numFmt w:val="decimal"/>
      <w:start w:val="1"/>
    </w:lvl>
    <w:lvl w:ilvl="1">
      <w:lvlJc w:val="left"/>
      <w:lvlText w:val="(%2)"/>
      <w:numFmt w:val="lowerLetter"/>
      <w:start w:val="3"/>
    </w:lvl>
  </w:abstractNum>
  <w:abstractNum w:abstractNumId="68">
    <w:nsid w:val="BF72B14"/>
    <w:multiLevelType w:val="hybridMultilevel"/>
    <w:lvl w:ilvl="0">
      <w:lvlJc w:val="left"/>
      <w:lvlText w:val="%1."/>
      <w:numFmt w:val="decimal"/>
      <w:start w:val="10"/>
    </w:lvl>
    <w:lvl w:ilvl="1">
      <w:lvlJc w:val="left"/>
      <w:lvlText w:val="(%2)"/>
      <w:numFmt w:val="lowerLetter"/>
      <w:start w:val="1"/>
    </w:lvl>
  </w:abstractNum>
  <w:abstractNum w:abstractNumId="69">
    <w:nsid w:val="11447B73"/>
    <w:multiLevelType w:val="hybridMultilevel"/>
    <w:lvl w:ilvl="0">
      <w:lvlJc w:val="left"/>
      <w:lvlText w:val="(%1)"/>
      <w:numFmt w:val="lowerLetter"/>
      <w:start w:val="5"/>
    </w:lvl>
  </w:abstractNum>
  <w:abstractNum w:abstractNumId="70">
    <w:nsid w:val="42963E5A"/>
    <w:multiLevelType w:val="hybridMultilevel"/>
    <w:lvl w:ilvl="0">
      <w:lvlJc w:val="left"/>
      <w:lvlText w:val="(%1)"/>
      <w:numFmt w:val="lowerRoman"/>
      <w:start w:val="1"/>
    </w:lvl>
    <w:lvl w:ilvl="1">
      <w:lvlJc w:val="left"/>
      <w:lvlText w:val="(%2)"/>
      <w:numFmt w:val="decimal"/>
      <w:start w:val="1"/>
    </w:lvl>
  </w:abstractNum>
  <w:abstractNum w:abstractNumId="71">
    <w:nsid w:val="A0382C5"/>
    <w:multiLevelType w:val="hybridMultilevel"/>
    <w:lvl w:ilvl="0">
      <w:lvlJc w:val="left"/>
      <w:lvlText w:val="%1"/>
      <w:numFmt w:val="lowerLetter"/>
      <w:start w:val="1"/>
    </w:lvl>
    <w:lvl w:ilvl="1">
      <w:lvlJc w:val="left"/>
      <w:lvlText w:val="(%2)"/>
      <w:numFmt w:val="decimal"/>
      <w:start w:val="2"/>
    </w:lvl>
  </w:abstractNum>
  <w:abstractNum w:abstractNumId="72">
    <w:nsid w:val="8F2B15E"/>
    <w:multiLevelType w:val="hybridMultilevel"/>
    <w:lvl w:ilvl="0">
      <w:lvlJc w:val="left"/>
      <w:lvlText w:val="(%1)"/>
      <w:numFmt w:val="lowerLetter"/>
      <w:start w:val="11"/>
    </w:lvl>
    <w:lvl w:ilvl="1">
      <w:lvlJc w:val="left"/>
      <w:lvlText w:val="%2"/>
      <w:numFmt w:val="decimal"/>
      <w:start w:val="1"/>
    </w:lvl>
  </w:abstractNum>
  <w:abstractNum w:abstractNumId="73">
    <w:nsid w:val="1A32234B"/>
    <w:multiLevelType w:val="hybridMultilevel"/>
    <w:lvl w:ilvl="0">
      <w:lvlJc w:val="left"/>
      <w:lvlText w:val="(%1)"/>
      <w:numFmt w:val="lowerLetter"/>
      <w:start w:val="35"/>
    </w:lvl>
    <w:lvl w:ilvl="1">
      <w:lvlJc w:val="left"/>
      <w:lvlText w:val="(%2)"/>
      <w:numFmt w:val="decimal"/>
      <w:start w:val="4"/>
    </w:lvl>
  </w:abstractNum>
  <w:abstractNum w:abstractNumId="74">
    <w:nsid w:val="3B0FD3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5">
    <w:nsid w:val="68EB2F63"/>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76">
    <w:nsid w:val="4962813B"/>
    <w:multiLevelType w:val="hybridMultilevel"/>
    <w:lvl w:ilvl="0">
      <w:lvlJc w:val="left"/>
      <w:lvlText w:val="(%1)"/>
      <w:numFmt w:val="lowerLetter"/>
      <w:start w:val="5"/>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2"/>
    </w:lvl>
    <w:lvl w:ilvl="1">
      <w:lvlJc w:val="left"/>
      <w:lvlText w:val="(%2)"/>
      <w:numFmt w:val="lowerLetter"/>
      <w:start w:val="1"/>
    </w:lvl>
  </w:abstractNum>
  <w:abstractNum w:abstractNumId="79">
    <w:nsid w:val="14330624"/>
    <w:multiLevelType w:val="hybridMultilevel"/>
    <w:lvl w:ilvl="0">
      <w:lvlJc w:val="left"/>
      <w:lvlText w:val="%1."/>
      <w:numFmt w:val="decimal"/>
      <w:start w:val="6"/>
    </w:lvl>
    <w:lvl w:ilvl="1">
      <w:lvlJc w:val="left"/>
      <w:lvlText w:val="(%2)"/>
      <w:numFmt w:val="low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2019-12-10T20:38:30Z</dcterms:created>
  <dcterms:modified xsi:type="dcterms:W3CDTF">2019-12-10T20:38:30Z</dcterms:modified>
</cp:coreProperties>
</file>